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F94" w:rsidRPr="0063139F" w:rsidRDefault="007065EB" w:rsidP="008C247F">
      <w:pPr>
        <w:spacing w:line="240" w:lineRule="auto"/>
        <w:jc w:val="both"/>
        <w:rPr>
          <w:b/>
        </w:rPr>
      </w:pPr>
      <w:r w:rsidRPr="0063139F">
        <w:rPr>
          <w:b/>
        </w:rPr>
        <w:t>Choices, pathways,</w:t>
      </w:r>
      <w:r w:rsidR="00902567" w:rsidRPr="0063139F">
        <w:rPr>
          <w:b/>
        </w:rPr>
        <w:t xml:space="preserve"> and emerging renewables</w:t>
      </w:r>
      <w:r w:rsidR="00F07710" w:rsidRPr="0063139F">
        <w:rPr>
          <w:b/>
        </w:rPr>
        <w:t>:</w:t>
      </w:r>
      <w:r w:rsidR="00423600" w:rsidRPr="0063139F">
        <w:rPr>
          <w:b/>
        </w:rPr>
        <w:t xml:space="preserve"> </w:t>
      </w:r>
      <w:r w:rsidR="00270593" w:rsidRPr="0063139F">
        <w:rPr>
          <w:b/>
        </w:rPr>
        <w:t>Exploring the</w:t>
      </w:r>
      <w:r w:rsidR="00423600" w:rsidRPr="0063139F">
        <w:rPr>
          <w:b/>
        </w:rPr>
        <w:t xml:space="preserve"> role of </w:t>
      </w:r>
      <w:r w:rsidR="001444AC" w:rsidRPr="0063139F">
        <w:rPr>
          <w:b/>
        </w:rPr>
        <w:t>n</w:t>
      </w:r>
      <w:r w:rsidR="00947381" w:rsidRPr="0063139F">
        <w:rPr>
          <w:b/>
        </w:rPr>
        <w:t>ew</w:t>
      </w:r>
      <w:r w:rsidR="00423600" w:rsidRPr="0063139F">
        <w:rPr>
          <w:b/>
        </w:rPr>
        <w:t xml:space="preserve"> renewable electricity technologies within </w:t>
      </w:r>
      <w:r w:rsidR="00245B43" w:rsidRPr="0063139F">
        <w:rPr>
          <w:b/>
        </w:rPr>
        <w:t xml:space="preserve">illustrative </w:t>
      </w:r>
      <w:r w:rsidR="00423600" w:rsidRPr="0063139F">
        <w:rPr>
          <w:b/>
        </w:rPr>
        <w:t>pathways for Ontario</w:t>
      </w:r>
      <w:r w:rsidR="00F07710" w:rsidRPr="0063139F">
        <w:rPr>
          <w:b/>
        </w:rPr>
        <w:t>’s electricity system</w:t>
      </w:r>
    </w:p>
    <w:p w:rsidR="00F25F94" w:rsidRDefault="00F25F94" w:rsidP="008C247F">
      <w:pPr>
        <w:spacing w:line="240" w:lineRule="auto"/>
        <w:jc w:val="both"/>
      </w:pPr>
    </w:p>
    <w:p w:rsidR="0063139F" w:rsidRDefault="0063139F" w:rsidP="008C247F">
      <w:pPr>
        <w:spacing w:line="240" w:lineRule="auto"/>
        <w:jc w:val="both"/>
      </w:pPr>
      <w:r>
        <w:t>Daniel Rosenbloom</w:t>
      </w:r>
    </w:p>
    <w:p w:rsidR="0063139F" w:rsidRDefault="00651391" w:rsidP="008C247F">
      <w:pPr>
        <w:spacing w:line="240" w:lineRule="auto"/>
        <w:jc w:val="both"/>
      </w:pPr>
      <w:r>
        <w:t>Doctoral</w:t>
      </w:r>
      <w:r w:rsidR="0063139F">
        <w:t xml:space="preserve"> Candidate, SPPA, Carleton University</w:t>
      </w:r>
    </w:p>
    <w:p w:rsidR="0063139F" w:rsidRDefault="0063139F" w:rsidP="008C247F">
      <w:pPr>
        <w:spacing w:line="240" w:lineRule="auto"/>
        <w:jc w:val="both"/>
      </w:pPr>
    </w:p>
    <w:p w:rsidR="005636EB" w:rsidRPr="005636EB" w:rsidRDefault="005636EB" w:rsidP="008C247F">
      <w:pPr>
        <w:spacing w:line="240" w:lineRule="auto"/>
        <w:jc w:val="both"/>
        <w:rPr>
          <w:b/>
        </w:rPr>
      </w:pPr>
      <w:r w:rsidRPr="005636EB">
        <w:rPr>
          <w:b/>
        </w:rPr>
        <w:t>Introduction</w:t>
      </w:r>
    </w:p>
    <w:p w:rsidR="000C3073" w:rsidRPr="00944F82" w:rsidRDefault="000C3073" w:rsidP="008C247F">
      <w:pPr>
        <w:spacing w:line="240" w:lineRule="auto"/>
        <w:jc w:val="both"/>
      </w:pPr>
      <w:r>
        <w:t xml:space="preserve">Ontario is at a critical juncture in its journey toward a decarbonized electricity system. </w:t>
      </w:r>
      <w:r w:rsidR="002C6EFE">
        <w:t xml:space="preserve">At </w:t>
      </w:r>
      <w:r w:rsidR="00053D70">
        <w:t>present</w:t>
      </w:r>
      <w:r w:rsidR="00203502">
        <w:t>, d</w:t>
      </w:r>
      <w:r w:rsidR="004D2F4E">
        <w:t xml:space="preserve">ecision-makers face important choices </w:t>
      </w:r>
      <w:r w:rsidR="00317872">
        <w:t>about</w:t>
      </w:r>
      <w:r w:rsidR="004D2F4E">
        <w:t xml:space="preserve"> </w:t>
      </w:r>
      <w:r w:rsidR="00317872">
        <w:t>reinvigorating longstanding</w:t>
      </w:r>
      <w:r w:rsidR="004D2F4E">
        <w:t xml:space="preserve"> </w:t>
      </w:r>
      <w:r w:rsidR="00460402">
        <w:t xml:space="preserve">development </w:t>
      </w:r>
      <w:r w:rsidR="004D2F4E">
        <w:t xml:space="preserve">paths (i.e. reinvesting in legacy generation assets) </w:t>
      </w:r>
      <w:r w:rsidR="00460402">
        <w:t>or</w:t>
      </w:r>
      <w:r w:rsidR="004D2F4E">
        <w:t xml:space="preserve"> breaking away from </w:t>
      </w:r>
      <w:r w:rsidR="00317872">
        <w:t>established</w:t>
      </w:r>
      <w:r w:rsidR="004D2F4E">
        <w:t xml:space="preserve"> paths (i.e. </w:t>
      </w:r>
      <w:r w:rsidR="004112B2">
        <w:t>ramping up</w:t>
      </w:r>
      <w:r w:rsidR="004D2F4E">
        <w:t xml:space="preserve"> commitments to emerging energy innovations). </w:t>
      </w:r>
      <w:r>
        <w:t xml:space="preserve">Due to the </w:t>
      </w:r>
      <w:r w:rsidR="00094E45">
        <w:t>considerable lifespans</w:t>
      </w:r>
      <w:r>
        <w:t xml:space="preserve"> and sunk costs associated with </w:t>
      </w:r>
      <w:r w:rsidR="00CA6ACA">
        <w:t>electricity infrastructure</w:t>
      </w:r>
      <w:r>
        <w:t>, the</w:t>
      </w:r>
      <w:r w:rsidR="004D2F4E">
        <w:t>se</w:t>
      </w:r>
      <w:r>
        <w:t xml:space="preserve"> choices will shape the future trajectory of Ontario’s </w:t>
      </w:r>
      <w:r w:rsidR="00CA6ACA">
        <w:t>power</w:t>
      </w:r>
      <w:r>
        <w:t xml:space="preserve"> system</w:t>
      </w:r>
      <w:r w:rsidR="00001147">
        <w:t xml:space="preserve"> </w:t>
      </w:r>
      <w:r w:rsidR="00D82659">
        <w:t>(see Figure 1)</w:t>
      </w:r>
      <w:r>
        <w:t xml:space="preserve">. </w:t>
      </w:r>
      <w:r w:rsidR="004E762B">
        <w:t>Focusing on the next two decades, t</w:t>
      </w:r>
      <w:r w:rsidR="00CA6ACA">
        <w:t>his paper</w:t>
      </w:r>
      <w:r>
        <w:t xml:space="preserve"> interrogate</w:t>
      </w:r>
      <w:r w:rsidR="00CA6ACA">
        <w:t>s</w:t>
      </w:r>
      <w:r>
        <w:t xml:space="preserve"> </w:t>
      </w:r>
      <w:r w:rsidR="00094E45">
        <w:t>central</w:t>
      </w:r>
      <w:r w:rsidR="004112B2">
        <w:t xml:space="preserve"> </w:t>
      </w:r>
      <w:r>
        <w:t xml:space="preserve">choices </w:t>
      </w:r>
      <w:r w:rsidR="004E762B">
        <w:t>facing Ontario’s electricity sector</w:t>
      </w:r>
      <w:r w:rsidR="004112B2">
        <w:t xml:space="preserve"> and their implications for the place of new renewables s</w:t>
      </w:r>
      <w:bookmarkStart w:id="0" w:name="_GoBack"/>
      <w:bookmarkEnd w:id="0"/>
      <w:r w:rsidR="004112B2">
        <w:t>uch as solar, wind, and bioenergy</w:t>
      </w:r>
      <w:r w:rsidR="00EF170B">
        <w:t>.</w:t>
      </w:r>
      <w:r w:rsidR="004E762B">
        <w:t xml:space="preserve"> </w:t>
      </w:r>
      <w:r w:rsidR="004302EE">
        <w:t xml:space="preserve">In doing so, this analysis </w:t>
      </w:r>
      <w:r w:rsidR="00CC74AD">
        <w:t>develops illustrative</w:t>
      </w:r>
      <w:r w:rsidR="004302EE">
        <w:t xml:space="preserve"> </w:t>
      </w:r>
      <w:r w:rsidR="00094E45">
        <w:t>transition</w:t>
      </w:r>
      <w:r w:rsidR="00D82659">
        <w:t xml:space="preserve"> pathways</w:t>
      </w:r>
      <w:r w:rsidR="002C6EFE">
        <w:t xml:space="preserve"> for the electricity system in Ontario</w:t>
      </w:r>
      <w:r w:rsidR="00D82659">
        <w:t xml:space="preserve"> </w:t>
      </w:r>
      <w:r w:rsidR="004302EE">
        <w:t>and</w:t>
      </w:r>
      <w:r w:rsidR="002710CD">
        <w:t xml:space="preserve"> suggests</w:t>
      </w:r>
      <w:r>
        <w:t xml:space="preserve"> that while commitments to new renewables are central to their prospects, the potential place of these sources also hinges on decisions made about other </w:t>
      </w:r>
      <w:r w:rsidR="00053D70">
        <w:t xml:space="preserve">energy </w:t>
      </w:r>
      <w:r w:rsidR="00203502">
        <w:t>options</w:t>
      </w:r>
      <w:r>
        <w:t xml:space="preserve">. </w:t>
      </w:r>
      <w:r w:rsidR="00CA6ACA" w:rsidRPr="00F93C20">
        <w:t>Although</w:t>
      </w:r>
      <w:r w:rsidR="00E55DAE" w:rsidRPr="00F93C20">
        <w:t xml:space="preserve"> </w:t>
      </w:r>
      <w:r w:rsidR="00D82659" w:rsidRPr="00F93C20">
        <w:t xml:space="preserve">the </w:t>
      </w:r>
      <w:r w:rsidR="00E55DAE" w:rsidRPr="00F93C20">
        <w:t xml:space="preserve">decarbonization </w:t>
      </w:r>
      <w:r w:rsidR="00D82659" w:rsidRPr="00F93C20">
        <w:t xml:space="preserve">project </w:t>
      </w:r>
      <w:r w:rsidR="00E55DAE" w:rsidRPr="00F93C20">
        <w:t xml:space="preserve">is </w:t>
      </w:r>
      <w:r w:rsidR="00203502" w:rsidRPr="00F93C20">
        <w:t>often</w:t>
      </w:r>
      <w:r w:rsidR="00E55DAE" w:rsidRPr="00F93C20">
        <w:t xml:space="preserve"> framed as involving struggles between high-carbon and low-carbon </w:t>
      </w:r>
      <w:r w:rsidR="00CA6ACA" w:rsidRPr="00F93C20">
        <w:t>arrangements</w:t>
      </w:r>
      <w:r w:rsidR="00E55DAE" w:rsidRPr="00F93C20">
        <w:t xml:space="preserve">, dynamics in Ontario’s electricity sector reveal that low-carbon </w:t>
      </w:r>
      <w:r w:rsidR="00CA6ACA" w:rsidRPr="00F93C20">
        <w:t>possibilities</w:t>
      </w:r>
      <w:r w:rsidR="00E55DAE" w:rsidRPr="00F93C20">
        <w:t xml:space="preserve"> are also in competition</w:t>
      </w:r>
      <w:r w:rsidR="00CA6ACA" w:rsidRPr="00F93C20">
        <w:t xml:space="preserve"> and</w:t>
      </w:r>
      <w:r w:rsidRPr="00F93C20">
        <w:t xml:space="preserve"> </w:t>
      </w:r>
      <w:r w:rsidR="004E762B" w:rsidRPr="00F93C20">
        <w:t xml:space="preserve">that </w:t>
      </w:r>
      <w:r w:rsidRPr="00F93C20">
        <w:t xml:space="preserve">there is a danger that attending too closely to new renewables might lead Ontario's electricity system further from low-carbon objectives. Correspondingly, the role of new renewables should not be considered in isolation from </w:t>
      </w:r>
      <w:r w:rsidR="00053D70">
        <w:t>broader</w:t>
      </w:r>
      <w:r w:rsidRPr="00F93C20">
        <w:t xml:space="preserve"> efforts to decarbonize the electricity system (and other energy systems such as transport)</w:t>
      </w:r>
      <w:r w:rsidR="00F93C20" w:rsidRPr="00F93C20">
        <w:t>.</w:t>
      </w:r>
      <w:r w:rsidRPr="00F93C20">
        <w:t xml:space="preserve"> </w:t>
      </w:r>
      <w:r w:rsidR="00F93C20" w:rsidRPr="00F93C20">
        <w:t>This</w:t>
      </w:r>
      <w:r w:rsidRPr="00F93C20">
        <w:t xml:space="preserve"> entails engaging with questions about the place of both legacy and emerging electricity options along with their fit with possible low-carbon pathways.</w:t>
      </w:r>
      <w:r w:rsidR="00D453A8" w:rsidRPr="00F93C20">
        <w:t xml:space="preserve"> In other words, </w:t>
      </w:r>
      <w:r w:rsidR="00AF6884" w:rsidRPr="00F93C20">
        <w:t xml:space="preserve">decarbonization pathways </w:t>
      </w:r>
      <w:r w:rsidR="00F93C20" w:rsidRPr="00F93C20">
        <w:t>involve</w:t>
      </w:r>
      <w:r w:rsidR="00AF6884" w:rsidRPr="00F93C20">
        <w:t xml:space="preserve"> </w:t>
      </w:r>
      <w:r w:rsidR="00D453A8" w:rsidRPr="00F93C20">
        <w:t xml:space="preserve">the cumulative impact </w:t>
      </w:r>
      <w:r w:rsidR="00AF6884" w:rsidRPr="00F93C20">
        <w:t xml:space="preserve">and layering </w:t>
      </w:r>
      <w:r w:rsidR="00D453A8" w:rsidRPr="00F93C20">
        <w:t>of choices.</w:t>
      </w:r>
    </w:p>
    <w:p w:rsidR="000C3073" w:rsidRDefault="000C3073" w:rsidP="008C247F">
      <w:pPr>
        <w:spacing w:line="240" w:lineRule="auto"/>
        <w:jc w:val="both"/>
      </w:pPr>
    </w:p>
    <w:p w:rsidR="00001147" w:rsidRDefault="00001147" w:rsidP="002710CD">
      <w:pPr>
        <w:spacing w:line="240" w:lineRule="auto"/>
        <w:jc w:val="center"/>
      </w:pPr>
      <w:r>
        <w:rPr>
          <w:noProof/>
          <w:lang w:eastAsia="en-CA"/>
        </w:rPr>
        <w:drawing>
          <wp:inline distT="0" distB="0" distL="0" distR="0" wp14:anchorId="54D6C2CB" wp14:editId="4DFBD311">
            <wp:extent cx="4953000" cy="22108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53000" cy="2210858"/>
                    </a:xfrm>
                    <a:prstGeom prst="rect">
                      <a:avLst/>
                    </a:prstGeom>
                  </pic:spPr>
                </pic:pic>
              </a:graphicData>
            </a:graphic>
          </wp:inline>
        </w:drawing>
      </w:r>
    </w:p>
    <w:p w:rsidR="00001147" w:rsidRDefault="00001147" w:rsidP="008C247F">
      <w:pPr>
        <w:spacing w:line="240" w:lineRule="auto"/>
        <w:jc w:val="both"/>
        <w:rPr>
          <w:b/>
        </w:rPr>
      </w:pPr>
      <w:r w:rsidRPr="00001147">
        <w:rPr>
          <w:b/>
        </w:rPr>
        <w:t>Figure 1: A critical juncture in the journey toward decarbonization</w:t>
      </w:r>
    </w:p>
    <w:p w:rsidR="00F07070" w:rsidRPr="00F07070" w:rsidRDefault="00F07070" w:rsidP="008C247F">
      <w:pPr>
        <w:spacing w:line="240" w:lineRule="auto"/>
        <w:jc w:val="both"/>
      </w:pPr>
    </w:p>
    <w:p w:rsidR="00001147" w:rsidRPr="00230C0A" w:rsidRDefault="00230C0A" w:rsidP="008C247F">
      <w:pPr>
        <w:spacing w:line="240" w:lineRule="auto"/>
        <w:jc w:val="both"/>
        <w:rPr>
          <w:b/>
        </w:rPr>
      </w:pPr>
      <w:r>
        <w:rPr>
          <w:b/>
        </w:rPr>
        <w:t xml:space="preserve">A critical juncture: </w:t>
      </w:r>
      <w:r w:rsidRPr="000C3073">
        <w:rPr>
          <w:b/>
        </w:rPr>
        <w:t>Path dependence or path breaking?</w:t>
      </w:r>
    </w:p>
    <w:p w:rsidR="0063139F" w:rsidRDefault="00D47681" w:rsidP="008C247F">
      <w:pPr>
        <w:spacing w:line="240" w:lineRule="auto"/>
        <w:jc w:val="both"/>
      </w:pPr>
      <w:r>
        <w:t>At the present juncture, d</w:t>
      </w:r>
      <w:r w:rsidR="00203502">
        <w:t>ecision-makers</w:t>
      </w:r>
      <w:r w:rsidR="00230C0A">
        <w:t xml:space="preserve"> in Ontario</w:t>
      </w:r>
      <w:r w:rsidR="00203502">
        <w:t xml:space="preserve"> face</w:t>
      </w:r>
      <w:r w:rsidR="00CA6ACA">
        <w:t xml:space="preserve"> </w:t>
      </w:r>
      <w:r w:rsidR="00DE5817">
        <w:t xml:space="preserve">choices </w:t>
      </w:r>
      <w:r w:rsidR="00124324">
        <w:t>surrounding</w:t>
      </w:r>
      <w:r w:rsidR="00CA6ACA">
        <w:t xml:space="preserve"> </w:t>
      </w:r>
      <w:r w:rsidR="00DE5817">
        <w:t xml:space="preserve">commitments to </w:t>
      </w:r>
      <w:r w:rsidR="00CA6ACA">
        <w:t xml:space="preserve">legacy </w:t>
      </w:r>
      <w:r w:rsidR="00DE5817">
        <w:t>and</w:t>
      </w:r>
      <w:r w:rsidR="00CA6ACA">
        <w:t xml:space="preserve"> emerging sources. </w:t>
      </w:r>
      <w:r w:rsidR="00781E01">
        <w:t xml:space="preserve">On the one hand, </w:t>
      </w:r>
      <w:r w:rsidR="000C3073">
        <w:t xml:space="preserve">the </w:t>
      </w:r>
      <w:r w:rsidR="00DE5817">
        <w:t xml:space="preserve">province has experienced the </w:t>
      </w:r>
      <w:r w:rsidR="000C3073">
        <w:t>rapid diffusion of new renewables</w:t>
      </w:r>
      <w:r w:rsidR="00A07AC5">
        <w:t xml:space="preserve"> </w:t>
      </w:r>
      <w:r w:rsidR="00230C0A">
        <w:t>under the Feed-in Tariff (FIT) and its predecessor, the Renewabl</w:t>
      </w:r>
      <w:r w:rsidR="00742FC8">
        <w:t xml:space="preserve">e Standard Offer Program (RESOP; </w:t>
      </w:r>
      <w:r w:rsidR="00A07AC5">
        <w:t xml:space="preserve">see Figure </w:t>
      </w:r>
      <w:r w:rsidR="00001147">
        <w:t>2</w:t>
      </w:r>
      <w:r w:rsidR="00A07AC5">
        <w:t>)</w:t>
      </w:r>
      <w:r w:rsidR="00D75A7B">
        <w:t xml:space="preserve">. </w:t>
      </w:r>
      <w:r w:rsidR="00230C0A">
        <w:t xml:space="preserve">As a result of </w:t>
      </w:r>
      <w:r w:rsidR="00203502">
        <w:t xml:space="preserve">this </w:t>
      </w:r>
      <w:r w:rsidR="00230C0A">
        <w:t xml:space="preserve">robust </w:t>
      </w:r>
      <w:r w:rsidR="00203502">
        <w:t xml:space="preserve">policy </w:t>
      </w:r>
      <w:r w:rsidR="00230C0A">
        <w:t>support,</w:t>
      </w:r>
      <w:r w:rsidR="00DE5817">
        <w:t xml:space="preserve"> </w:t>
      </w:r>
      <w:r w:rsidR="00230C0A">
        <w:t xml:space="preserve">non-hydro </w:t>
      </w:r>
      <w:r w:rsidR="00D75A7B">
        <w:t xml:space="preserve">new renewables </w:t>
      </w:r>
      <w:r w:rsidR="00203502">
        <w:t xml:space="preserve">now </w:t>
      </w:r>
      <w:r w:rsidR="00230C0A">
        <w:t>account for over 15%</w:t>
      </w:r>
      <w:r w:rsidR="00D75A7B">
        <w:t xml:space="preserve"> </w:t>
      </w:r>
      <w:r w:rsidR="00230C0A">
        <w:t>of installed capacity</w:t>
      </w:r>
      <w:r w:rsidR="00124324">
        <w:t xml:space="preserve"> and roughly 7% of electricity generation</w:t>
      </w:r>
      <w:r w:rsidR="00230C0A">
        <w:t xml:space="preserve"> in the province</w:t>
      </w:r>
      <w:r w:rsidR="00D75A7B">
        <w:t xml:space="preserve">. </w:t>
      </w:r>
      <w:r w:rsidR="00781E01">
        <w:t xml:space="preserve">Yet, </w:t>
      </w:r>
      <w:r w:rsidR="00DE5817">
        <w:t>the commitment</w:t>
      </w:r>
      <w:r w:rsidR="00781E01">
        <w:t xml:space="preserve"> to these emerging sources ha</w:t>
      </w:r>
      <w:r w:rsidR="00DE5817">
        <w:t>s</w:t>
      </w:r>
      <w:r w:rsidR="00781E01">
        <w:t xml:space="preserve"> waned due to </w:t>
      </w:r>
      <w:r w:rsidR="00A17311">
        <w:t xml:space="preserve">political controversies and </w:t>
      </w:r>
      <w:r w:rsidR="00781E01">
        <w:t xml:space="preserve">cost-containment </w:t>
      </w:r>
      <w:r w:rsidR="00124324">
        <w:t>imperatives</w:t>
      </w:r>
      <w:r w:rsidR="0063139F">
        <w:t>.</w:t>
      </w:r>
      <w:r w:rsidR="00E55DAE">
        <w:t xml:space="preserve"> </w:t>
      </w:r>
      <w:r w:rsidR="00781E01">
        <w:t xml:space="preserve">On the other hand, </w:t>
      </w:r>
      <w:r w:rsidR="00203502">
        <w:t xml:space="preserve">the majority of </w:t>
      </w:r>
      <w:r w:rsidR="00CA6ACA">
        <w:t xml:space="preserve">Ontario’s </w:t>
      </w:r>
      <w:r w:rsidR="00781E01">
        <w:t>fleet of</w:t>
      </w:r>
      <w:r w:rsidR="0063139F">
        <w:t xml:space="preserve"> nuclear </w:t>
      </w:r>
      <w:r w:rsidR="00DE5817">
        <w:t>reactors</w:t>
      </w:r>
      <w:r w:rsidR="00CA6ACA">
        <w:t xml:space="preserve"> </w:t>
      </w:r>
      <w:r w:rsidR="00DE5817">
        <w:t>require</w:t>
      </w:r>
      <w:r w:rsidR="00CA6ACA">
        <w:t xml:space="preserve"> refurbishment in the coming decade or so (see Figure </w:t>
      </w:r>
      <w:r w:rsidR="00001147">
        <w:t>3</w:t>
      </w:r>
      <w:r w:rsidR="00CA6ACA">
        <w:t>)</w:t>
      </w:r>
      <w:r w:rsidR="00781E01">
        <w:t xml:space="preserve">. These legacy assets </w:t>
      </w:r>
      <w:r w:rsidR="00D42D09">
        <w:t xml:space="preserve">account for </w:t>
      </w:r>
      <w:r w:rsidR="00085F57">
        <w:t>roughly 60%</w:t>
      </w:r>
      <w:r w:rsidR="00124324">
        <w:t xml:space="preserve"> </w:t>
      </w:r>
      <w:r w:rsidR="00D42D09">
        <w:t>of electricity generation</w:t>
      </w:r>
      <w:r w:rsidR="00781E01">
        <w:t xml:space="preserve"> in Ontario and will</w:t>
      </w:r>
      <w:r w:rsidR="0063139F">
        <w:t xml:space="preserve"> require </w:t>
      </w:r>
      <w:r w:rsidR="00781E01">
        <w:t>substantial financial and political commitments</w:t>
      </w:r>
      <w:r w:rsidR="00D42D09">
        <w:t xml:space="preserve"> to maintain their current position</w:t>
      </w:r>
      <w:r w:rsidR="00781E01">
        <w:t xml:space="preserve">. </w:t>
      </w:r>
      <w:r w:rsidR="00D42D09">
        <w:t xml:space="preserve">While some refurbishment appears poised to proceed </w:t>
      </w:r>
      <w:r w:rsidR="00D42D09">
        <w:lastRenderedPageBreak/>
        <w:fldChar w:fldCharType="begin"/>
      </w:r>
      <w:r w:rsidR="00455027">
        <w:instrText xml:space="preserve"> ADDIN ZOTERO_ITEM CSL_CITATION {"citationID":"rCQv2UyF","properties":{"formattedCitation":"(Lea, 2015)","plainCitation":"(Lea, 2015)"},"citationItems":[{"id":689,"uris":["http://zotero.org/users/2088025/items/TEXI8IIJ"],"uri":["http://zotero.org/users/2088025/items/TEXI8IIJ"],"itemData":{"id":689,"type":"webpage","title":"Nuclear manufacturer invests more than $10 million in new Oakville facility","container-title":"insideHalton","abstract":"OAKVILLE- Laker Energy Products held an open house Wednesday to showcase the development of its new $10-million nuclear manufacturing facility at 835 Fourth Line.","URL":"http://www.insidehalton.com/news-story/5918338-nuclear-manufacturer-invests-more-than-10-million-in-new-oakville-facility/","author":[{"family":"Lea","given":"David"}],"issued":{"date-parts":[["2015"]]},"accessed":{"date-parts":[["2015",9,22]]}}}],"schema":"https://github.com/citation-style-language/schema/raw/master/csl-citation.json"} </w:instrText>
      </w:r>
      <w:r w:rsidR="00D42D09">
        <w:fldChar w:fldCharType="separate"/>
      </w:r>
      <w:r w:rsidR="00455027" w:rsidRPr="00455027">
        <w:rPr>
          <w:rFonts w:cs="Times New Roman"/>
        </w:rPr>
        <w:t>(Lea, 2015)</w:t>
      </w:r>
      <w:r w:rsidR="00D42D09">
        <w:fldChar w:fldCharType="end"/>
      </w:r>
      <w:r w:rsidR="00781E01">
        <w:t xml:space="preserve">, there are serious questions about </w:t>
      </w:r>
      <w:r w:rsidR="00D42D09">
        <w:t xml:space="preserve">whether reinvestment will materialize as planned </w:t>
      </w:r>
      <w:r w:rsidR="00D42D09">
        <w:fldChar w:fldCharType="begin"/>
      </w:r>
      <w:r w:rsidR="00D42D09">
        <w:instrText xml:space="preserve"> ADDIN ZOTERO_ITEM CSL_CITATION {"citationID":"1rvqrf5isj","properties":{"formattedCitation":"(McCarthy, 2015)","plainCitation":"(McCarthy, 2015)"},"citationItems":[{"id":693,"uris":["http://zotero.org/users/2088025/items/ZIQTJDBH"],"uri":["http://zotero.org/users/2088025/items/ZIQTJDBH"],"itemData":{"id":693,"type":"webpage","title":"Negotiations delay TransCanada’s Bruce Power nuclear reactor updates","container-title":"The Globe and Mail","abstract":"Bruce Power and the Ontario government are mired in negotiations for a $15-billion deal to refurbish six nuclear reactors, delaying the planned project past a self-imposed deadline and posing new questions about the province’s future energy mix","URL":"http://www.theglobeandmail.com/report-on-business/industry-news/energy-and-resources/negotiations-delay-transcanadas-bruce-power-nuclear-reactor-updates/article23997933/","author":[{"family":"McCarthy","given":"Shawn"}],"issued":{"date-parts":[["2015"]]},"accessed":{"date-parts":[["2015",9,22]]}}}],"schema":"https://github.com/citation-style-language/schema/raw/master/csl-citation.json"} </w:instrText>
      </w:r>
      <w:r w:rsidR="00D42D09">
        <w:fldChar w:fldCharType="separate"/>
      </w:r>
      <w:r w:rsidR="00D42D09" w:rsidRPr="00D42D09">
        <w:rPr>
          <w:rFonts w:cs="Times New Roman"/>
        </w:rPr>
        <w:t>(McCarthy, 2015)</w:t>
      </w:r>
      <w:r w:rsidR="00D42D09">
        <w:fldChar w:fldCharType="end"/>
      </w:r>
      <w:r w:rsidR="00D42D09">
        <w:t xml:space="preserve">. </w:t>
      </w:r>
      <w:r>
        <w:t>C</w:t>
      </w:r>
      <w:r w:rsidR="00781E01">
        <w:t xml:space="preserve">ost </w:t>
      </w:r>
      <w:r w:rsidR="002807AE">
        <w:t>and risk</w:t>
      </w:r>
      <w:r>
        <w:t xml:space="preserve"> concerns</w:t>
      </w:r>
      <w:r w:rsidR="00D42D09">
        <w:t xml:space="preserve">, in particular, appear to be undermining commitments to nuclear and prompting the consideration of alternative options such as trade agreements with hydro-based </w:t>
      </w:r>
      <w:r w:rsidR="0046547A">
        <w:t>jurisdictions</w:t>
      </w:r>
      <w:r w:rsidR="00D42D09">
        <w:t xml:space="preserve"> </w:t>
      </w:r>
      <w:r w:rsidR="00D42D09">
        <w:fldChar w:fldCharType="begin"/>
      </w:r>
      <w:r w:rsidR="00D42D09">
        <w:instrText xml:space="preserve"> ADDIN ZOTERO_ITEM CSL_CITATION {"citationID":"ue7b3bt4g","properties":{"formattedCitation":"(Ministry of Energy, 2015)","plainCitation":"(Ministry of Energy, 2015)"},"citationItems":[{"id":695,"uris":["http://zotero.org/users/2088025/items/3DZA7QIE"],"uri":["http://zotero.org/users/2088025/items/3DZA7QIE"],"itemData":{"id":695,"type":"webpage","title":"Ontario and Newfoundland and Labrador Agree to Evaluate Clean Electricity Trade Opportunities","container-title":"Ontario Newsroom","abstract":"At the 2015 Energy and Mines Ministers' Conference, Ontario Minister of Energy Bob Chiarelli and Newfoundland and Labrador Minister of Natural Resources Derrick Dalley have committed to explori...","URL":"http://news.ontario.ca/mei/en/2015/07/ontario-and-newfoundland-and-labrador-agree-to-evaluate-clean-electricity-trade-opportunities.html","author":[{"literal":"Ministry of Energy"}],"issued":{"date-parts":[["2015"]]},"accessed":{"date-parts":[["2015",9,22]]}}}],"schema":"https://github.com/citation-style-language/schema/raw/master/csl-citation.json"} </w:instrText>
      </w:r>
      <w:r w:rsidR="00D42D09">
        <w:fldChar w:fldCharType="separate"/>
      </w:r>
      <w:r w:rsidR="00D42D09" w:rsidRPr="00D42D09">
        <w:rPr>
          <w:rFonts w:cs="Times New Roman"/>
        </w:rPr>
        <w:t>(Ministry of Energy, 2015)</w:t>
      </w:r>
      <w:r w:rsidR="00D42D09">
        <w:fldChar w:fldCharType="end"/>
      </w:r>
      <w:r w:rsidR="002807AE">
        <w:t>.</w:t>
      </w:r>
    </w:p>
    <w:p w:rsidR="00915DB8" w:rsidRDefault="00915DB8" w:rsidP="008C247F">
      <w:pPr>
        <w:spacing w:line="240" w:lineRule="auto"/>
        <w:jc w:val="both"/>
      </w:pPr>
    </w:p>
    <w:p w:rsidR="00A07AC5" w:rsidRDefault="00915DB8" w:rsidP="00C33F7C">
      <w:pPr>
        <w:spacing w:line="240" w:lineRule="auto"/>
        <w:jc w:val="center"/>
      </w:pPr>
      <w:r>
        <w:rPr>
          <w:noProof/>
          <w:lang w:eastAsia="en-CA"/>
        </w:rPr>
        <w:drawing>
          <wp:inline distT="0" distB="0" distL="0" distR="0" wp14:anchorId="50DD0D8A" wp14:editId="4B5D4338">
            <wp:extent cx="4467225" cy="18250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71902" cy="1826982"/>
                    </a:xfrm>
                    <a:prstGeom prst="rect">
                      <a:avLst/>
                    </a:prstGeom>
                  </pic:spPr>
                </pic:pic>
              </a:graphicData>
            </a:graphic>
          </wp:inline>
        </w:drawing>
      </w:r>
    </w:p>
    <w:p w:rsidR="00A07AC5" w:rsidRPr="00A07AC5" w:rsidRDefault="00A07AC5" w:rsidP="008C247F">
      <w:pPr>
        <w:spacing w:line="240" w:lineRule="auto"/>
        <w:jc w:val="both"/>
        <w:rPr>
          <w:b/>
        </w:rPr>
      </w:pPr>
      <w:r w:rsidRPr="00A07AC5">
        <w:rPr>
          <w:b/>
        </w:rPr>
        <w:t xml:space="preserve">Figure </w:t>
      </w:r>
      <w:r w:rsidR="004E762B">
        <w:rPr>
          <w:b/>
        </w:rPr>
        <w:t>2</w:t>
      </w:r>
      <w:r w:rsidRPr="00A07AC5">
        <w:rPr>
          <w:b/>
        </w:rPr>
        <w:t>: New renewable electricity diffusion in Ontario</w:t>
      </w:r>
    </w:p>
    <w:p w:rsidR="00A07AC5" w:rsidRPr="00A07AC5" w:rsidRDefault="00A07AC5" w:rsidP="008C247F">
      <w:pPr>
        <w:spacing w:line="240" w:lineRule="auto"/>
        <w:jc w:val="both"/>
        <w:rPr>
          <w:i/>
        </w:rPr>
      </w:pPr>
      <w:r>
        <w:rPr>
          <w:i/>
        </w:rPr>
        <w:t>Data for this figure are drawn from the Independent Electricity System Operator’s Progress reports.</w:t>
      </w:r>
    </w:p>
    <w:p w:rsidR="00A07AC5" w:rsidRDefault="00A07AC5" w:rsidP="008C247F">
      <w:pPr>
        <w:spacing w:line="240" w:lineRule="auto"/>
        <w:jc w:val="both"/>
      </w:pPr>
    </w:p>
    <w:p w:rsidR="00A07AC5" w:rsidRDefault="00A07AC5" w:rsidP="00C33F7C">
      <w:pPr>
        <w:spacing w:line="240" w:lineRule="auto"/>
        <w:jc w:val="center"/>
      </w:pPr>
      <w:r>
        <w:rPr>
          <w:noProof/>
          <w:lang w:eastAsia="en-CA"/>
        </w:rPr>
        <w:drawing>
          <wp:inline distT="0" distB="0" distL="0" distR="0" wp14:anchorId="53E89E40" wp14:editId="1E0BCE1A">
            <wp:extent cx="4953000" cy="2232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51508" cy="2231883"/>
                    </a:xfrm>
                    <a:prstGeom prst="rect">
                      <a:avLst/>
                    </a:prstGeom>
                  </pic:spPr>
                </pic:pic>
              </a:graphicData>
            </a:graphic>
          </wp:inline>
        </w:drawing>
      </w:r>
    </w:p>
    <w:p w:rsidR="00A07AC5" w:rsidRDefault="00A07AC5" w:rsidP="008C247F">
      <w:pPr>
        <w:spacing w:line="240" w:lineRule="auto"/>
        <w:jc w:val="both"/>
        <w:rPr>
          <w:b/>
        </w:rPr>
      </w:pPr>
      <w:r w:rsidRPr="00A07AC5">
        <w:rPr>
          <w:b/>
        </w:rPr>
        <w:t xml:space="preserve">Figure </w:t>
      </w:r>
      <w:r w:rsidR="004E762B">
        <w:rPr>
          <w:b/>
        </w:rPr>
        <w:t>3</w:t>
      </w:r>
      <w:r w:rsidRPr="00A07AC5">
        <w:rPr>
          <w:b/>
        </w:rPr>
        <w:t>: Nuclear reactor refurbishment sequence</w:t>
      </w:r>
    </w:p>
    <w:p w:rsidR="00A07AC5" w:rsidRPr="00A07AC5" w:rsidRDefault="00A07AC5" w:rsidP="008C247F">
      <w:pPr>
        <w:spacing w:line="240" w:lineRule="auto"/>
        <w:jc w:val="both"/>
        <w:rPr>
          <w:i/>
        </w:rPr>
      </w:pPr>
      <w:r>
        <w:rPr>
          <w:i/>
        </w:rPr>
        <w:t xml:space="preserve">This figure was taken from the </w:t>
      </w:r>
      <w:r w:rsidRPr="00A07AC5">
        <w:rPr>
          <w:i/>
        </w:rPr>
        <w:t>Ministry of Energy’s Long-term energy p</w:t>
      </w:r>
      <w:r>
        <w:rPr>
          <w:i/>
        </w:rPr>
        <w:t>lan 2013</w:t>
      </w:r>
    </w:p>
    <w:p w:rsidR="00A07AC5" w:rsidRDefault="00A07AC5" w:rsidP="008C247F">
      <w:pPr>
        <w:spacing w:line="240" w:lineRule="auto"/>
        <w:jc w:val="both"/>
      </w:pPr>
    </w:p>
    <w:p w:rsidR="00DE5817" w:rsidRPr="00AF18F8" w:rsidRDefault="00954FC4" w:rsidP="008C247F">
      <w:pPr>
        <w:spacing w:line="240" w:lineRule="auto"/>
        <w:jc w:val="both"/>
      </w:pPr>
      <w:r w:rsidRPr="00AF18F8">
        <w:t>C</w:t>
      </w:r>
      <w:r w:rsidR="0046547A" w:rsidRPr="00AF18F8">
        <w:t>hoices</w:t>
      </w:r>
      <w:r w:rsidR="00973712" w:rsidRPr="00AF18F8">
        <w:t xml:space="preserve"> about electricity options</w:t>
      </w:r>
      <w:r w:rsidR="0046547A" w:rsidRPr="00AF18F8">
        <w:t xml:space="preserve"> </w:t>
      </w:r>
      <w:r w:rsidR="00455027" w:rsidRPr="00AF18F8">
        <w:t>are both social and technical in nature</w:t>
      </w:r>
      <w:r w:rsidR="003F6E54" w:rsidRPr="00AF18F8">
        <w:t xml:space="preserve"> </w:t>
      </w:r>
      <w:r w:rsidR="003F6E54" w:rsidRPr="00AF18F8">
        <w:t>(see figure 4)</w:t>
      </w:r>
      <w:r w:rsidR="004E762B" w:rsidRPr="00AF18F8">
        <w:t xml:space="preserve">. </w:t>
      </w:r>
      <w:r w:rsidRPr="00AF18F8">
        <w:t>Struggles between l</w:t>
      </w:r>
      <w:r w:rsidR="004E762B" w:rsidRPr="00AF18F8">
        <w:t xml:space="preserve">egacy and emerging sources </w:t>
      </w:r>
      <w:r w:rsidRPr="00AF18F8">
        <w:t>are not confined to the technical operation of the system</w:t>
      </w:r>
      <w:r w:rsidR="00455027" w:rsidRPr="00AF18F8">
        <w:t xml:space="preserve"> (e.g., </w:t>
      </w:r>
      <w:r w:rsidRPr="00AF18F8">
        <w:t xml:space="preserve">variability and inflexibility conflicts). Rather, </w:t>
      </w:r>
      <w:r w:rsidR="00455027" w:rsidRPr="00AF18F8">
        <w:t>the</w:t>
      </w:r>
      <w:r w:rsidRPr="00AF18F8">
        <w:t>se tensions are also manifest</w:t>
      </w:r>
      <w:r w:rsidR="00455027" w:rsidRPr="00AF18F8">
        <w:t xml:space="preserve"> </w:t>
      </w:r>
      <w:r w:rsidRPr="00AF18F8">
        <w:t xml:space="preserve">in the political </w:t>
      </w:r>
      <w:r w:rsidR="00AF18F8" w:rsidRPr="00AF18F8">
        <w:t>domain</w:t>
      </w:r>
      <w:r w:rsidRPr="00AF18F8">
        <w:t xml:space="preserve">, where </w:t>
      </w:r>
      <w:r w:rsidR="00237123" w:rsidRPr="00AF18F8">
        <w:t>incumbents and challengers</w:t>
      </w:r>
      <w:r w:rsidRPr="00AF18F8">
        <w:t xml:space="preserve"> attempt to modify rule systems in their favour (e.g</w:t>
      </w:r>
      <w:r w:rsidR="00237123" w:rsidRPr="00AF18F8">
        <w:t xml:space="preserve">., </w:t>
      </w:r>
      <w:r w:rsidR="00455027" w:rsidRPr="00AF18F8">
        <w:t>curtail</w:t>
      </w:r>
      <w:r w:rsidRPr="00AF18F8">
        <w:t>ing</w:t>
      </w:r>
      <w:r w:rsidR="00455027" w:rsidRPr="00AF18F8">
        <w:t xml:space="preserve"> variable sources </w:t>
      </w:r>
      <w:r w:rsidRPr="00AF18F8">
        <w:t>or levying</w:t>
      </w:r>
      <w:r w:rsidR="00455027" w:rsidRPr="00AF18F8">
        <w:t xml:space="preserve"> additional insurance requirements </w:t>
      </w:r>
      <w:r w:rsidRPr="00AF18F8">
        <w:t>on</w:t>
      </w:r>
      <w:r w:rsidR="00455027" w:rsidRPr="00AF18F8">
        <w:t xml:space="preserve"> small-scale distributed generators)</w:t>
      </w:r>
      <w:r w:rsidR="0046547A" w:rsidRPr="00AF18F8">
        <w:t xml:space="preserve">. </w:t>
      </w:r>
      <w:r w:rsidR="00C66E97" w:rsidRPr="00AF18F8">
        <w:t>Indeed</w:t>
      </w:r>
      <w:r w:rsidR="0046547A" w:rsidRPr="00AF18F8">
        <w:t>, p</w:t>
      </w:r>
      <w:r w:rsidR="002807AE" w:rsidRPr="00AF18F8">
        <w:t xml:space="preserve">roponents of both nuclear and </w:t>
      </w:r>
      <w:r w:rsidR="008A583F" w:rsidRPr="00AF18F8">
        <w:t>new renewable</w:t>
      </w:r>
      <w:r w:rsidR="002807AE" w:rsidRPr="00AF18F8">
        <w:t xml:space="preserve"> sources have </w:t>
      </w:r>
      <w:r w:rsidR="0046547A" w:rsidRPr="00AF18F8">
        <w:t>become increasingly politically active in an attempt</w:t>
      </w:r>
      <w:r w:rsidR="002807AE" w:rsidRPr="00AF18F8">
        <w:t xml:space="preserve"> to build legitimacy for their favoured choices whil</w:t>
      </w:r>
      <w:r w:rsidR="00F5739E" w:rsidRPr="00AF18F8">
        <w:t>e delegitimizing rival options</w:t>
      </w:r>
      <w:r w:rsidR="007306AA" w:rsidRPr="00AF18F8">
        <w:t xml:space="preserve"> (Rosenbloom, </w:t>
      </w:r>
      <w:proofErr w:type="spellStart"/>
      <w:r w:rsidR="007306AA" w:rsidRPr="00AF18F8">
        <w:t>Berton</w:t>
      </w:r>
      <w:proofErr w:type="spellEnd"/>
      <w:r w:rsidR="007306AA" w:rsidRPr="00AF18F8">
        <w:t xml:space="preserve"> &amp; </w:t>
      </w:r>
      <w:proofErr w:type="spellStart"/>
      <w:r w:rsidR="007306AA" w:rsidRPr="00AF18F8">
        <w:t>Meadowcroft</w:t>
      </w:r>
      <w:proofErr w:type="spellEnd"/>
      <w:r w:rsidR="007306AA" w:rsidRPr="00AF18F8">
        <w:t>, forthcoming)</w:t>
      </w:r>
      <w:r w:rsidR="00F5739E" w:rsidRPr="00AF18F8">
        <w:t>.</w:t>
      </w:r>
      <w:r w:rsidR="00CD4592" w:rsidRPr="00AF18F8">
        <w:t xml:space="preserve"> </w:t>
      </w:r>
      <w:r w:rsidR="00203502" w:rsidRPr="00AF18F8">
        <w:t>I</w:t>
      </w:r>
      <w:r w:rsidR="0046547A" w:rsidRPr="00AF18F8">
        <w:t>n</w:t>
      </w:r>
      <w:r w:rsidR="00CD4592" w:rsidRPr="00AF18F8">
        <w:t xml:space="preserve"> contrast to jurisdictions where </w:t>
      </w:r>
      <w:r w:rsidR="00C66E97" w:rsidRPr="00AF18F8">
        <w:t xml:space="preserve">these </w:t>
      </w:r>
      <w:r w:rsidR="00CD4592" w:rsidRPr="00AF18F8">
        <w:t xml:space="preserve">political struggles </w:t>
      </w:r>
      <w:r w:rsidR="007306AA" w:rsidRPr="00AF18F8">
        <w:t xml:space="preserve">principally </w:t>
      </w:r>
      <w:r w:rsidR="00237123" w:rsidRPr="00AF18F8">
        <w:t>take place between</w:t>
      </w:r>
      <w:r w:rsidR="0046547A" w:rsidRPr="00AF18F8">
        <w:t xml:space="preserve"> </w:t>
      </w:r>
      <w:r w:rsidR="00CD4592" w:rsidRPr="00AF18F8">
        <w:t>high carbon</w:t>
      </w:r>
      <w:r w:rsidR="002F3689" w:rsidRPr="00AF18F8">
        <w:t xml:space="preserve"> </w:t>
      </w:r>
      <w:r w:rsidR="00AB4090" w:rsidRPr="00AF18F8">
        <w:t>interests</w:t>
      </w:r>
      <w:r w:rsidR="002F3689" w:rsidRPr="00AF18F8">
        <w:t xml:space="preserve"> and those supporting low-carbon </w:t>
      </w:r>
      <w:r w:rsidR="006F09DB" w:rsidRPr="00AF18F8">
        <w:t>arrangement</w:t>
      </w:r>
      <w:r w:rsidR="002F3689" w:rsidRPr="00AF18F8">
        <w:t xml:space="preserve">s, </w:t>
      </w:r>
      <w:r w:rsidR="00AB4090" w:rsidRPr="00AF18F8">
        <w:t xml:space="preserve">struggles </w:t>
      </w:r>
      <w:r w:rsidR="006F09DB" w:rsidRPr="00AF18F8">
        <w:t>in</w:t>
      </w:r>
      <w:r w:rsidR="00AB4090" w:rsidRPr="00AF18F8">
        <w:t xml:space="preserve"> </w:t>
      </w:r>
      <w:r w:rsidR="002F3689" w:rsidRPr="00AF18F8">
        <w:t xml:space="preserve">Ontario’s electricity sector </w:t>
      </w:r>
      <w:r w:rsidR="00AF18F8">
        <w:t>also</w:t>
      </w:r>
      <w:r w:rsidR="00203502" w:rsidRPr="00AF18F8">
        <w:t xml:space="preserve"> </w:t>
      </w:r>
      <w:r w:rsidR="00237123" w:rsidRPr="00AF18F8">
        <w:t>revolve around</w:t>
      </w:r>
      <w:r w:rsidR="006F09DB" w:rsidRPr="00AF18F8">
        <w:t xml:space="preserve"> </w:t>
      </w:r>
      <w:r w:rsidR="002F3689" w:rsidRPr="00AF18F8">
        <w:t>low-carbon sources.</w:t>
      </w:r>
    </w:p>
    <w:p w:rsidR="00F5739E" w:rsidRDefault="00F5739E" w:rsidP="008C247F">
      <w:pPr>
        <w:spacing w:line="240" w:lineRule="auto"/>
        <w:jc w:val="both"/>
      </w:pPr>
    </w:p>
    <w:p w:rsidR="00A32E05" w:rsidRDefault="00F5739E" w:rsidP="00C33F7C">
      <w:pPr>
        <w:spacing w:line="240" w:lineRule="auto"/>
        <w:jc w:val="center"/>
      </w:pPr>
      <w:r>
        <w:rPr>
          <w:noProof/>
          <w:lang w:eastAsia="en-CA"/>
        </w:rPr>
        <w:lastRenderedPageBreak/>
        <w:drawing>
          <wp:inline distT="0" distB="0" distL="0" distR="0" wp14:anchorId="45EE6E8C" wp14:editId="6713C60D">
            <wp:extent cx="2447925" cy="19659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49206" cy="1966953"/>
                    </a:xfrm>
                    <a:prstGeom prst="rect">
                      <a:avLst/>
                    </a:prstGeom>
                  </pic:spPr>
                </pic:pic>
              </a:graphicData>
            </a:graphic>
          </wp:inline>
        </w:drawing>
      </w:r>
    </w:p>
    <w:p w:rsidR="00F5739E" w:rsidRDefault="00F5739E" w:rsidP="008C247F">
      <w:pPr>
        <w:spacing w:line="240" w:lineRule="auto"/>
        <w:jc w:val="both"/>
        <w:rPr>
          <w:b/>
        </w:rPr>
      </w:pPr>
      <w:r w:rsidRPr="00A07AC5">
        <w:rPr>
          <w:b/>
        </w:rPr>
        <w:t xml:space="preserve">Figure </w:t>
      </w:r>
      <w:r>
        <w:rPr>
          <w:b/>
        </w:rPr>
        <w:t>4</w:t>
      </w:r>
      <w:r w:rsidRPr="00A07AC5">
        <w:rPr>
          <w:b/>
        </w:rPr>
        <w:t xml:space="preserve">: </w:t>
      </w:r>
      <w:r w:rsidR="00973712">
        <w:rPr>
          <w:b/>
        </w:rPr>
        <w:t>Conflicting socio-technical features</w:t>
      </w:r>
    </w:p>
    <w:p w:rsidR="00F5739E" w:rsidRDefault="00F5739E" w:rsidP="008C247F">
      <w:pPr>
        <w:spacing w:line="240" w:lineRule="auto"/>
        <w:jc w:val="both"/>
      </w:pPr>
    </w:p>
    <w:p w:rsidR="00A32E05" w:rsidRDefault="00356CDA" w:rsidP="008C247F">
      <w:pPr>
        <w:spacing w:line="240" w:lineRule="auto"/>
        <w:jc w:val="both"/>
        <w:rPr>
          <w:b/>
        </w:rPr>
      </w:pPr>
      <w:r>
        <w:rPr>
          <w:b/>
        </w:rPr>
        <w:t>Ontario’s electricity system</w:t>
      </w:r>
    </w:p>
    <w:p w:rsidR="002A02EC" w:rsidRDefault="00CC74AD" w:rsidP="008C247F">
      <w:pPr>
        <w:spacing w:line="240" w:lineRule="auto"/>
        <w:jc w:val="both"/>
        <w:rPr>
          <w:rFonts w:cs="Times New Roman"/>
        </w:rPr>
      </w:pPr>
      <w:r>
        <w:rPr>
          <w:rFonts w:cs="Times New Roman"/>
        </w:rPr>
        <w:t xml:space="preserve">Before further scrutinizing the </w:t>
      </w:r>
      <w:r w:rsidR="00455027">
        <w:rPr>
          <w:rFonts w:cs="Times New Roman"/>
        </w:rPr>
        <w:t xml:space="preserve">current </w:t>
      </w:r>
      <w:r>
        <w:rPr>
          <w:rFonts w:cs="Times New Roman"/>
        </w:rPr>
        <w:t xml:space="preserve">choices facing Ontario’s electricity system, it is important to examine how the system reached its </w:t>
      </w:r>
      <w:r w:rsidR="007E1BB4">
        <w:rPr>
          <w:rFonts w:cs="Times New Roman"/>
        </w:rPr>
        <w:t xml:space="preserve">present </w:t>
      </w:r>
      <w:r>
        <w:rPr>
          <w:rFonts w:cs="Times New Roman"/>
        </w:rPr>
        <w:t xml:space="preserve">configuration. </w:t>
      </w:r>
      <w:r w:rsidR="00836DB2" w:rsidRPr="004D0947">
        <w:rPr>
          <w:rFonts w:cs="Times New Roman"/>
        </w:rPr>
        <w:t xml:space="preserve">The features of the electricity </w:t>
      </w:r>
      <w:r w:rsidR="002A02EC">
        <w:rPr>
          <w:rFonts w:cs="Times New Roman"/>
        </w:rPr>
        <w:t>system</w:t>
      </w:r>
      <w:r w:rsidR="00836DB2" w:rsidRPr="004D0947">
        <w:rPr>
          <w:rFonts w:cs="Times New Roman"/>
        </w:rPr>
        <w:t xml:space="preserve"> in Ontario </w:t>
      </w:r>
      <w:r w:rsidR="00A01ED7">
        <w:rPr>
          <w:rFonts w:cs="Times New Roman"/>
        </w:rPr>
        <w:t>reflect a layering of historical choices and investments</w:t>
      </w:r>
      <w:r w:rsidR="00836DB2" w:rsidRPr="004D0947">
        <w:rPr>
          <w:rFonts w:cs="Times New Roman"/>
        </w:rPr>
        <w:t>.</w:t>
      </w:r>
      <w:r w:rsidR="00836DB2">
        <w:rPr>
          <w:rFonts w:cs="Times New Roman"/>
        </w:rPr>
        <w:t xml:space="preserve"> </w:t>
      </w:r>
      <w:r w:rsidR="002A02EC">
        <w:rPr>
          <w:rFonts w:cs="Times New Roman"/>
        </w:rPr>
        <w:t xml:space="preserve">As Ontario’s electricity sector has a rich history, it is not possible to comprehensively trace </w:t>
      </w:r>
      <w:r w:rsidR="007B15B5">
        <w:rPr>
          <w:rFonts w:cs="Times New Roman"/>
        </w:rPr>
        <w:t>its development</w:t>
      </w:r>
      <w:r w:rsidR="002A02EC">
        <w:rPr>
          <w:rFonts w:cs="Times New Roman"/>
        </w:rPr>
        <w:t xml:space="preserve">. Rather, the most relevant historical </w:t>
      </w:r>
      <w:r w:rsidR="006C4C7A">
        <w:rPr>
          <w:rFonts w:cs="Times New Roman"/>
        </w:rPr>
        <w:t>developments</w:t>
      </w:r>
      <w:r w:rsidR="002A02EC">
        <w:rPr>
          <w:rFonts w:cs="Times New Roman"/>
        </w:rPr>
        <w:t xml:space="preserve"> and choices will be explored</w:t>
      </w:r>
      <w:r w:rsidR="00812EA0">
        <w:rPr>
          <w:rFonts w:cs="Times New Roman"/>
        </w:rPr>
        <w:t xml:space="preserve"> </w:t>
      </w:r>
      <w:r w:rsidR="00812EA0">
        <w:rPr>
          <w:rFonts w:cs="Times New Roman"/>
        </w:rPr>
        <w:fldChar w:fldCharType="begin"/>
      </w:r>
      <w:r w:rsidR="00812EA0">
        <w:rPr>
          <w:rFonts w:cs="Times New Roman"/>
        </w:rPr>
        <w:instrText xml:space="preserve"> ADDIN ZOTERO_ITEM CSL_CITATION {"citationID":"20rdhb968h","properties":{"formattedCitation":"(Rosenbloom &amp; Meadowcroft, 2014)","plainCitation":"(Rosenbloom &amp; Meadowcroft, 2014)"},"citationItems":[{"id":96,"uris":["http://zotero.org/users/2088025/items/B5U6KKXP"],"uri":["http://zotero.org/users/2088025/items/B5U6KKXP"],"itemData":{"id":96,"type":"article-journal","title":"The journey towards decarbonization: Exploring socio-technical transitions in the electricity sector in the province of Ontario (1885–2013) and potential low-carbon pathways","container-title":"Energy Policy","page":"670-679","volume":"65","source":"ScienceDirect","abstract":"This article employs the multi-level perspective on socio-technical transitions to explore the historical evolution of the electricity regime in the province of Ontario from 1885-2013 and to interpret the potential for future movement towards decarbonization. With an emphasis on the political and social dimensions of transitions, this analysis traces the key features influencing change within Ontario's electricity system over the past century. This paper uses multiple criteria (the phase of electrification; role of the electricity system in economic development; structures of ownership, market and regulation; dominant technologies; and the relative stability of arrangements) to characterize distinct regime configurations and periods of instability which separate relatively stable system orientations. Lessons are drawn from the historical case with implications for future decarbonization in the province, including the importance of: (1) residual momentum; (2) embedded guiding principles; and, (3) politico-economic coalitions.","DOI":"10.1016/j.enpol.2013.09.039","ISSN":"0301-4215","shortTitle":"The journey towards decarbonization","journalAbbreviation":"Energy Policy","author":[{"family":"Rosenbloom","given":"Daniel"},{"family":"Meadowcroft","given":"James"}],"issued":{"date-parts":[["2014",2]]}}}],"schema":"https://github.com/citation-style-language/schema/raw/master/csl-citation.json"} </w:instrText>
      </w:r>
      <w:r w:rsidR="00812EA0">
        <w:rPr>
          <w:rFonts w:cs="Times New Roman"/>
        </w:rPr>
        <w:fldChar w:fldCharType="separate"/>
      </w:r>
      <w:r w:rsidR="00812EA0" w:rsidRPr="00812EA0">
        <w:rPr>
          <w:rFonts w:cs="Times New Roman"/>
        </w:rPr>
        <w:t>(</w:t>
      </w:r>
      <w:r w:rsidR="00812EA0">
        <w:rPr>
          <w:rFonts w:cs="Times New Roman"/>
        </w:rPr>
        <w:t xml:space="preserve">see </w:t>
      </w:r>
      <w:r w:rsidR="00812EA0" w:rsidRPr="00812EA0">
        <w:rPr>
          <w:rFonts w:cs="Times New Roman"/>
        </w:rPr>
        <w:t>Rosenbloom &amp; Meadowcroft, 2014</w:t>
      </w:r>
      <w:r w:rsidR="00812EA0">
        <w:rPr>
          <w:rFonts w:cs="Times New Roman"/>
        </w:rPr>
        <w:t xml:space="preserve"> for a more </w:t>
      </w:r>
      <w:r w:rsidR="007E1BB4">
        <w:rPr>
          <w:rFonts w:cs="Times New Roman"/>
        </w:rPr>
        <w:t>in-depth</w:t>
      </w:r>
      <w:r w:rsidR="00812EA0">
        <w:rPr>
          <w:rFonts w:cs="Times New Roman"/>
        </w:rPr>
        <w:t xml:space="preserve"> examination of the evolution of Ontario's electricity system</w:t>
      </w:r>
      <w:r w:rsidR="00812EA0" w:rsidRPr="00812EA0">
        <w:rPr>
          <w:rFonts w:cs="Times New Roman"/>
        </w:rPr>
        <w:t>)</w:t>
      </w:r>
      <w:r w:rsidR="00812EA0">
        <w:rPr>
          <w:rFonts w:cs="Times New Roman"/>
        </w:rPr>
        <w:fldChar w:fldCharType="end"/>
      </w:r>
      <w:r w:rsidR="002A02EC">
        <w:rPr>
          <w:rFonts w:cs="Times New Roman"/>
        </w:rPr>
        <w:t>.</w:t>
      </w:r>
    </w:p>
    <w:p w:rsidR="002A02EC" w:rsidRDefault="002A02EC" w:rsidP="008C247F">
      <w:pPr>
        <w:spacing w:line="240" w:lineRule="auto"/>
        <w:jc w:val="both"/>
        <w:rPr>
          <w:rFonts w:cs="Times New Roman"/>
        </w:rPr>
      </w:pPr>
    </w:p>
    <w:p w:rsidR="002A02EC" w:rsidRDefault="002A02EC" w:rsidP="008C247F">
      <w:pPr>
        <w:spacing w:line="240" w:lineRule="auto"/>
        <w:jc w:val="both"/>
        <w:rPr>
          <w:rFonts w:cs="Times New Roman"/>
        </w:rPr>
      </w:pPr>
      <w:r>
        <w:rPr>
          <w:rFonts w:cs="Times New Roman"/>
        </w:rPr>
        <w:t xml:space="preserve">Three </w:t>
      </w:r>
      <w:r w:rsidR="00812EA0">
        <w:rPr>
          <w:rFonts w:cs="Times New Roman"/>
        </w:rPr>
        <w:t xml:space="preserve">historical developments form the foundation of Ontario’s current electricity system. First, </w:t>
      </w:r>
      <w:r w:rsidR="007B15B5">
        <w:rPr>
          <w:rFonts w:cs="Times New Roman"/>
        </w:rPr>
        <w:t xml:space="preserve">for much of the twentieth century (1922-1997), </w:t>
      </w:r>
      <w:r w:rsidR="00812EA0">
        <w:rPr>
          <w:rFonts w:cs="Times New Roman"/>
        </w:rPr>
        <w:t xml:space="preserve">electricity system planning functioned under an expansionist orientation. This orientation manifested in a virtuous cycle of grid expansion and economic growth that benefitted industrial interests, </w:t>
      </w:r>
      <w:r w:rsidR="007B15B5">
        <w:rPr>
          <w:rFonts w:cs="Times New Roman"/>
        </w:rPr>
        <w:t>core actors in the electricity system</w:t>
      </w:r>
      <w:r w:rsidR="00812EA0">
        <w:rPr>
          <w:rFonts w:cs="Times New Roman"/>
        </w:rPr>
        <w:t xml:space="preserve"> (</w:t>
      </w:r>
      <w:r w:rsidR="007B15B5">
        <w:rPr>
          <w:rFonts w:cs="Times New Roman"/>
        </w:rPr>
        <w:t xml:space="preserve">e.g., </w:t>
      </w:r>
      <w:r w:rsidR="006C4C7A">
        <w:rPr>
          <w:rFonts w:cs="Times New Roman"/>
        </w:rPr>
        <w:t xml:space="preserve">the now defunct </w:t>
      </w:r>
      <w:r w:rsidR="00812EA0">
        <w:rPr>
          <w:rFonts w:cs="Times New Roman"/>
        </w:rPr>
        <w:t>Ontario Hydro), and successive political administrations. Out of this orientation came the industrial-scale hydro and nuclear facilities that dominate the current system</w:t>
      </w:r>
      <w:r w:rsidR="00B14E09">
        <w:rPr>
          <w:rFonts w:cs="Times New Roman"/>
        </w:rPr>
        <w:t xml:space="preserve"> (see Figure </w:t>
      </w:r>
      <w:r w:rsidR="00021B1A">
        <w:rPr>
          <w:rFonts w:cs="Times New Roman"/>
        </w:rPr>
        <w:t>5</w:t>
      </w:r>
      <w:r w:rsidR="00B14E09">
        <w:rPr>
          <w:rFonts w:cs="Times New Roman"/>
        </w:rPr>
        <w:t>)</w:t>
      </w:r>
      <w:r w:rsidR="00812EA0">
        <w:rPr>
          <w:rFonts w:cs="Times New Roman"/>
        </w:rPr>
        <w:t>. Beyond this, there remain tendencies toward expansion and the use of Ontario’s electricity system as a lever for industrial development. Second, the move toward deregulation (1998-2002) ha</w:t>
      </w:r>
      <w:r w:rsidR="00595804">
        <w:rPr>
          <w:rFonts w:cs="Times New Roman"/>
        </w:rPr>
        <w:t>s</w:t>
      </w:r>
      <w:r w:rsidR="00812EA0">
        <w:rPr>
          <w:rFonts w:cs="Times New Roman"/>
        </w:rPr>
        <w:t xml:space="preserve"> had lasting impacts on the current system. </w:t>
      </w:r>
      <w:r w:rsidR="00B512D0">
        <w:rPr>
          <w:rFonts w:cs="Times New Roman"/>
        </w:rPr>
        <w:t xml:space="preserve">Central planning was eroded, greater private participation was encouraged, and the system was subject to increased political control. </w:t>
      </w:r>
      <w:r w:rsidR="00812EA0">
        <w:rPr>
          <w:rFonts w:cs="Times New Roman"/>
        </w:rPr>
        <w:t xml:space="preserve">From this, a hybrid market system has emerged whereby most </w:t>
      </w:r>
      <w:r w:rsidR="00212A13">
        <w:rPr>
          <w:rFonts w:cs="Times New Roman"/>
        </w:rPr>
        <w:t xml:space="preserve">new </w:t>
      </w:r>
      <w:r w:rsidR="00B14E09">
        <w:rPr>
          <w:rFonts w:cs="Times New Roman"/>
        </w:rPr>
        <w:t xml:space="preserve">generation infrastructure is procured through </w:t>
      </w:r>
      <w:r w:rsidR="00812EA0">
        <w:rPr>
          <w:rFonts w:cs="Times New Roman"/>
        </w:rPr>
        <w:t xml:space="preserve">government-directed </w:t>
      </w:r>
      <w:r w:rsidR="00B14E09">
        <w:rPr>
          <w:rFonts w:cs="Times New Roman"/>
        </w:rPr>
        <w:t xml:space="preserve">power purchase agreements with investor-owned </w:t>
      </w:r>
      <w:r w:rsidR="0026416B">
        <w:rPr>
          <w:rFonts w:cs="Times New Roman"/>
        </w:rPr>
        <w:t>firms</w:t>
      </w:r>
      <w:r w:rsidR="00B14E09">
        <w:rPr>
          <w:rFonts w:cs="Times New Roman"/>
        </w:rPr>
        <w:t xml:space="preserve"> (the market provides insufficient signals to direct investment). The deregulation experience also saw the break-up of Ontario Hydro </w:t>
      </w:r>
      <w:r w:rsidR="0026416B">
        <w:rPr>
          <w:rFonts w:cs="Times New Roman"/>
        </w:rPr>
        <w:t>into several operational units</w:t>
      </w:r>
      <w:r w:rsidR="00B14E09">
        <w:rPr>
          <w:rFonts w:cs="Times New Roman"/>
        </w:rPr>
        <w:t xml:space="preserve"> that now form the core institutional actors in the sector (Ontario Power Generation, Hydro One, </w:t>
      </w:r>
      <w:r w:rsidR="000A2063">
        <w:rPr>
          <w:rFonts w:cs="Times New Roman"/>
        </w:rPr>
        <w:t>and others</w:t>
      </w:r>
      <w:r w:rsidR="00B14E09">
        <w:rPr>
          <w:rFonts w:cs="Times New Roman"/>
        </w:rPr>
        <w:t xml:space="preserve">). Third, mounting environmental concern dating back to the 1970s has promoted </w:t>
      </w:r>
      <w:r w:rsidR="000A2063">
        <w:rPr>
          <w:rFonts w:cs="Times New Roman"/>
        </w:rPr>
        <w:t>the</w:t>
      </w:r>
      <w:r w:rsidR="00B14E09">
        <w:rPr>
          <w:rFonts w:cs="Times New Roman"/>
        </w:rPr>
        <w:t xml:space="preserve"> consideration of cleaner energy options and conservation.</w:t>
      </w:r>
    </w:p>
    <w:p w:rsidR="00A01ED7" w:rsidRDefault="00A01ED7" w:rsidP="008C247F">
      <w:pPr>
        <w:spacing w:line="240" w:lineRule="auto"/>
        <w:jc w:val="both"/>
        <w:rPr>
          <w:rFonts w:cs="Times New Roman"/>
        </w:rPr>
      </w:pPr>
    </w:p>
    <w:p w:rsidR="00A01ED7" w:rsidRDefault="00A01ED7" w:rsidP="000A2063">
      <w:pPr>
        <w:spacing w:line="240" w:lineRule="auto"/>
        <w:jc w:val="center"/>
        <w:rPr>
          <w:rFonts w:cs="Times New Roman"/>
        </w:rPr>
      </w:pPr>
      <w:r>
        <w:rPr>
          <w:noProof/>
          <w:lang w:eastAsia="en-CA"/>
        </w:rPr>
        <w:drawing>
          <wp:inline distT="0" distB="0" distL="0" distR="0" wp14:anchorId="78F99C99" wp14:editId="1AF986D5">
            <wp:extent cx="5410200" cy="1404938"/>
            <wp:effectExtent l="0" t="0" r="0" b="50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01ED7" w:rsidRPr="007C00C5" w:rsidRDefault="00A01ED7" w:rsidP="008C247F">
      <w:pPr>
        <w:spacing w:line="240" w:lineRule="auto"/>
        <w:jc w:val="both"/>
        <w:rPr>
          <w:rFonts w:cs="Times New Roman"/>
          <w:b/>
        </w:rPr>
      </w:pPr>
      <w:r w:rsidRPr="007C00C5">
        <w:rPr>
          <w:rFonts w:cs="Times New Roman"/>
          <w:b/>
        </w:rPr>
        <w:t xml:space="preserve">Figure </w:t>
      </w:r>
      <w:r w:rsidR="00085F57">
        <w:rPr>
          <w:rFonts w:cs="Times New Roman"/>
          <w:b/>
        </w:rPr>
        <w:t>5</w:t>
      </w:r>
      <w:r w:rsidRPr="007C00C5">
        <w:rPr>
          <w:rFonts w:cs="Times New Roman"/>
          <w:b/>
        </w:rPr>
        <w:t>: Electricity generation and capacity by source in Ontario (201</w:t>
      </w:r>
      <w:r>
        <w:rPr>
          <w:rFonts w:cs="Times New Roman"/>
          <w:b/>
        </w:rPr>
        <w:t>4</w:t>
      </w:r>
      <w:r w:rsidRPr="007C00C5">
        <w:rPr>
          <w:rFonts w:cs="Times New Roman"/>
          <w:b/>
        </w:rPr>
        <w:t>)</w:t>
      </w:r>
    </w:p>
    <w:p w:rsidR="00A32E05" w:rsidRDefault="00A01ED7" w:rsidP="008C247F">
      <w:pPr>
        <w:spacing w:line="240" w:lineRule="auto"/>
        <w:jc w:val="both"/>
      </w:pPr>
      <w:r w:rsidRPr="00E657F5">
        <w:rPr>
          <w:rFonts w:cs="Times New Roman"/>
          <w:i/>
        </w:rPr>
        <w:t>Data for this figure are drawn from the Ontario Energy Board</w:t>
      </w:r>
      <w:r>
        <w:rPr>
          <w:rFonts w:cs="Times New Roman"/>
          <w:i/>
        </w:rPr>
        <w:t xml:space="preserve"> and IESO</w:t>
      </w:r>
      <w:r w:rsidRPr="00E657F5">
        <w:rPr>
          <w:rFonts w:cs="Times New Roman"/>
          <w:i/>
        </w:rPr>
        <w:t>. Note that</w:t>
      </w:r>
      <w:r>
        <w:rPr>
          <w:rFonts w:cs="Times New Roman"/>
          <w:i/>
        </w:rPr>
        <w:t xml:space="preserve"> </w:t>
      </w:r>
      <w:r w:rsidRPr="00E657F5">
        <w:rPr>
          <w:rFonts w:cs="Times New Roman"/>
          <w:i/>
        </w:rPr>
        <w:t>some capacity was deployed during the course of 201</w:t>
      </w:r>
      <w:r>
        <w:rPr>
          <w:rFonts w:cs="Times New Roman"/>
          <w:i/>
        </w:rPr>
        <w:t>4</w:t>
      </w:r>
      <w:r w:rsidRPr="00E657F5">
        <w:rPr>
          <w:rFonts w:cs="Times New Roman"/>
          <w:i/>
        </w:rPr>
        <w:t xml:space="preserve"> and </w:t>
      </w:r>
      <w:r>
        <w:rPr>
          <w:rFonts w:cs="Times New Roman"/>
          <w:i/>
        </w:rPr>
        <w:t xml:space="preserve">was not </w:t>
      </w:r>
      <w:r w:rsidRPr="00E657F5">
        <w:rPr>
          <w:rFonts w:cs="Times New Roman"/>
          <w:i/>
        </w:rPr>
        <w:t>in operation over the entire year.</w:t>
      </w:r>
    </w:p>
    <w:p w:rsidR="00A01ED7" w:rsidRDefault="00A01ED7" w:rsidP="008C247F">
      <w:pPr>
        <w:spacing w:line="240" w:lineRule="auto"/>
        <w:jc w:val="both"/>
      </w:pPr>
    </w:p>
    <w:p w:rsidR="00836DB2" w:rsidRDefault="006C4C7A" w:rsidP="008C247F">
      <w:pPr>
        <w:spacing w:line="240" w:lineRule="auto"/>
        <w:jc w:val="both"/>
        <w:rPr>
          <w:rFonts w:cs="Times New Roman"/>
          <w:szCs w:val="24"/>
        </w:rPr>
      </w:pPr>
      <w:r>
        <w:lastRenderedPageBreak/>
        <w:t>Choices made in the recent past have</w:t>
      </w:r>
      <w:r w:rsidR="00836DB2">
        <w:t xml:space="preserve"> also shaped the electricity configuration (</w:t>
      </w:r>
      <w:r w:rsidR="0026416B">
        <w:t xml:space="preserve">see </w:t>
      </w:r>
      <w:r w:rsidR="00836DB2">
        <w:t xml:space="preserve">Figure </w:t>
      </w:r>
      <w:r w:rsidR="00391888">
        <w:t>6</w:t>
      </w:r>
      <w:r w:rsidR="00836DB2">
        <w:t>). Over the past decade, the Liberal</w:t>
      </w:r>
      <w:r w:rsidR="006B67EA">
        <w:t xml:space="preserve"> government of Ontario</w:t>
      </w:r>
      <w:r w:rsidR="00836DB2">
        <w:t xml:space="preserve"> ha</w:t>
      </w:r>
      <w:r w:rsidR="00391888">
        <w:t>s</w:t>
      </w:r>
      <w:r w:rsidR="00A01ED7">
        <w:t xml:space="preserve"> directed </w:t>
      </w:r>
      <w:r w:rsidR="00DA2AC2">
        <w:t xml:space="preserve">core </w:t>
      </w:r>
      <w:r w:rsidR="00A01ED7">
        <w:t>actors in the electricity sector</w:t>
      </w:r>
      <w:r w:rsidR="00836DB2">
        <w:t xml:space="preserve"> to: (1) phase out coal power, (2) adopt cleaner power sources, and (3) engage more seriously with conservation and efficiency. </w:t>
      </w:r>
      <w:r w:rsidR="00836DB2">
        <w:rPr>
          <w:rFonts w:cs="Times New Roman"/>
        </w:rPr>
        <w:t xml:space="preserve">While the move away from coal was </w:t>
      </w:r>
      <w:r w:rsidR="00A01ED7">
        <w:rPr>
          <w:rFonts w:cs="Times New Roman"/>
        </w:rPr>
        <w:t xml:space="preserve">initially resisted by core actors, </w:t>
      </w:r>
      <w:r w:rsidR="00836DB2">
        <w:rPr>
          <w:rFonts w:cs="Times New Roman"/>
        </w:rPr>
        <w:t xml:space="preserve">coal generation was </w:t>
      </w:r>
      <w:r w:rsidR="00A01ED7">
        <w:rPr>
          <w:rFonts w:cs="Times New Roman"/>
        </w:rPr>
        <w:t xml:space="preserve">successfully </w:t>
      </w:r>
      <w:r w:rsidR="00836DB2">
        <w:rPr>
          <w:rFonts w:cs="Times New Roman"/>
        </w:rPr>
        <w:t xml:space="preserve">phased out in 2014. </w:t>
      </w:r>
      <w:r w:rsidR="00A01ED7">
        <w:rPr>
          <w:rFonts w:cs="Times New Roman"/>
        </w:rPr>
        <w:t>Facilitated by the boom in shale gas development, this has encouraged a</w:t>
      </w:r>
      <w:r w:rsidR="00836DB2">
        <w:rPr>
          <w:rFonts w:cs="Times New Roman"/>
        </w:rPr>
        <w:t xml:space="preserve"> surge in</w:t>
      </w:r>
      <w:r w:rsidR="00836DB2" w:rsidRPr="00340FC5">
        <w:rPr>
          <w:rFonts w:cs="Times New Roman"/>
        </w:rPr>
        <w:t xml:space="preserve"> natural gas</w:t>
      </w:r>
      <w:r w:rsidR="00836DB2">
        <w:rPr>
          <w:rFonts w:cs="Times New Roman"/>
        </w:rPr>
        <w:t xml:space="preserve"> investment.</w:t>
      </w:r>
      <w:r w:rsidR="00836DB2">
        <w:t xml:space="preserve"> </w:t>
      </w:r>
      <w:r w:rsidR="00836DB2">
        <w:rPr>
          <w:rFonts w:cs="Times New Roman"/>
        </w:rPr>
        <w:t xml:space="preserve">As of 2004, the Liberal government also began promoting the deployment of new renewables through incentive programs. The </w:t>
      </w:r>
      <w:r w:rsidR="00836DB2" w:rsidRPr="000970B3">
        <w:rPr>
          <w:rFonts w:cs="Times New Roman"/>
          <w:i/>
        </w:rPr>
        <w:t>Green Energy and Green Economy Act</w:t>
      </w:r>
      <w:r w:rsidR="00836DB2">
        <w:rPr>
          <w:rFonts w:cs="Times New Roman"/>
        </w:rPr>
        <w:t xml:space="preserve">, with the </w:t>
      </w:r>
      <w:r w:rsidR="00A01ED7">
        <w:rPr>
          <w:rFonts w:cs="Times New Roman"/>
        </w:rPr>
        <w:t xml:space="preserve">FIT </w:t>
      </w:r>
      <w:r w:rsidR="00836DB2">
        <w:rPr>
          <w:rFonts w:cs="Times New Roman"/>
        </w:rPr>
        <w:t xml:space="preserve">as </w:t>
      </w:r>
      <w:r w:rsidR="00836DB2">
        <w:rPr>
          <w:rFonts w:cs="Times New Roman"/>
          <w:szCs w:val="24"/>
        </w:rPr>
        <w:t xml:space="preserve">its centrepiece program, </w:t>
      </w:r>
      <w:r w:rsidR="00836DB2">
        <w:rPr>
          <w:rFonts w:cs="Times New Roman"/>
        </w:rPr>
        <w:t xml:space="preserve">represents the most prominent form of support. </w:t>
      </w:r>
      <w:r w:rsidR="00836DB2" w:rsidRPr="001036E5">
        <w:rPr>
          <w:rFonts w:cs="Times New Roman"/>
        </w:rPr>
        <w:t>Conservation and efficiency objectives have been advanced throug</w:t>
      </w:r>
      <w:r w:rsidR="00836DB2">
        <w:rPr>
          <w:rFonts w:cs="Times New Roman"/>
        </w:rPr>
        <w:t xml:space="preserve">h the rollout of smart meters, time-of-use pricing, </w:t>
      </w:r>
      <w:r w:rsidR="00836DB2" w:rsidRPr="001036E5">
        <w:rPr>
          <w:rFonts w:cs="Times New Roman"/>
        </w:rPr>
        <w:t>and other efforts</w:t>
      </w:r>
      <w:r w:rsidR="00836DB2">
        <w:rPr>
          <w:rFonts w:cs="Times New Roman"/>
        </w:rPr>
        <w:t xml:space="preserve"> (e.g., </w:t>
      </w:r>
      <w:r w:rsidR="00836DB2" w:rsidRPr="001036E5">
        <w:rPr>
          <w:rFonts w:cs="Times New Roman"/>
        </w:rPr>
        <w:t>decoupling revenue from electricity consumption</w:t>
      </w:r>
      <w:r w:rsidR="00836DB2">
        <w:rPr>
          <w:rFonts w:cs="Times New Roman"/>
        </w:rPr>
        <w:t xml:space="preserve"> for local distribution companies)</w:t>
      </w:r>
      <w:r w:rsidR="00836DB2" w:rsidRPr="001036E5">
        <w:rPr>
          <w:rFonts w:cs="Times New Roman"/>
        </w:rPr>
        <w:t>.</w:t>
      </w:r>
      <w:r w:rsidR="003821EA">
        <w:rPr>
          <w:rFonts w:cs="Times New Roman"/>
        </w:rPr>
        <w:t xml:space="preserve"> Nuclear</w:t>
      </w:r>
      <w:r w:rsidR="002D05A4">
        <w:rPr>
          <w:rFonts w:cs="Times New Roman"/>
        </w:rPr>
        <w:t>, on the</w:t>
      </w:r>
      <w:r w:rsidR="00DA2AC2">
        <w:rPr>
          <w:rFonts w:cs="Times New Roman"/>
        </w:rPr>
        <w:t xml:space="preserve"> other hand, has enjoyed</w:t>
      </w:r>
      <w:r w:rsidR="002D05A4">
        <w:rPr>
          <w:rFonts w:cs="Times New Roman"/>
        </w:rPr>
        <w:t xml:space="preserve"> </w:t>
      </w:r>
      <w:r w:rsidR="006B67EA">
        <w:rPr>
          <w:rFonts w:cs="Times New Roman"/>
        </w:rPr>
        <w:t xml:space="preserve">continued </w:t>
      </w:r>
      <w:r w:rsidR="002D05A4">
        <w:rPr>
          <w:rFonts w:cs="Times New Roman"/>
        </w:rPr>
        <w:t xml:space="preserve">support as </w:t>
      </w:r>
      <w:r w:rsidR="00595804">
        <w:rPr>
          <w:rFonts w:cs="Times New Roman"/>
        </w:rPr>
        <w:t>reflected by the refurbishment of a handful of</w:t>
      </w:r>
      <w:r w:rsidR="002D05A4">
        <w:rPr>
          <w:rFonts w:cs="Times New Roman"/>
        </w:rPr>
        <w:t xml:space="preserve"> reactors at Pickering and Bruce </w:t>
      </w:r>
      <w:r w:rsidR="0040528D">
        <w:rPr>
          <w:rFonts w:cs="Times New Roman"/>
        </w:rPr>
        <w:t>sites</w:t>
      </w:r>
      <w:r w:rsidR="002D05A4">
        <w:rPr>
          <w:rFonts w:cs="Times New Roman"/>
        </w:rPr>
        <w:t xml:space="preserve"> </w:t>
      </w:r>
      <w:r w:rsidR="00595804">
        <w:rPr>
          <w:rFonts w:cs="Times New Roman"/>
        </w:rPr>
        <w:t>over</w:t>
      </w:r>
      <w:r w:rsidR="00DA2AC2">
        <w:rPr>
          <w:rFonts w:cs="Times New Roman"/>
        </w:rPr>
        <w:t xml:space="preserve"> the past decade</w:t>
      </w:r>
      <w:r w:rsidR="002D05A4">
        <w:rPr>
          <w:rFonts w:cs="Times New Roman"/>
        </w:rPr>
        <w:t>.</w:t>
      </w:r>
      <w:r w:rsidR="003821EA">
        <w:rPr>
          <w:rFonts w:cs="Times New Roman"/>
        </w:rPr>
        <w:t xml:space="preserve"> </w:t>
      </w:r>
    </w:p>
    <w:p w:rsidR="00836DB2" w:rsidRDefault="00836DB2" w:rsidP="008C247F">
      <w:pPr>
        <w:spacing w:line="240" w:lineRule="auto"/>
        <w:jc w:val="both"/>
      </w:pPr>
    </w:p>
    <w:p w:rsidR="00836DB2" w:rsidRDefault="00085F57" w:rsidP="007D32F1">
      <w:pPr>
        <w:spacing w:line="240" w:lineRule="auto"/>
        <w:jc w:val="center"/>
      </w:pPr>
      <w:r>
        <w:rPr>
          <w:noProof/>
          <w:lang w:eastAsia="en-CA"/>
        </w:rPr>
        <w:drawing>
          <wp:inline distT="0" distB="0" distL="0" distR="0" wp14:anchorId="4DA4B197" wp14:editId="423DDE2C">
            <wp:extent cx="5040000" cy="225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40000" cy="2253600"/>
                    </a:xfrm>
                    <a:prstGeom prst="rect">
                      <a:avLst/>
                    </a:prstGeom>
                  </pic:spPr>
                </pic:pic>
              </a:graphicData>
            </a:graphic>
          </wp:inline>
        </w:drawing>
      </w:r>
    </w:p>
    <w:p w:rsidR="00836DB2" w:rsidRPr="00836DB2" w:rsidRDefault="00836DB2" w:rsidP="008C247F">
      <w:pPr>
        <w:spacing w:line="240" w:lineRule="auto"/>
        <w:jc w:val="both"/>
        <w:rPr>
          <w:b/>
        </w:rPr>
      </w:pPr>
      <w:r w:rsidRPr="00836DB2">
        <w:rPr>
          <w:b/>
        </w:rPr>
        <w:t xml:space="preserve">Figure </w:t>
      </w:r>
      <w:r w:rsidR="00085F57">
        <w:rPr>
          <w:b/>
        </w:rPr>
        <w:t>6</w:t>
      </w:r>
      <w:r w:rsidRPr="00836DB2">
        <w:rPr>
          <w:b/>
        </w:rPr>
        <w:t>: Summary of legacy choices</w:t>
      </w:r>
      <w:r>
        <w:rPr>
          <w:b/>
        </w:rPr>
        <w:t xml:space="preserve"> (2003-2015)</w:t>
      </w:r>
    </w:p>
    <w:p w:rsidR="00836DB2" w:rsidRPr="00836DB2" w:rsidRDefault="00836DB2" w:rsidP="008C247F">
      <w:pPr>
        <w:spacing w:line="240" w:lineRule="auto"/>
        <w:jc w:val="both"/>
        <w:rPr>
          <w:i/>
        </w:rPr>
      </w:pPr>
      <w:r w:rsidRPr="00836DB2">
        <w:rPr>
          <w:i/>
        </w:rPr>
        <w:t>This figure illustrates a number of choices</w:t>
      </w:r>
      <w:r w:rsidR="00FA45FB">
        <w:rPr>
          <w:i/>
        </w:rPr>
        <w:t xml:space="preserve"> made in the recent past</w:t>
      </w:r>
      <w:r w:rsidRPr="00836DB2">
        <w:rPr>
          <w:i/>
        </w:rPr>
        <w:t xml:space="preserve"> that have shaped the current configuration. These choices have been mapped onto </w:t>
      </w:r>
      <w:r w:rsidR="009C36E6">
        <w:rPr>
          <w:i/>
        </w:rPr>
        <w:t xml:space="preserve">historical </w:t>
      </w:r>
      <w:r w:rsidRPr="00836DB2">
        <w:rPr>
          <w:i/>
        </w:rPr>
        <w:t xml:space="preserve">electricity generation </w:t>
      </w:r>
      <w:r w:rsidR="00FA45FB">
        <w:rPr>
          <w:i/>
        </w:rPr>
        <w:t>in the province.</w:t>
      </w:r>
    </w:p>
    <w:p w:rsidR="00836DB2" w:rsidRDefault="00836DB2" w:rsidP="008C247F">
      <w:pPr>
        <w:spacing w:line="240" w:lineRule="auto"/>
        <w:jc w:val="both"/>
      </w:pPr>
    </w:p>
    <w:p w:rsidR="00836DB2" w:rsidRDefault="006B67EA" w:rsidP="008C247F">
      <w:pPr>
        <w:spacing w:line="240" w:lineRule="auto"/>
        <w:jc w:val="both"/>
      </w:pPr>
      <w:r>
        <w:rPr>
          <w:rFonts w:cs="Times New Roman"/>
          <w:szCs w:val="24"/>
        </w:rPr>
        <w:t>Currently</w:t>
      </w:r>
      <w:r w:rsidR="001D2415">
        <w:rPr>
          <w:rFonts w:cs="Times New Roman"/>
          <w:szCs w:val="24"/>
        </w:rPr>
        <w:t xml:space="preserve">, </w:t>
      </w:r>
      <w:r w:rsidR="00627F67">
        <w:rPr>
          <w:rFonts w:cs="Times New Roman"/>
          <w:szCs w:val="24"/>
        </w:rPr>
        <w:t xml:space="preserve">poor economic conditions and </w:t>
      </w:r>
      <w:r w:rsidR="00492819">
        <w:rPr>
          <w:rFonts w:cs="Times New Roman"/>
          <w:szCs w:val="24"/>
        </w:rPr>
        <w:t>strengthened</w:t>
      </w:r>
      <w:r w:rsidR="00627F67">
        <w:rPr>
          <w:rFonts w:cs="Times New Roman"/>
          <w:szCs w:val="24"/>
        </w:rPr>
        <w:t xml:space="preserve"> climate </w:t>
      </w:r>
      <w:r w:rsidR="00492819">
        <w:rPr>
          <w:rFonts w:cs="Times New Roman"/>
          <w:szCs w:val="24"/>
        </w:rPr>
        <w:t>policy</w:t>
      </w:r>
      <w:r w:rsidR="00627F67">
        <w:rPr>
          <w:rFonts w:cs="Times New Roman"/>
          <w:szCs w:val="24"/>
        </w:rPr>
        <w:t xml:space="preserve"> are</w:t>
      </w:r>
      <w:r w:rsidR="001D2415">
        <w:rPr>
          <w:rFonts w:cs="Times New Roman"/>
          <w:szCs w:val="24"/>
        </w:rPr>
        <w:t xml:space="preserve"> impinging upon</w:t>
      </w:r>
      <w:r w:rsidR="00836DB2">
        <w:rPr>
          <w:rFonts w:cs="Times New Roman"/>
          <w:szCs w:val="24"/>
        </w:rPr>
        <w:t xml:space="preserve"> electricity </w:t>
      </w:r>
      <w:r w:rsidR="002C5BD2">
        <w:rPr>
          <w:rFonts w:cs="Times New Roman"/>
          <w:szCs w:val="24"/>
        </w:rPr>
        <w:t>decision-making</w:t>
      </w:r>
      <w:r w:rsidR="001D2415">
        <w:rPr>
          <w:rFonts w:cs="Times New Roman"/>
          <w:szCs w:val="24"/>
        </w:rPr>
        <w:t>.</w:t>
      </w:r>
      <w:r w:rsidR="00836DB2">
        <w:rPr>
          <w:rFonts w:cs="Times New Roman"/>
          <w:szCs w:val="24"/>
        </w:rPr>
        <w:t xml:space="preserve"> </w:t>
      </w:r>
      <w:r w:rsidR="00492819">
        <w:rPr>
          <w:rFonts w:cs="Times New Roman"/>
          <w:szCs w:val="24"/>
        </w:rPr>
        <w:t>L</w:t>
      </w:r>
      <w:r w:rsidR="00836DB2">
        <w:t>imited economic growth</w:t>
      </w:r>
      <w:r w:rsidR="00836DB2" w:rsidRPr="00CE708E">
        <w:t xml:space="preserve"> has placed fiscal constraints on the government</w:t>
      </w:r>
      <w:r w:rsidR="00836DB2">
        <w:t xml:space="preserve"> and motivated reforms</w:t>
      </w:r>
      <w:r w:rsidR="00836DB2" w:rsidRPr="00CE708E">
        <w:t xml:space="preserve"> </w:t>
      </w:r>
      <w:r w:rsidR="00836DB2">
        <w:t>within</w:t>
      </w:r>
      <w:r w:rsidR="00836DB2" w:rsidRPr="00CE708E">
        <w:t xml:space="preserve"> the</w:t>
      </w:r>
      <w:r w:rsidR="00836DB2">
        <w:t xml:space="preserve"> electricity sector (e.g., the partial</w:t>
      </w:r>
      <w:r w:rsidR="00836DB2" w:rsidRPr="00CE708E">
        <w:t xml:space="preserve"> privatization of </w:t>
      </w:r>
      <w:r w:rsidR="00836DB2">
        <w:t>Hydro One and the exploration of opportunities to increase electricity imports from low-cost hydro-based jurisdictions)</w:t>
      </w:r>
      <w:r w:rsidR="00836DB2" w:rsidRPr="00CE708E">
        <w:t>.</w:t>
      </w:r>
      <w:r w:rsidR="00836DB2">
        <w:t xml:space="preserve"> </w:t>
      </w:r>
      <w:r w:rsidR="00A01ED7">
        <w:t>As part of this, c</w:t>
      </w:r>
      <w:r w:rsidR="00836DB2">
        <w:t xml:space="preserve">ost containment has become an overarching priority in electricity system planning, eroding support for nuclear </w:t>
      </w:r>
      <w:r w:rsidR="00A01ED7">
        <w:t xml:space="preserve">refurbishment </w:t>
      </w:r>
      <w:r w:rsidR="00836DB2">
        <w:t xml:space="preserve">and new renewable incentives. </w:t>
      </w:r>
      <w:r w:rsidR="00492819">
        <w:t>T</w:t>
      </w:r>
      <w:r w:rsidR="00356CDA">
        <w:t>he governing</w:t>
      </w:r>
      <w:r w:rsidR="00836DB2">
        <w:t xml:space="preserve"> Liberal</w:t>
      </w:r>
      <w:r w:rsidR="00356CDA">
        <w:t>s</w:t>
      </w:r>
      <w:r w:rsidR="00836DB2">
        <w:t xml:space="preserve"> </w:t>
      </w:r>
      <w:r w:rsidR="00356CDA">
        <w:t>have</w:t>
      </w:r>
      <w:r w:rsidR="00836DB2">
        <w:t xml:space="preserve"> </w:t>
      </w:r>
      <w:r w:rsidR="00492819">
        <w:t xml:space="preserve">also </w:t>
      </w:r>
      <w:r w:rsidR="00836DB2">
        <w:t>moved to strengthen the climate policy framework by adopting a cap-and-trade system under the Western Climate Initiative (</w:t>
      </w:r>
      <w:r w:rsidR="00356CDA">
        <w:t>joining</w:t>
      </w:r>
      <w:r w:rsidR="00836DB2">
        <w:t xml:space="preserve"> Qu</w:t>
      </w:r>
      <w:r w:rsidR="00836DB2" w:rsidRPr="008743C6">
        <w:t>é</w:t>
      </w:r>
      <w:r w:rsidR="00836DB2">
        <w:t xml:space="preserve">bec and California). </w:t>
      </w:r>
      <w:r w:rsidR="009E1980">
        <w:t>This raises questions about natural gas generation in the context of increasing carbon constraints (</w:t>
      </w:r>
      <w:r w:rsidR="00836DB2">
        <w:t xml:space="preserve">depending on whether </w:t>
      </w:r>
      <w:r w:rsidR="009E1980">
        <w:t>natural gas generators</w:t>
      </w:r>
      <w:r w:rsidR="00836DB2">
        <w:t xml:space="preserve"> negotiate </w:t>
      </w:r>
      <w:r>
        <w:t xml:space="preserve">temporary </w:t>
      </w:r>
      <w:r w:rsidR="00836DB2">
        <w:t>exemptions or f</w:t>
      </w:r>
      <w:r w:rsidR="00492819">
        <w:t>avourable allowance allocations</w:t>
      </w:r>
      <w:r w:rsidR="009E1980">
        <w:t>)</w:t>
      </w:r>
      <w:r w:rsidR="00836DB2">
        <w:t>.</w:t>
      </w:r>
    </w:p>
    <w:p w:rsidR="00836DB2" w:rsidRDefault="00836DB2" w:rsidP="008C247F">
      <w:pPr>
        <w:spacing w:line="240" w:lineRule="auto"/>
        <w:jc w:val="both"/>
      </w:pPr>
    </w:p>
    <w:p w:rsidR="00637269" w:rsidRPr="00122DCF" w:rsidRDefault="00637269" w:rsidP="008C247F">
      <w:pPr>
        <w:spacing w:line="240" w:lineRule="auto"/>
        <w:jc w:val="both"/>
        <w:rPr>
          <w:rFonts w:cs="Times New Roman"/>
          <w:b/>
          <w:szCs w:val="24"/>
        </w:rPr>
      </w:pPr>
      <w:r w:rsidRPr="007F152D">
        <w:rPr>
          <w:rFonts w:cs="Times New Roman"/>
          <w:b/>
          <w:szCs w:val="24"/>
        </w:rPr>
        <w:t>Choices, pathways</w:t>
      </w:r>
      <w:r w:rsidR="00BD5DE5">
        <w:rPr>
          <w:rFonts w:cs="Times New Roman"/>
          <w:b/>
          <w:szCs w:val="24"/>
        </w:rPr>
        <w:t>,</w:t>
      </w:r>
      <w:r w:rsidRPr="007F152D">
        <w:rPr>
          <w:rFonts w:cs="Times New Roman"/>
          <w:b/>
          <w:szCs w:val="24"/>
        </w:rPr>
        <w:t xml:space="preserve"> and emerging renewable</w:t>
      </w:r>
      <w:r w:rsidR="007F152D">
        <w:rPr>
          <w:rFonts w:cs="Times New Roman"/>
          <w:b/>
          <w:szCs w:val="24"/>
        </w:rPr>
        <w:t>s</w:t>
      </w:r>
      <w:r w:rsidRPr="007F152D">
        <w:rPr>
          <w:rFonts w:cs="Times New Roman"/>
          <w:b/>
          <w:szCs w:val="24"/>
        </w:rPr>
        <w:t xml:space="preserve"> in Ontario</w:t>
      </w:r>
    </w:p>
    <w:p w:rsidR="00637269" w:rsidRPr="00E00E23" w:rsidRDefault="00637269" w:rsidP="008C247F">
      <w:pPr>
        <w:spacing w:line="240" w:lineRule="auto"/>
        <w:jc w:val="both"/>
        <w:rPr>
          <w:rFonts w:cs="Times New Roman"/>
          <w:szCs w:val="24"/>
        </w:rPr>
      </w:pPr>
      <w:r>
        <w:rPr>
          <w:rFonts w:cs="Times New Roman"/>
          <w:szCs w:val="24"/>
        </w:rPr>
        <w:t>Th</w:t>
      </w:r>
      <w:r w:rsidR="007F152D">
        <w:rPr>
          <w:rFonts w:cs="Times New Roman"/>
          <w:szCs w:val="24"/>
        </w:rPr>
        <w:t>e above discussion points to</w:t>
      </w:r>
      <w:r>
        <w:rPr>
          <w:rFonts w:cs="Times New Roman"/>
          <w:szCs w:val="24"/>
        </w:rPr>
        <w:t xml:space="preserve"> a number of interlocking choices that </w:t>
      </w:r>
      <w:r w:rsidR="007F152D">
        <w:rPr>
          <w:rFonts w:cs="Times New Roman"/>
          <w:szCs w:val="24"/>
        </w:rPr>
        <w:t xml:space="preserve">will </w:t>
      </w:r>
      <w:r>
        <w:rPr>
          <w:rFonts w:cs="Times New Roman"/>
          <w:szCs w:val="24"/>
        </w:rPr>
        <w:t xml:space="preserve">shape potential low-carbon pathways and the role of </w:t>
      </w:r>
      <w:r w:rsidR="007F152D">
        <w:rPr>
          <w:rFonts w:cs="Times New Roman"/>
          <w:szCs w:val="24"/>
        </w:rPr>
        <w:t xml:space="preserve">new </w:t>
      </w:r>
      <w:r>
        <w:rPr>
          <w:rFonts w:cs="Times New Roman"/>
          <w:szCs w:val="24"/>
        </w:rPr>
        <w:t>renewable</w:t>
      </w:r>
      <w:r w:rsidR="007F152D">
        <w:rPr>
          <w:rFonts w:cs="Times New Roman"/>
          <w:szCs w:val="24"/>
        </w:rPr>
        <w:t>s</w:t>
      </w:r>
      <w:r>
        <w:rPr>
          <w:rFonts w:cs="Times New Roman"/>
          <w:szCs w:val="24"/>
        </w:rPr>
        <w:t xml:space="preserve">. These choices principally revolve around whether: (1) </w:t>
      </w:r>
      <w:r>
        <w:rPr>
          <w:rFonts w:cs="Times New Roman"/>
          <w:i/>
          <w:szCs w:val="24"/>
        </w:rPr>
        <w:t>to e</w:t>
      </w:r>
      <w:r w:rsidRPr="00FF2CAC">
        <w:rPr>
          <w:rFonts w:cs="Times New Roman"/>
          <w:i/>
          <w:szCs w:val="24"/>
        </w:rPr>
        <w:t xml:space="preserve">xtend </w:t>
      </w:r>
      <w:r>
        <w:rPr>
          <w:rFonts w:cs="Times New Roman"/>
          <w:i/>
          <w:szCs w:val="24"/>
        </w:rPr>
        <w:t xml:space="preserve">the </w:t>
      </w:r>
      <w:r w:rsidRPr="00FF2CAC">
        <w:rPr>
          <w:rFonts w:cs="Times New Roman"/>
          <w:i/>
          <w:szCs w:val="24"/>
        </w:rPr>
        <w:t xml:space="preserve">commitment to nuclear power </w:t>
      </w:r>
      <w:r>
        <w:rPr>
          <w:rFonts w:cs="Times New Roman"/>
          <w:i/>
          <w:szCs w:val="24"/>
        </w:rPr>
        <w:t>by refurbishing existing plants</w:t>
      </w:r>
      <w:r>
        <w:rPr>
          <w:rFonts w:cs="Times New Roman"/>
          <w:szCs w:val="24"/>
        </w:rPr>
        <w:t xml:space="preserve">; (2) </w:t>
      </w:r>
      <w:r w:rsidRPr="00FF2CAC">
        <w:rPr>
          <w:rFonts w:cs="Times New Roman"/>
          <w:i/>
          <w:szCs w:val="24"/>
        </w:rPr>
        <w:t xml:space="preserve">to </w:t>
      </w:r>
      <w:r>
        <w:rPr>
          <w:rFonts w:cs="Times New Roman"/>
          <w:i/>
          <w:szCs w:val="24"/>
        </w:rPr>
        <w:t>r</w:t>
      </w:r>
      <w:r w:rsidRPr="00FF2CAC">
        <w:rPr>
          <w:rFonts w:cs="Times New Roman"/>
          <w:i/>
          <w:szCs w:val="24"/>
        </w:rPr>
        <w:t>eaffirm support for new renewables</w:t>
      </w:r>
      <w:r>
        <w:rPr>
          <w:rFonts w:cs="Times New Roman"/>
          <w:szCs w:val="24"/>
        </w:rPr>
        <w:t xml:space="preserve">; (3) </w:t>
      </w:r>
      <w:r w:rsidRPr="005B5575">
        <w:rPr>
          <w:rFonts w:cs="Times New Roman"/>
          <w:i/>
          <w:szCs w:val="24"/>
        </w:rPr>
        <w:t>to augment the role of interconnection and electricity trade with neighbouring hydro-based jurisdictions</w:t>
      </w:r>
      <w:r>
        <w:rPr>
          <w:rFonts w:cs="Times New Roman"/>
          <w:szCs w:val="24"/>
        </w:rPr>
        <w:t>;</w:t>
      </w:r>
      <w:r w:rsidRPr="0017657F">
        <w:rPr>
          <w:rFonts w:cs="Times New Roman"/>
          <w:szCs w:val="24"/>
        </w:rPr>
        <w:t xml:space="preserve"> </w:t>
      </w:r>
      <w:r>
        <w:rPr>
          <w:rFonts w:cs="Times New Roman"/>
          <w:szCs w:val="24"/>
        </w:rPr>
        <w:t xml:space="preserve">(4) </w:t>
      </w:r>
      <w:r w:rsidRPr="00FF2CAC">
        <w:rPr>
          <w:rFonts w:cs="Times New Roman"/>
          <w:i/>
          <w:szCs w:val="24"/>
        </w:rPr>
        <w:t xml:space="preserve">to </w:t>
      </w:r>
      <w:r>
        <w:rPr>
          <w:rFonts w:cs="Times New Roman"/>
          <w:i/>
          <w:szCs w:val="24"/>
        </w:rPr>
        <w:t>i</w:t>
      </w:r>
      <w:r w:rsidRPr="00FF2CAC">
        <w:rPr>
          <w:rFonts w:cs="Times New Roman"/>
          <w:i/>
          <w:szCs w:val="24"/>
        </w:rPr>
        <w:t>ncrease reliance on natural gas-fired generation</w:t>
      </w:r>
      <w:r w:rsidR="007F152D">
        <w:rPr>
          <w:rFonts w:cs="Times New Roman"/>
          <w:i/>
          <w:szCs w:val="24"/>
        </w:rPr>
        <w:t xml:space="preserve"> </w:t>
      </w:r>
      <w:r w:rsidR="007F152D" w:rsidRPr="007F152D">
        <w:rPr>
          <w:rFonts w:cs="Times New Roman"/>
          <w:szCs w:val="24"/>
        </w:rPr>
        <w:t>(</w:t>
      </w:r>
      <w:r w:rsidR="00090C19">
        <w:rPr>
          <w:rFonts w:cs="Times New Roman"/>
          <w:szCs w:val="24"/>
        </w:rPr>
        <w:t>given</w:t>
      </w:r>
      <w:r w:rsidR="007F152D" w:rsidRPr="007F152D">
        <w:rPr>
          <w:rFonts w:cs="Times New Roman"/>
          <w:szCs w:val="24"/>
        </w:rPr>
        <w:t xml:space="preserve"> increasing carbon constraints)</w:t>
      </w:r>
      <w:r>
        <w:rPr>
          <w:rFonts w:cs="Times New Roman"/>
          <w:szCs w:val="24"/>
        </w:rPr>
        <w:t xml:space="preserve">; and (5) </w:t>
      </w:r>
      <w:r w:rsidRPr="005B5575">
        <w:rPr>
          <w:rFonts w:cs="Times New Roman"/>
          <w:i/>
          <w:szCs w:val="24"/>
        </w:rPr>
        <w:t>to pursue conservation and efficiency over expansion.</w:t>
      </w:r>
      <w:r>
        <w:rPr>
          <w:rFonts w:cs="Times New Roman"/>
          <w:i/>
          <w:szCs w:val="24"/>
        </w:rPr>
        <w:t xml:space="preserve"> </w:t>
      </w:r>
      <w:r>
        <w:rPr>
          <w:rFonts w:cs="Times New Roman"/>
          <w:szCs w:val="24"/>
        </w:rPr>
        <w:t xml:space="preserve">By varying the nature and timing of </w:t>
      </w:r>
      <w:r w:rsidR="007F152D">
        <w:rPr>
          <w:rFonts w:cs="Times New Roman"/>
          <w:szCs w:val="24"/>
        </w:rPr>
        <w:t xml:space="preserve">these </w:t>
      </w:r>
      <w:r>
        <w:rPr>
          <w:rFonts w:cs="Times New Roman"/>
          <w:szCs w:val="24"/>
        </w:rPr>
        <w:t>choices, three illustrative low-carbon pathways</w:t>
      </w:r>
      <w:r w:rsidR="007F152D">
        <w:rPr>
          <w:rFonts w:cs="Times New Roman"/>
          <w:szCs w:val="24"/>
        </w:rPr>
        <w:t xml:space="preserve"> are developed</w:t>
      </w:r>
      <w:r>
        <w:rPr>
          <w:rFonts w:cs="Times New Roman"/>
          <w:szCs w:val="24"/>
        </w:rPr>
        <w:t xml:space="preserve"> (</w:t>
      </w:r>
      <w:r w:rsidR="00090C19">
        <w:rPr>
          <w:rFonts w:cs="Times New Roman"/>
          <w:szCs w:val="24"/>
        </w:rPr>
        <w:t xml:space="preserve">see </w:t>
      </w:r>
      <w:r>
        <w:rPr>
          <w:rFonts w:cs="Times New Roman"/>
          <w:szCs w:val="24"/>
        </w:rPr>
        <w:t xml:space="preserve">Figures </w:t>
      </w:r>
      <w:r w:rsidR="00740ED8">
        <w:rPr>
          <w:rFonts w:cs="Times New Roman"/>
          <w:szCs w:val="24"/>
        </w:rPr>
        <w:t>7</w:t>
      </w:r>
      <w:r>
        <w:rPr>
          <w:rFonts w:cs="Times New Roman"/>
          <w:szCs w:val="24"/>
        </w:rPr>
        <w:t>-</w:t>
      </w:r>
      <w:r w:rsidR="00740ED8">
        <w:rPr>
          <w:rFonts w:cs="Times New Roman"/>
          <w:szCs w:val="24"/>
        </w:rPr>
        <w:t>9</w:t>
      </w:r>
      <w:r>
        <w:rPr>
          <w:rFonts w:cs="Times New Roman"/>
          <w:szCs w:val="24"/>
        </w:rPr>
        <w:t xml:space="preserve">). </w:t>
      </w:r>
      <w:r w:rsidR="007F152D">
        <w:rPr>
          <w:rFonts w:cs="Times New Roman"/>
          <w:szCs w:val="24"/>
        </w:rPr>
        <w:t>T</w:t>
      </w:r>
      <w:r>
        <w:rPr>
          <w:rFonts w:cs="Times New Roman"/>
          <w:szCs w:val="24"/>
        </w:rPr>
        <w:t xml:space="preserve">hese illustrative pathways represent </w:t>
      </w:r>
      <w:r w:rsidR="007A386A">
        <w:rPr>
          <w:rFonts w:cs="Times New Roman"/>
          <w:szCs w:val="24"/>
        </w:rPr>
        <w:t>a typology</w:t>
      </w:r>
      <w:r>
        <w:rPr>
          <w:rFonts w:cs="Times New Roman"/>
          <w:szCs w:val="24"/>
        </w:rPr>
        <w:t xml:space="preserve"> </w:t>
      </w:r>
      <w:r w:rsidR="007A386A">
        <w:rPr>
          <w:rFonts w:cs="Times New Roman"/>
          <w:szCs w:val="24"/>
        </w:rPr>
        <w:t>of development possibilities</w:t>
      </w:r>
      <w:r>
        <w:rPr>
          <w:rFonts w:cs="Times New Roman"/>
          <w:szCs w:val="24"/>
        </w:rPr>
        <w:t>.</w:t>
      </w:r>
      <w:r w:rsidR="007A386A">
        <w:rPr>
          <w:rFonts w:cs="Times New Roman"/>
          <w:szCs w:val="24"/>
        </w:rPr>
        <w:t xml:space="preserve"> Actual development patterns are likely to mesh elements of the three pathways.</w:t>
      </w:r>
    </w:p>
    <w:p w:rsidR="00A32E05" w:rsidRDefault="00A32E05" w:rsidP="008C247F">
      <w:pPr>
        <w:spacing w:line="240" w:lineRule="auto"/>
        <w:jc w:val="both"/>
      </w:pPr>
    </w:p>
    <w:p w:rsidR="00553E61" w:rsidRDefault="00070F7C" w:rsidP="008C247F">
      <w:pPr>
        <w:spacing w:line="240" w:lineRule="auto"/>
        <w:jc w:val="both"/>
      </w:pPr>
      <w:r w:rsidRPr="00CB6E38">
        <w:lastRenderedPageBreak/>
        <w:t>The first illustrative pathway</w:t>
      </w:r>
      <w:r w:rsidR="00CF384E">
        <w:t xml:space="preserve"> –</w:t>
      </w:r>
      <w:r w:rsidR="005E54F7">
        <w:t xml:space="preserve"> nuclear renewal</w:t>
      </w:r>
      <w:r w:rsidR="00CF384E">
        <w:t xml:space="preserve"> –</w:t>
      </w:r>
      <w:r w:rsidRPr="00CB6E38">
        <w:t xml:space="preserve"> examines the timing and nature of choices associated with a relatively path dependent evolution of the electricity system. It </w:t>
      </w:r>
      <w:r w:rsidR="007F152D">
        <w:t xml:space="preserve">closely </w:t>
      </w:r>
      <w:r w:rsidRPr="00CB6E38">
        <w:t>mirrors</w:t>
      </w:r>
      <w:r w:rsidR="007F152D">
        <w:t xml:space="preserve"> the</w:t>
      </w:r>
      <w:r w:rsidRPr="00CB6E38">
        <w:t xml:space="preserve"> </w:t>
      </w:r>
      <w:r w:rsidR="007F152D">
        <w:t xml:space="preserve">development trajectory established by core actors in the sector </w:t>
      </w:r>
      <w:r w:rsidRPr="00CB6E38">
        <w:t>(e.g.</w:t>
      </w:r>
      <w:r w:rsidR="00740ED8">
        <w:t>,</w:t>
      </w:r>
      <w:r w:rsidRPr="00CB6E38">
        <w:t xml:space="preserve"> the Long-term energy plan).</w:t>
      </w:r>
      <w:r w:rsidR="00CB6E38">
        <w:t xml:space="preserve"> </w:t>
      </w:r>
      <w:r w:rsidR="007F152D">
        <w:t xml:space="preserve">This path </w:t>
      </w:r>
      <w:r w:rsidR="00090C19">
        <w:t>hinges</w:t>
      </w:r>
      <w:r w:rsidR="007F152D">
        <w:t xml:space="preserve"> on nuclear commitments </w:t>
      </w:r>
      <w:r w:rsidR="007D32F1">
        <w:t>remaining</w:t>
      </w:r>
      <w:r w:rsidR="007F152D">
        <w:t xml:space="preserve"> relatively unchallenged</w:t>
      </w:r>
      <w:r w:rsidR="00BD5DE5">
        <w:t xml:space="preserve"> and</w:t>
      </w:r>
      <w:r w:rsidR="007D32F1">
        <w:t xml:space="preserve"> the</w:t>
      </w:r>
      <w:r w:rsidR="007F152D">
        <w:t xml:space="preserve"> successful negotiat</w:t>
      </w:r>
      <w:r w:rsidR="007D32F1">
        <w:t>ion of</w:t>
      </w:r>
      <w:r w:rsidR="007F152D">
        <w:t xml:space="preserve"> contracts for </w:t>
      </w:r>
      <w:r w:rsidR="007B696B">
        <w:t>reactor</w:t>
      </w:r>
      <w:r w:rsidR="007F152D">
        <w:t xml:space="preserve"> refurbishment</w:t>
      </w:r>
      <w:r w:rsidR="00BD5DE5">
        <w:t xml:space="preserve"> (i.e.</w:t>
      </w:r>
      <w:r w:rsidR="00740ED8">
        <w:t>,</w:t>
      </w:r>
      <w:r w:rsidR="00BD5DE5">
        <w:t xml:space="preserve"> </w:t>
      </w:r>
      <w:r w:rsidR="007F152D">
        <w:t>shifting liabilities</w:t>
      </w:r>
      <w:r w:rsidR="00BD5DE5">
        <w:t xml:space="preserve"> for delays and cost overruns</w:t>
      </w:r>
      <w:r w:rsidR="007F152D">
        <w:t xml:space="preserve"> to private sector </w:t>
      </w:r>
      <w:r w:rsidR="00090C19">
        <w:t>firms</w:t>
      </w:r>
      <w:r w:rsidR="00BD5DE5">
        <w:t>)</w:t>
      </w:r>
      <w:r w:rsidR="007F152D">
        <w:t xml:space="preserve">. </w:t>
      </w:r>
      <w:r w:rsidR="00D71697">
        <w:t xml:space="preserve">In this pathway, other existing sources would mainly be used to bridge supply shortfalls until nuclear reactors come back online. More vigorous support for new renewables </w:t>
      </w:r>
      <w:r w:rsidR="007D32F1">
        <w:t>and</w:t>
      </w:r>
      <w:r w:rsidR="00D71697">
        <w:t xml:space="preserve"> associated system innovations (e.g.</w:t>
      </w:r>
      <w:r w:rsidR="00740ED8">
        <w:t>,</w:t>
      </w:r>
      <w:r w:rsidR="00D71697">
        <w:t xml:space="preserve"> changes to operational procedures or procurement criteria) would make little sense. </w:t>
      </w:r>
      <w:r w:rsidR="007D32F1">
        <w:t>G</w:t>
      </w:r>
      <w:r w:rsidR="005E54F7">
        <w:t xml:space="preserve">rid modernization efforts </w:t>
      </w:r>
      <w:r w:rsidR="007D32F1">
        <w:t xml:space="preserve">could be deployed incrementally </w:t>
      </w:r>
      <w:r w:rsidR="005E54F7">
        <w:t xml:space="preserve">to address the inflexibility of nuclear rather than integrate additional variable new renewables. </w:t>
      </w:r>
    </w:p>
    <w:p w:rsidR="00070F7C" w:rsidRDefault="00070F7C" w:rsidP="008C247F">
      <w:pPr>
        <w:spacing w:line="240" w:lineRule="auto"/>
        <w:jc w:val="both"/>
      </w:pPr>
    </w:p>
    <w:p w:rsidR="000774C9" w:rsidRDefault="00085F57" w:rsidP="007D32F1">
      <w:pPr>
        <w:spacing w:line="240" w:lineRule="auto"/>
        <w:jc w:val="center"/>
      </w:pPr>
      <w:r>
        <w:rPr>
          <w:noProof/>
          <w:lang w:eastAsia="en-CA"/>
        </w:rPr>
        <w:drawing>
          <wp:inline distT="0" distB="0" distL="0" distR="0" wp14:anchorId="29E756F8" wp14:editId="2B0021F1">
            <wp:extent cx="5040000" cy="225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40000" cy="2253600"/>
                    </a:xfrm>
                    <a:prstGeom prst="rect">
                      <a:avLst/>
                    </a:prstGeom>
                  </pic:spPr>
                </pic:pic>
              </a:graphicData>
            </a:graphic>
          </wp:inline>
        </w:drawing>
      </w:r>
    </w:p>
    <w:p w:rsidR="000774C9" w:rsidRPr="000774C9" w:rsidRDefault="000774C9" w:rsidP="008C247F">
      <w:pPr>
        <w:spacing w:line="240" w:lineRule="auto"/>
        <w:jc w:val="both"/>
        <w:rPr>
          <w:b/>
        </w:rPr>
      </w:pPr>
      <w:r w:rsidRPr="000774C9">
        <w:rPr>
          <w:b/>
        </w:rPr>
        <w:t xml:space="preserve">Figure </w:t>
      </w:r>
      <w:r w:rsidR="00085F57">
        <w:rPr>
          <w:b/>
        </w:rPr>
        <w:t>7</w:t>
      </w:r>
      <w:r w:rsidRPr="000774C9">
        <w:rPr>
          <w:b/>
        </w:rPr>
        <w:t>: Illustrative pathway 1 – Nuclear Renewal</w:t>
      </w:r>
    </w:p>
    <w:p w:rsidR="007D32F1" w:rsidRDefault="007D32F1" w:rsidP="008C247F">
      <w:pPr>
        <w:spacing w:line="240" w:lineRule="auto"/>
        <w:jc w:val="both"/>
      </w:pPr>
    </w:p>
    <w:p w:rsidR="000774C9" w:rsidRDefault="00553E61" w:rsidP="008C247F">
      <w:pPr>
        <w:spacing w:line="240" w:lineRule="auto"/>
        <w:jc w:val="both"/>
      </w:pPr>
      <w:r w:rsidRPr="00CB6E38">
        <w:t>The second illustrative pathway</w:t>
      </w:r>
      <w:r>
        <w:t xml:space="preserve"> – natural gas fills the gap –</w:t>
      </w:r>
      <w:r w:rsidRPr="00CB6E38">
        <w:t xml:space="preserve"> examines the timing and nature of choices associated with a </w:t>
      </w:r>
      <w:r>
        <w:t xml:space="preserve">more </w:t>
      </w:r>
      <w:r w:rsidRPr="00CB6E38">
        <w:t>path breaking evolution of the electricity system.</w:t>
      </w:r>
      <w:r>
        <w:t xml:space="preserve"> </w:t>
      </w:r>
      <w:r>
        <w:rPr>
          <w:rFonts w:cs="Times New Roman"/>
          <w:szCs w:val="24"/>
        </w:rPr>
        <w:t xml:space="preserve">In marked contrast to nuclear renewal, this pathway revolves around an increasing reliance on natural gas generation as older nuclear reactors are </w:t>
      </w:r>
      <w:r w:rsidR="007D32F1">
        <w:rPr>
          <w:rFonts w:cs="Times New Roman"/>
          <w:szCs w:val="24"/>
        </w:rPr>
        <w:t xml:space="preserve">gradually </w:t>
      </w:r>
      <w:r>
        <w:rPr>
          <w:rFonts w:cs="Times New Roman"/>
          <w:szCs w:val="24"/>
        </w:rPr>
        <w:t>decommissioned. As nuclear reactors ramp down at the end of their useful lives, a more flexible system could emerge and open up additional space for a series of alternatives (</w:t>
      </w:r>
      <w:r w:rsidR="007D32F1">
        <w:rPr>
          <w:rFonts w:cs="Times New Roman"/>
          <w:szCs w:val="24"/>
        </w:rPr>
        <w:t>e.g.,</w:t>
      </w:r>
      <w:r w:rsidR="00090C19">
        <w:rPr>
          <w:rFonts w:cs="Times New Roman"/>
          <w:szCs w:val="24"/>
        </w:rPr>
        <w:t xml:space="preserve"> variable</w:t>
      </w:r>
      <w:r w:rsidR="007D32F1">
        <w:rPr>
          <w:rFonts w:cs="Times New Roman"/>
          <w:szCs w:val="24"/>
        </w:rPr>
        <w:t xml:space="preserve"> </w:t>
      </w:r>
      <w:r>
        <w:rPr>
          <w:rFonts w:cs="Times New Roman"/>
          <w:szCs w:val="24"/>
        </w:rPr>
        <w:t xml:space="preserve">new renewables, </w:t>
      </w:r>
      <w:r w:rsidR="00090C19">
        <w:rPr>
          <w:rFonts w:cs="Times New Roman"/>
          <w:szCs w:val="24"/>
        </w:rPr>
        <w:t xml:space="preserve">electricity </w:t>
      </w:r>
      <w:r>
        <w:rPr>
          <w:rFonts w:cs="Times New Roman"/>
          <w:szCs w:val="24"/>
        </w:rPr>
        <w:t>trade, and enhanced conservation efforts).</w:t>
      </w:r>
      <w:r>
        <w:t xml:space="preserve"> </w:t>
      </w:r>
      <w:r w:rsidRPr="00CB6E38">
        <w:t xml:space="preserve">Yet, while this illustrative pathway may </w:t>
      </w:r>
      <w:r>
        <w:t>diverge</w:t>
      </w:r>
      <w:r w:rsidRPr="00CB6E38">
        <w:t xml:space="preserve"> </w:t>
      </w:r>
      <w:r>
        <w:t>from</w:t>
      </w:r>
      <w:r w:rsidRPr="00CB6E38">
        <w:t xml:space="preserve"> established trajector</w:t>
      </w:r>
      <w:r w:rsidR="007D32F1">
        <w:t>ies</w:t>
      </w:r>
      <w:r w:rsidRPr="00CB6E38">
        <w:t xml:space="preserve">, it is more carbon-intensive unless envisioned as a move toward carbon capture </w:t>
      </w:r>
      <w:r w:rsidR="00FC7F50">
        <w:t xml:space="preserve">and </w:t>
      </w:r>
      <w:r w:rsidRPr="00CB6E38">
        <w:t xml:space="preserve">storage (but this </w:t>
      </w:r>
      <w:r w:rsidR="00740ED8">
        <w:t>presents</w:t>
      </w:r>
      <w:r w:rsidRPr="00CB6E38">
        <w:t xml:space="preserve"> uncertain</w:t>
      </w:r>
      <w:r w:rsidR="00740ED8">
        <w:t>ties and challenges</w:t>
      </w:r>
      <w:r w:rsidRPr="00CB6E38">
        <w:t>).</w:t>
      </w:r>
      <w:r>
        <w:t xml:space="preserve"> Th</w:t>
      </w:r>
      <w:r w:rsidR="00090C19">
        <w:t>e unfolding</w:t>
      </w:r>
      <w:r w:rsidR="007D32F1">
        <w:t xml:space="preserve"> </w:t>
      </w:r>
      <w:r w:rsidR="007B696B">
        <w:t xml:space="preserve">of this </w:t>
      </w:r>
      <w:r w:rsidR="007D32F1">
        <w:t>pathway</w:t>
      </w:r>
      <w:r>
        <w:t xml:space="preserve"> would likely depend on </w:t>
      </w:r>
      <w:r w:rsidR="007D32F1">
        <w:t xml:space="preserve">the </w:t>
      </w:r>
      <w:proofErr w:type="spellStart"/>
      <w:r w:rsidR="007D32F1">
        <w:t>delegitimization</w:t>
      </w:r>
      <w:proofErr w:type="spellEnd"/>
      <w:r w:rsidR="007D32F1">
        <w:t xml:space="preserve"> of</w:t>
      </w:r>
      <w:r>
        <w:t xml:space="preserve"> </w:t>
      </w:r>
      <w:r w:rsidR="007B696B">
        <w:t>reactor</w:t>
      </w:r>
      <w:r>
        <w:t xml:space="preserve"> refurbishment (on cost or sustainability grounds)</w:t>
      </w:r>
      <w:r w:rsidR="007D32F1">
        <w:t xml:space="preserve"> by rival actors</w:t>
      </w:r>
      <w:r>
        <w:t xml:space="preserve"> </w:t>
      </w:r>
      <w:r w:rsidR="007D32F1">
        <w:t>(perhaps involving</w:t>
      </w:r>
      <w:r>
        <w:t xml:space="preserve"> a strategic alliance between natural gas and new renewable advocates</w:t>
      </w:r>
      <w:r w:rsidR="007D32F1">
        <w:t>)</w:t>
      </w:r>
      <w:r>
        <w:t>.</w:t>
      </w:r>
    </w:p>
    <w:p w:rsidR="00553E61" w:rsidRDefault="00553E61" w:rsidP="008C247F">
      <w:pPr>
        <w:spacing w:line="240" w:lineRule="auto"/>
        <w:jc w:val="both"/>
      </w:pPr>
    </w:p>
    <w:p w:rsidR="000774C9" w:rsidRDefault="00085F57" w:rsidP="009D015C">
      <w:pPr>
        <w:spacing w:line="240" w:lineRule="auto"/>
        <w:jc w:val="center"/>
      </w:pPr>
      <w:r>
        <w:rPr>
          <w:noProof/>
          <w:lang w:eastAsia="en-CA"/>
        </w:rPr>
        <w:drawing>
          <wp:inline distT="0" distB="0" distL="0" distR="0" wp14:anchorId="7DFA26A1" wp14:editId="00A8E8DA">
            <wp:extent cx="4838400" cy="21600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838400" cy="2160000"/>
                    </a:xfrm>
                    <a:prstGeom prst="rect">
                      <a:avLst/>
                    </a:prstGeom>
                  </pic:spPr>
                </pic:pic>
              </a:graphicData>
            </a:graphic>
          </wp:inline>
        </w:drawing>
      </w:r>
    </w:p>
    <w:p w:rsidR="000774C9" w:rsidRPr="000774C9" w:rsidRDefault="000774C9" w:rsidP="008C247F">
      <w:pPr>
        <w:spacing w:line="240" w:lineRule="auto"/>
        <w:jc w:val="both"/>
        <w:rPr>
          <w:b/>
        </w:rPr>
      </w:pPr>
      <w:r w:rsidRPr="000774C9">
        <w:rPr>
          <w:b/>
        </w:rPr>
        <w:t xml:space="preserve">Figure </w:t>
      </w:r>
      <w:r w:rsidR="00085F57">
        <w:rPr>
          <w:b/>
        </w:rPr>
        <w:t>8</w:t>
      </w:r>
      <w:r w:rsidRPr="000774C9">
        <w:rPr>
          <w:b/>
        </w:rPr>
        <w:t xml:space="preserve">: Illustrative pathway </w:t>
      </w:r>
      <w:r>
        <w:rPr>
          <w:b/>
        </w:rPr>
        <w:t>2</w:t>
      </w:r>
      <w:r w:rsidRPr="000774C9">
        <w:rPr>
          <w:b/>
        </w:rPr>
        <w:t xml:space="preserve"> – </w:t>
      </w:r>
      <w:r w:rsidR="00553E61">
        <w:rPr>
          <w:b/>
        </w:rPr>
        <w:t>Natural gas fills the gap</w:t>
      </w:r>
    </w:p>
    <w:p w:rsidR="000774C9" w:rsidRDefault="000774C9" w:rsidP="008C247F">
      <w:pPr>
        <w:spacing w:line="240" w:lineRule="auto"/>
        <w:jc w:val="both"/>
      </w:pPr>
    </w:p>
    <w:p w:rsidR="00553E61" w:rsidRDefault="00553E61" w:rsidP="008C247F">
      <w:pPr>
        <w:spacing w:line="240" w:lineRule="auto"/>
        <w:jc w:val="both"/>
      </w:pPr>
      <w:r>
        <w:lastRenderedPageBreak/>
        <w:t xml:space="preserve">The third illustrative </w:t>
      </w:r>
      <w:r w:rsidR="00740ED8">
        <w:t>pathway – integrated approach –</w:t>
      </w:r>
      <w:r>
        <w:t xml:space="preserve"> represents </w:t>
      </w:r>
      <w:r w:rsidR="00740ED8">
        <w:t>the</w:t>
      </w:r>
      <w:r>
        <w:t xml:space="preserve"> mo</w:t>
      </w:r>
      <w:r w:rsidR="00740ED8">
        <w:t>st</w:t>
      </w:r>
      <w:r>
        <w:t xml:space="preserve"> path breaking evolution of the electricity system. </w:t>
      </w:r>
      <w:r w:rsidR="00DA101D">
        <w:t>T</w:t>
      </w:r>
      <w:r>
        <w:t xml:space="preserve">his pathway emphasizes the accelerated diffusion of </w:t>
      </w:r>
      <w:r w:rsidR="00591828">
        <w:t>complementary</w:t>
      </w:r>
      <w:r>
        <w:t xml:space="preserve"> </w:t>
      </w:r>
      <w:r w:rsidR="00591828">
        <w:t>emerging</w:t>
      </w:r>
      <w:r>
        <w:t xml:space="preserve"> low-carbon innovations and practices</w:t>
      </w:r>
      <w:r w:rsidR="002A06D8">
        <w:t xml:space="preserve"> in order to displace both nuclear and natural gas</w:t>
      </w:r>
      <w:r>
        <w:t xml:space="preserve">. </w:t>
      </w:r>
      <w:r w:rsidR="00644F8F">
        <w:t>As part of this, nuclear and natural gas possibilities would likely need to</w:t>
      </w:r>
      <w:r>
        <w:t xml:space="preserve"> </w:t>
      </w:r>
      <w:r w:rsidR="00DA101D">
        <w:t xml:space="preserve">be </w:t>
      </w:r>
      <w:r w:rsidR="00DC5E52">
        <w:t>delegitimized</w:t>
      </w:r>
      <w:r w:rsidR="00644F8F">
        <w:t xml:space="preserve"> (perhaps </w:t>
      </w:r>
      <w:r w:rsidR="002A00AC">
        <w:t>linking to concerns about risks and</w:t>
      </w:r>
      <w:r w:rsidR="00644F8F">
        <w:t xml:space="preserve"> </w:t>
      </w:r>
      <w:r w:rsidR="00D066B0">
        <w:t xml:space="preserve">intensified </w:t>
      </w:r>
      <w:r w:rsidR="00DC5E52">
        <w:t>low-carbon</w:t>
      </w:r>
      <w:r w:rsidR="00644F8F">
        <w:t xml:space="preserve"> </w:t>
      </w:r>
      <w:r w:rsidR="002A06D8">
        <w:t>objectives</w:t>
      </w:r>
      <w:r w:rsidR="00644F8F">
        <w:t>)</w:t>
      </w:r>
      <w:r w:rsidR="00DC5E52">
        <w:t xml:space="preserve">. </w:t>
      </w:r>
      <w:r w:rsidR="00644F8F">
        <w:t>Rather</w:t>
      </w:r>
      <w:r w:rsidR="00DB334F">
        <w:t>, natural gas could</w:t>
      </w:r>
      <w:r w:rsidR="00591828">
        <w:t xml:space="preserve"> </w:t>
      </w:r>
      <w:r w:rsidR="00DC5E52">
        <w:t xml:space="preserve">be envisioned as a stopgap for </w:t>
      </w:r>
      <w:r w:rsidR="002A06D8">
        <w:t>grid modernization efforts and</w:t>
      </w:r>
      <w:r w:rsidR="00DC5E52">
        <w:t xml:space="preserve"> </w:t>
      </w:r>
      <w:r w:rsidR="002A06D8">
        <w:t>vehicle-to-grid possibilities</w:t>
      </w:r>
      <w:r w:rsidR="00DC5E52">
        <w:t xml:space="preserve">. Long-term trade agreements could also </w:t>
      </w:r>
      <w:r w:rsidR="002A06D8">
        <w:t xml:space="preserve">be </w:t>
      </w:r>
      <w:r w:rsidR="00FC7F50">
        <w:t>negotiated</w:t>
      </w:r>
      <w:r w:rsidR="002A06D8">
        <w:t xml:space="preserve"> with neighbouring jurisdictions to further enable new renewables</w:t>
      </w:r>
      <w:r w:rsidR="00E848CA">
        <w:t xml:space="preserve"> and pick up the slack from declining conventional generation</w:t>
      </w:r>
      <w:r w:rsidR="002A06D8">
        <w:t>.</w:t>
      </w:r>
    </w:p>
    <w:p w:rsidR="00553E61" w:rsidRDefault="00553E61" w:rsidP="008C247F">
      <w:pPr>
        <w:spacing w:line="240" w:lineRule="auto"/>
        <w:jc w:val="both"/>
      </w:pPr>
    </w:p>
    <w:p w:rsidR="00C45F3B" w:rsidRDefault="00085F57" w:rsidP="009D015C">
      <w:pPr>
        <w:spacing w:line="240" w:lineRule="auto"/>
        <w:jc w:val="center"/>
      </w:pPr>
      <w:r>
        <w:rPr>
          <w:noProof/>
          <w:lang w:eastAsia="en-CA"/>
        </w:rPr>
        <w:drawing>
          <wp:inline distT="0" distB="0" distL="0" distR="0" wp14:anchorId="50331D9D" wp14:editId="5403FFE7">
            <wp:extent cx="4867200" cy="216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67200" cy="2160000"/>
                    </a:xfrm>
                    <a:prstGeom prst="rect">
                      <a:avLst/>
                    </a:prstGeom>
                  </pic:spPr>
                </pic:pic>
              </a:graphicData>
            </a:graphic>
          </wp:inline>
        </w:drawing>
      </w:r>
    </w:p>
    <w:p w:rsidR="00C45F3B" w:rsidRDefault="00C45F3B" w:rsidP="008C247F">
      <w:pPr>
        <w:spacing w:line="240" w:lineRule="auto"/>
        <w:jc w:val="both"/>
        <w:rPr>
          <w:b/>
        </w:rPr>
      </w:pPr>
      <w:r w:rsidRPr="000774C9">
        <w:rPr>
          <w:b/>
        </w:rPr>
        <w:t>Figure</w:t>
      </w:r>
      <w:r>
        <w:rPr>
          <w:b/>
        </w:rPr>
        <w:t xml:space="preserve"> </w:t>
      </w:r>
      <w:r w:rsidR="00085F57">
        <w:rPr>
          <w:b/>
        </w:rPr>
        <w:t>9</w:t>
      </w:r>
      <w:r w:rsidRPr="000774C9">
        <w:rPr>
          <w:b/>
        </w:rPr>
        <w:t xml:space="preserve">: Illustrative pathway </w:t>
      </w:r>
      <w:r>
        <w:rPr>
          <w:b/>
        </w:rPr>
        <w:t>3</w:t>
      </w:r>
      <w:r w:rsidRPr="000774C9">
        <w:rPr>
          <w:b/>
        </w:rPr>
        <w:t xml:space="preserve"> – </w:t>
      </w:r>
      <w:r>
        <w:rPr>
          <w:b/>
        </w:rPr>
        <w:t>Integrated approach</w:t>
      </w:r>
    </w:p>
    <w:p w:rsidR="00CB6E38" w:rsidRPr="00CB6E38" w:rsidRDefault="00CB6E38" w:rsidP="008C247F">
      <w:pPr>
        <w:spacing w:line="240" w:lineRule="auto"/>
        <w:jc w:val="both"/>
        <w:rPr>
          <w:b/>
        </w:rPr>
      </w:pPr>
    </w:p>
    <w:p w:rsidR="00A32E05" w:rsidRPr="00A32E05" w:rsidRDefault="00A32E05" w:rsidP="008C247F">
      <w:pPr>
        <w:spacing w:line="240" w:lineRule="auto"/>
        <w:jc w:val="both"/>
        <w:rPr>
          <w:b/>
        </w:rPr>
      </w:pPr>
      <w:r w:rsidRPr="00A32E05">
        <w:rPr>
          <w:b/>
        </w:rPr>
        <w:t>Conclusion</w:t>
      </w:r>
    </w:p>
    <w:p w:rsidR="00A32E05" w:rsidRDefault="00E94784" w:rsidP="00E8190E">
      <w:pPr>
        <w:spacing w:line="240" w:lineRule="auto"/>
        <w:jc w:val="both"/>
      </w:pPr>
      <w:r>
        <w:t>Drawing on</w:t>
      </w:r>
      <w:r w:rsidR="00CC74AD">
        <w:t xml:space="preserve"> illustrative </w:t>
      </w:r>
      <w:r w:rsidR="00BE6EAD">
        <w:t>pathway</w:t>
      </w:r>
      <w:r w:rsidR="00591828">
        <w:t>s</w:t>
      </w:r>
      <w:r w:rsidR="00022976">
        <w:t>,</w:t>
      </w:r>
      <w:r w:rsidR="00BE6EAD">
        <w:t xml:space="preserve"> </w:t>
      </w:r>
      <w:r w:rsidR="00022976">
        <w:t xml:space="preserve">this analysis has </w:t>
      </w:r>
      <w:r w:rsidR="00556389">
        <w:t>identified and scrutinized</w:t>
      </w:r>
      <w:r w:rsidR="00022976">
        <w:t xml:space="preserve"> </w:t>
      </w:r>
      <w:r w:rsidR="00E8190E">
        <w:t xml:space="preserve">critical </w:t>
      </w:r>
      <w:r w:rsidR="00022976">
        <w:t>choices shaping future trajectories for</w:t>
      </w:r>
      <w:r w:rsidR="00E8190E">
        <w:t xml:space="preserve"> Ontario’s electricity system and the role of</w:t>
      </w:r>
      <w:r w:rsidR="00022976">
        <w:t xml:space="preserve"> new renewables</w:t>
      </w:r>
      <w:r w:rsidR="00E8190E">
        <w:t xml:space="preserve"> therein</w:t>
      </w:r>
      <w:r w:rsidR="00022976">
        <w:t xml:space="preserve">. </w:t>
      </w:r>
      <w:r w:rsidR="0066276C">
        <w:t>T</w:t>
      </w:r>
      <w:r w:rsidR="00E8190E">
        <w:t>h</w:t>
      </w:r>
      <w:r w:rsidR="00556389">
        <w:t>ese</w:t>
      </w:r>
      <w:r w:rsidR="00E8190E">
        <w:t xml:space="preserve"> </w:t>
      </w:r>
      <w:r w:rsidR="00556389">
        <w:t>choices suggest</w:t>
      </w:r>
      <w:r w:rsidR="00E8190E">
        <w:t xml:space="preserve"> that t</w:t>
      </w:r>
      <w:r w:rsidR="00022976">
        <w:t>he place of new renewables hinges not only on direct support but also on</w:t>
      </w:r>
      <w:r w:rsidR="00556389">
        <w:t xml:space="preserve"> decisions </w:t>
      </w:r>
      <w:r w:rsidR="00022976">
        <w:t>made about other electricity options</w:t>
      </w:r>
      <w:r w:rsidR="00E8190E">
        <w:t xml:space="preserve"> (particularly legacy nuclear assets)</w:t>
      </w:r>
      <w:r w:rsidR="00022976">
        <w:t xml:space="preserve">. </w:t>
      </w:r>
      <w:r w:rsidR="00CE0E4C">
        <w:t>Illustrative</w:t>
      </w:r>
      <w:r w:rsidR="00925156">
        <w:t xml:space="preserve"> pathways</w:t>
      </w:r>
      <w:r w:rsidR="00CC74AD">
        <w:t xml:space="preserve"> </w:t>
      </w:r>
      <w:r w:rsidR="00925156">
        <w:t>also indicate that n</w:t>
      </w:r>
      <w:r w:rsidR="00E8190E" w:rsidRPr="00E8190E">
        <w:t xml:space="preserve">ew renewables and decarbonization </w:t>
      </w:r>
      <w:r w:rsidR="00F15947">
        <w:t>do not always coincide</w:t>
      </w:r>
      <w:r w:rsidR="00E8190E" w:rsidRPr="00E8190E">
        <w:t>. High new renewable penetration can emerge within more carbon-intensive trajectories.</w:t>
      </w:r>
      <w:r w:rsidR="00925156">
        <w:t xml:space="preserve"> So, w</w:t>
      </w:r>
      <w:r w:rsidR="00E8190E" w:rsidRPr="00E8190E">
        <w:t>hile new renewable deployment is central to decarbonization, it is important to focus on the broader low-carbon transition and embed new renewable support within the pursuit of decarbonization pathways.</w:t>
      </w:r>
    </w:p>
    <w:p w:rsidR="00CC74AD" w:rsidRDefault="00CC74AD" w:rsidP="00E8190E">
      <w:pPr>
        <w:spacing w:line="240" w:lineRule="auto"/>
        <w:jc w:val="both"/>
      </w:pPr>
    </w:p>
    <w:p w:rsidR="00CC74AD" w:rsidRDefault="00CC74AD" w:rsidP="00E8190E">
      <w:pPr>
        <w:spacing w:line="240" w:lineRule="auto"/>
        <w:jc w:val="both"/>
        <w:rPr>
          <w:b/>
        </w:rPr>
      </w:pPr>
      <w:r w:rsidRPr="00CC74AD">
        <w:rPr>
          <w:b/>
        </w:rPr>
        <w:t>References</w:t>
      </w:r>
    </w:p>
    <w:p w:rsidR="007306AA" w:rsidRPr="007306AA" w:rsidRDefault="00CC74AD" w:rsidP="007306AA">
      <w:pPr>
        <w:pStyle w:val="Bibliography"/>
        <w:spacing w:line="240" w:lineRule="auto"/>
        <w:rPr>
          <w:rFonts w:cs="Times New Roman"/>
        </w:rPr>
      </w:pPr>
      <w:r>
        <w:fldChar w:fldCharType="begin"/>
      </w:r>
      <w:r w:rsidR="007306AA">
        <w:instrText xml:space="preserve"> ADDIN ZOTERO_BIBL {"custom":[]} CSL_BIBLIOGRAPHY </w:instrText>
      </w:r>
      <w:r>
        <w:fldChar w:fldCharType="separate"/>
      </w:r>
      <w:r w:rsidR="007306AA" w:rsidRPr="007306AA">
        <w:rPr>
          <w:rFonts w:cs="Times New Roman"/>
        </w:rPr>
        <w:t>Lea, D. (2015). Nuclear manufacturer invests more than $10 million in new Oakville facility. Retrieved September 22, 2015, from http://www.insidehalton.com/news-story/5918338-nuclear-manufacturer-invests-more-than-10-million-in-new-oakville-facility/</w:t>
      </w:r>
    </w:p>
    <w:p w:rsidR="007306AA" w:rsidRPr="007306AA" w:rsidRDefault="007306AA" w:rsidP="007306AA">
      <w:pPr>
        <w:pStyle w:val="Bibliography"/>
        <w:spacing w:line="240" w:lineRule="auto"/>
        <w:rPr>
          <w:rFonts w:cs="Times New Roman"/>
        </w:rPr>
      </w:pPr>
      <w:r w:rsidRPr="007306AA">
        <w:rPr>
          <w:rFonts w:cs="Times New Roman"/>
        </w:rPr>
        <w:t>McCarthy, S. (2015). Negotiations delay TransCanada’s Bruce Power nuclear reactor updates. Retrieved September 22, 2015, from http://www.theglobeandmail.com/report-on-business/industry-news/energy-and-resources/negotiations-delay-transcanadas-bruce-power-nuclear-reactor-updates/article23997933/</w:t>
      </w:r>
    </w:p>
    <w:p w:rsidR="007306AA" w:rsidRPr="007306AA" w:rsidRDefault="007306AA" w:rsidP="007306AA">
      <w:pPr>
        <w:pStyle w:val="Bibliography"/>
        <w:spacing w:line="240" w:lineRule="auto"/>
        <w:rPr>
          <w:rFonts w:cs="Times New Roman"/>
        </w:rPr>
      </w:pPr>
      <w:r w:rsidRPr="007306AA">
        <w:rPr>
          <w:rFonts w:cs="Times New Roman"/>
        </w:rPr>
        <w:t>Ministry of Energy. (2015). Ontario and Newfoundland and Labrador Agree to Evaluate Clean Electricity Trade Opportunities. Retrieved September 22, 2015, from http://news.ontario.ca/mei/en/2015/07/ontario-and-newfoundland-and-labrador-agree-to-evaluate-clean-electricity-trade-opportunities.html</w:t>
      </w:r>
    </w:p>
    <w:p w:rsidR="007306AA" w:rsidRPr="007306AA" w:rsidRDefault="007306AA" w:rsidP="007306AA">
      <w:pPr>
        <w:pStyle w:val="Bibliography"/>
        <w:spacing w:line="240" w:lineRule="auto"/>
        <w:rPr>
          <w:rFonts w:cs="Times New Roman"/>
        </w:rPr>
      </w:pPr>
      <w:r w:rsidRPr="007306AA">
        <w:rPr>
          <w:rFonts w:cs="Times New Roman"/>
        </w:rPr>
        <w:t xml:space="preserve">Rosenbloom, D., &amp; Meadowcroft, J. (2014). The journey towards decarbonization: Exploring socio-technical transitions in the electricity sector in the province of Ontario (1885–2013) and potential low-carbon pathways. </w:t>
      </w:r>
      <w:r w:rsidRPr="007306AA">
        <w:rPr>
          <w:rFonts w:cs="Times New Roman"/>
          <w:i/>
          <w:iCs/>
        </w:rPr>
        <w:t>Energy Policy</w:t>
      </w:r>
      <w:r w:rsidRPr="007306AA">
        <w:rPr>
          <w:rFonts w:cs="Times New Roman"/>
        </w:rPr>
        <w:t xml:space="preserve">, </w:t>
      </w:r>
      <w:r w:rsidRPr="007306AA">
        <w:rPr>
          <w:rFonts w:cs="Times New Roman"/>
          <w:i/>
          <w:iCs/>
        </w:rPr>
        <w:t>65</w:t>
      </w:r>
      <w:r w:rsidRPr="007306AA">
        <w:rPr>
          <w:rFonts w:cs="Times New Roman"/>
        </w:rPr>
        <w:t>, 670–679. http://doi.org/10.1016/j.enpol.2013.09.039</w:t>
      </w:r>
    </w:p>
    <w:p w:rsidR="00CC74AD" w:rsidRPr="00CC74AD" w:rsidRDefault="00CC74AD" w:rsidP="007306AA">
      <w:pPr>
        <w:spacing w:line="240" w:lineRule="auto"/>
        <w:jc w:val="both"/>
      </w:pPr>
      <w:r>
        <w:fldChar w:fldCharType="end"/>
      </w:r>
    </w:p>
    <w:sectPr w:rsidR="00CC74AD" w:rsidRPr="00CC74AD" w:rsidSect="008C247F">
      <w:footerReference w:type="default" r:id="rId1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621" w:rsidRDefault="000D2621" w:rsidP="00A76FFB">
      <w:pPr>
        <w:spacing w:line="240" w:lineRule="auto"/>
      </w:pPr>
      <w:r>
        <w:separator/>
      </w:r>
    </w:p>
  </w:endnote>
  <w:endnote w:type="continuationSeparator" w:id="0">
    <w:p w:rsidR="000D2621" w:rsidRDefault="000D2621" w:rsidP="00A76F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123339"/>
      <w:docPartObj>
        <w:docPartGallery w:val="Page Numbers (Bottom of Page)"/>
        <w:docPartUnique/>
      </w:docPartObj>
    </w:sdtPr>
    <w:sdtEndPr>
      <w:rPr>
        <w:noProof/>
      </w:rPr>
    </w:sdtEndPr>
    <w:sdtContent>
      <w:p w:rsidR="00776550" w:rsidRDefault="00776550">
        <w:pPr>
          <w:pStyle w:val="Footer"/>
          <w:jc w:val="right"/>
        </w:pPr>
        <w:r>
          <w:fldChar w:fldCharType="begin"/>
        </w:r>
        <w:r>
          <w:instrText xml:space="preserve"> PAGE   \* MERGEFORMAT </w:instrText>
        </w:r>
        <w:r>
          <w:fldChar w:fldCharType="separate"/>
        </w:r>
        <w:r w:rsidR="00021B1A">
          <w:rPr>
            <w:noProof/>
          </w:rPr>
          <w:t>1</w:t>
        </w:r>
        <w:r>
          <w:rPr>
            <w:noProof/>
          </w:rPr>
          <w:fldChar w:fldCharType="end"/>
        </w:r>
      </w:p>
    </w:sdtContent>
  </w:sdt>
  <w:p w:rsidR="00776550" w:rsidRDefault="00776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621" w:rsidRDefault="000D2621" w:rsidP="00A76FFB">
      <w:pPr>
        <w:spacing w:line="240" w:lineRule="auto"/>
      </w:pPr>
      <w:r>
        <w:separator/>
      </w:r>
    </w:p>
  </w:footnote>
  <w:footnote w:type="continuationSeparator" w:id="0">
    <w:p w:rsidR="000D2621" w:rsidRDefault="000D2621" w:rsidP="00A76F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3576D"/>
    <w:multiLevelType w:val="hybridMultilevel"/>
    <w:tmpl w:val="D8FA91D2"/>
    <w:lvl w:ilvl="0" w:tplc="45AC262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FB"/>
    <w:rsid w:val="00001147"/>
    <w:rsid w:val="00021B1A"/>
    <w:rsid w:val="00022976"/>
    <w:rsid w:val="00027E9A"/>
    <w:rsid w:val="00037AC2"/>
    <w:rsid w:val="00040669"/>
    <w:rsid w:val="00053D70"/>
    <w:rsid w:val="00070F7C"/>
    <w:rsid w:val="000774C9"/>
    <w:rsid w:val="00085F57"/>
    <w:rsid w:val="0008633A"/>
    <w:rsid w:val="00090C19"/>
    <w:rsid w:val="00094E45"/>
    <w:rsid w:val="000A022E"/>
    <w:rsid w:val="000A2063"/>
    <w:rsid w:val="000C0641"/>
    <w:rsid w:val="000C3073"/>
    <w:rsid w:val="000C5937"/>
    <w:rsid w:val="000D2621"/>
    <w:rsid w:val="000F55EC"/>
    <w:rsid w:val="00124324"/>
    <w:rsid w:val="001444AC"/>
    <w:rsid w:val="00151778"/>
    <w:rsid w:val="00163F7C"/>
    <w:rsid w:val="001D2415"/>
    <w:rsid w:val="001D7A74"/>
    <w:rsid w:val="001F4FE6"/>
    <w:rsid w:val="00203502"/>
    <w:rsid w:val="00212A13"/>
    <w:rsid w:val="00213251"/>
    <w:rsid w:val="002212AF"/>
    <w:rsid w:val="002255C1"/>
    <w:rsid w:val="00230C0A"/>
    <w:rsid w:val="00237123"/>
    <w:rsid w:val="00245B43"/>
    <w:rsid w:val="0025680D"/>
    <w:rsid w:val="0026416B"/>
    <w:rsid w:val="002704D3"/>
    <w:rsid w:val="00270593"/>
    <w:rsid w:val="002710CD"/>
    <w:rsid w:val="002807AE"/>
    <w:rsid w:val="002A00AC"/>
    <w:rsid w:val="002A02EC"/>
    <w:rsid w:val="002A06D8"/>
    <w:rsid w:val="002C5BD2"/>
    <w:rsid w:val="002C6EFE"/>
    <w:rsid w:val="002D05A4"/>
    <w:rsid w:val="002E0135"/>
    <w:rsid w:val="002F3689"/>
    <w:rsid w:val="002F7154"/>
    <w:rsid w:val="00317872"/>
    <w:rsid w:val="00356CDA"/>
    <w:rsid w:val="003661FF"/>
    <w:rsid w:val="003821EA"/>
    <w:rsid w:val="00391888"/>
    <w:rsid w:val="003C5903"/>
    <w:rsid w:val="003D2D8F"/>
    <w:rsid w:val="003F6E54"/>
    <w:rsid w:val="00402F9E"/>
    <w:rsid w:val="0040528D"/>
    <w:rsid w:val="004112B2"/>
    <w:rsid w:val="004142C2"/>
    <w:rsid w:val="00423600"/>
    <w:rsid w:val="004302EE"/>
    <w:rsid w:val="00455027"/>
    <w:rsid w:val="00460402"/>
    <w:rsid w:val="0046547A"/>
    <w:rsid w:val="00492819"/>
    <w:rsid w:val="004A4DA1"/>
    <w:rsid w:val="004D2F4E"/>
    <w:rsid w:val="004E762B"/>
    <w:rsid w:val="00531939"/>
    <w:rsid w:val="00537673"/>
    <w:rsid w:val="00553E61"/>
    <w:rsid w:val="00556389"/>
    <w:rsid w:val="005624CB"/>
    <w:rsid w:val="005636EB"/>
    <w:rsid w:val="00570137"/>
    <w:rsid w:val="00583D1F"/>
    <w:rsid w:val="00585014"/>
    <w:rsid w:val="00591828"/>
    <w:rsid w:val="00595804"/>
    <w:rsid w:val="005C5B39"/>
    <w:rsid w:val="005D443B"/>
    <w:rsid w:val="005E54F7"/>
    <w:rsid w:val="006019B7"/>
    <w:rsid w:val="0062620A"/>
    <w:rsid w:val="00627F67"/>
    <w:rsid w:val="0063139F"/>
    <w:rsid w:val="00637269"/>
    <w:rsid w:val="00640BA9"/>
    <w:rsid w:val="00644F8F"/>
    <w:rsid w:val="00651391"/>
    <w:rsid w:val="0066276C"/>
    <w:rsid w:val="00675FE0"/>
    <w:rsid w:val="00681A95"/>
    <w:rsid w:val="006B55EF"/>
    <w:rsid w:val="006B67EA"/>
    <w:rsid w:val="006C4C7A"/>
    <w:rsid w:val="006D2E0C"/>
    <w:rsid w:val="006E0E65"/>
    <w:rsid w:val="006F09DB"/>
    <w:rsid w:val="00702B87"/>
    <w:rsid w:val="00705B26"/>
    <w:rsid w:val="007065EB"/>
    <w:rsid w:val="00722BA1"/>
    <w:rsid w:val="007306AA"/>
    <w:rsid w:val="00740ED8"/>
    <w:rsid w:val="00741990"/>
    <w:rsid w:val="00742FC8"/>
    <w:rsid w:val="00767BA5"/>
    <w:rsid w:val="00776550"/>
    <w:rsid w:val="00781E01"/>
    <w:rsid w:val="00797EB5"/>
    <w:rsid w:val="007A386A"/>
    <w:rsid w:val="007B15B5"/>
    <w:rsid w:val="007B696B"/>
    <w:rsid w:val="007D32F1"/>
    <w:rsid w:val="007E1284"/>
    <w:rsid w:val="007E1BB4"/>
    <w:rsid w:val="007F152D"/>
    <w:rsid w:val="00812EA0"/>
    <w:rsid w:val="008369EB"/>
    <w:rsid w:val="00836DB2"/>
    <w:rsid w:val="00861861"/>
    <w:rsid w:val="00862C5C"/>
    <w:rsid w:val="0087724C"/>
    <w:rsid w:val="008A583F"/>
    <w:rsid w:val="008C247F"/>
    <w:rsid w:val="008F0A89"/>
    <w:rsid w:val="008F5B8A"/>
    <w:rsid w:val="00902567"/>
    <w:rsid w:val="00915DB8"/>
    <w:rsid w:val="00925156"/>
    <w:rsid w:val="00947381"/>
    <w:rsid w:val="00954FC4"/>
    <w:rsid w:val="00973712"/>
    <w:rsid w:val="009C36E6"/>
    <w:rsid w:val="009D015C"/>
    <w:rsid w:val="009E095E"/>
    <w:rsid w:val="009E1980"/>
    <w:rsid w:val="009F19F0"/>
    <w:rsid w:val="00A01ED7"/>
    <w:rsid w:val="00A07AC5"/>
    <w:rsid w:val="00A17311"/>
    <w:rsid w:val="00A24E49"/>
    <w:rsid w:val="00A32E05"/>
    <w:rsid w:val="00A76FFB"/>
    <w:rsid w:val="00A77367"/>
    <w:rsid w:val="00A837AA"/>
    <w:rsid w:val="00A94B93"/>
    <w:rsid w:val="00AB4090"/>
    <w:rsid w:val="00AD098C"/>
    <w:rsid w:val="00AE52D0"/>
    <w:rsid w:val="00AF18F8"/>
    <w:rsid w:val="00AF31CB"/>
    <w:rsid w:val="00AF6884"/>
    <w:rsid w:val="00B070E2"/>
    <w:rsid w:val="00B14E09"/>
    <w:rsid w:val="00B512D0"/>
    <w:rsid w:val="00B537DB"/>
    <w:rsid w:val="00B8077F"/>
    <w:rsid w:val="00BA6F11"/>
    <w:rsid w:val="00BC30DD"/>
    <w:rsid w:val="00BD2E3D"/>
    <w:rsid w:val="00BD47D9"/>
    <w:rsid w:val="00BD5DE5"/>
    <w:rsid w:val="00BE107E"/>
    <w:rsid w:val="00BE1236"/>
    <w:rsid w:val="00BE6EAD"/>
    <w:rsid w:val="00C05B37"/>
    <w:rsid w:val="00C15256"/>
    <w:rsid w:val="00C23B84"/>
    <w:rsid w:val="00C33F7C"/>
    <w:rsid w:val="00C45F3B"/>
    <w:rsid w:val="00C461CB"/>
    <w:rsid w:val="00C6264F"/>
    <w:rsid w:val="00C66E97"/>
    <w:rsid w:val="00C72F10"/>
    <w:rsid w:val="00C84447"/>
    <w:rsid w:val="00CA27DC"/>
    <w:rsid w:val="00CA6ACA"/>
    <w:rsid w:val="00CB6E38"/>
    <w:rsid w:val="00CC74AD"/>
    <w:rsid w:val="00CD42CB"/>
    <w:rsid w:val="00CD4592"/>
    <w:rsid w:val="00CE0E4C"/>
    <w:rsid w:val="00CF384E"/>
    <w:rsid w:val="00D066B0"/>
    <w:rsid w:val="00D42D09"/>
    <w:rsid w:val="00D453A8"/>
    <w:rsid w:val="00D47681"/>
    <w:rsid w:val="00D71697"/>
    <w:rsid w:val="00D75A7B"/>
    <w:rsid w:val="00D82659"/>
    <w:rsid w:val="00DA101D"/>
    <w:rsid w:val="00DA2AC2"/>
    <w:rsid w:val="00DB334F"/>
    <w:rsid w:val="00DB45DE"/>
    <w:rsid w:val="00DC0ECC"/>
    <w:rsid w:val="00DC5E52"/>
    <w:rsid w:val="00DE5817"/>
    <w:rsid w:val="00E137C8"/>
    <w:rsid w:val="00E13987"/>
    <w:rsid w:val="00E20B04"/>
    <w:rsid w:val="00E31898"/>
    <w:rsid w:val="00E35737"/>
    <w:rsid w:val="00E47FD6"/>
    <w:rsid w:val="00E55DAE"/>
    <w:rsid w:val="00E8190E"/>
    <w:rsid w:val="00E848CA"/>
    <w:rsid w:val="00E8559E"/>
    <w:rsid w:val="00E94784"/>
    <w:rsid w:val="00EF170B"/>
    <w:rsid w:val="00F069C4"/>
    <w:rsid w:val="00F07070"/>
    <w:rsid w:val="00F07710"/>
    <w:rsid w:val="00F15947"/>
    <w:rsid w:val="00F15E20"/>
    <w:rsid w:val="00F25F94"/>
    <w:rsid w:val="00F324AB"/>
    <w:rsid w:val="00F55BB3"/>
    <w:rsid w:val="00F5739E"/>
    <w:rsid w:val="00F64B0F"/>
    <w:rsid w:val="00F6727F"/>
    <w:rsid w:val="00F7196A"/>
    <w:rsid w:val="00F73050"/>
    <w:rsid w:val="00F93C20"/>
    <w:rsid w:val="00FA45FB"/>
    <w:rsid w:val="00FC0726"/>
    <w:rsid w:val="00FC7F50"/>
    <w:rsid w:val="00FD2FE5"/>
    <w:rsid w:val="00FE06D0"/>
    <w:rsid w:val="00FF50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5C"/>
    <w:rPr>
      <w:rFonts w:ascii="Times New Roman" w:hAnsi="Times New Roman"/>
      <w:sz w:val="24"/>
    </w:rPr>
  </w:style>
  <w:style w:type="paragraph" w:styleId="Heading1">
    <w:name w:val="heading 1"/>
    <w:basedOn w:val="Normal"/>
    <w:next w:val="Normal"/>
    <w:link w:val="Heading1Char"/>
    <w:uiPriority w:val="9"/>
    <w:qFormat/>
    <w:rsid w:val="00862C5C"/>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862C5C"/>
    <w:pPr>
      <w:keepNext/>
      <w:keepLines/>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62C5C"/>
    <w:rPr>
      <w:rFonts w:ascii="Times New Roman" w:eastAsiaTheme="majorEastAsia" w:hAnsi="Times New Roman" w:cstheme="majorBidi"/>
      <w:b/>
      <w:bCs/>
      <w:sz w:val="26"/>
      <w:szCs w:val="26"/>
    </w:rPr>
  </w:style>
  <w:style w:type="character" w:customStyle="1" w:styleId="Heading1Char">
    <w:name w:val="Heading 1 Char"/>
    <w:basedOn w:val="DefaultParagraphFont"/>
    <w:link w:val="Heading1"/>
    <w:uiPriority w:val="9"/>
    <w:rsid w:val="00862C5C"/>
    <w:rPr>
      <w:rFonts w:ascii="Times New Roman" w:eastAsiaTheme="majorEastAsia" w:hAnsi="Times New Roman" w:cstheme="majorBidi"/>
      <w:b/>
      <w:bCs/>
      <w:sz w:val="28"/>
      <w:szCs w:val="28"/>
    </w:rPr>
  </w:style>
  <w:style w:type="paragraph" w:styleId="BalloonText">
    <w:name w:val="Balloon Text"/>
    <w:basedOn w:val="Normal"/>
    <w:link w:val="BalloonTextChar"/>
    <w:uiPriority w:val="99"/>
    <w:semiHidden/>
    <w:unhideWhenUsed/>
    <w:rsid w:val="00A76F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FFB"/>
    <w:rPr>
      <w:rFonts w:ascii="Tahoma" w:hAnsi="Tahoma" w:cs="Tahoma"/>
      <w:sz w:val="16"/>
      <w:szCs w:val="16"/>
    </w:rPr>
  </w:style>
  <w:style w:type="paragraph" w:styleId="Header">
    <w:name w:val="header"/>
    <w:basedOn w:val="Normal"/>
    <w:link w:val="HeaderChar"/>
    <w:uiPriority w:val="99"/>
    <w:unhideWhenUsed/>
    <w:rsid w:val="00A76FFB"/>
    <w:pPr>
      <w:tabs>
        <w:tab w:val="center" w:pos="4680"/>
        <w:tab w:val="right" w:pos="9360"/>
      </w:tabs>
      <w:spacing w:line="240" w:lineRule="auto"/>
    </w:pPr>
  </w:style>
  <w:style w:type="character" w:customStyle="1" w:styleId="HeaderChar">
    <w:name w:val="Header Char"/>
    <w:basedOn w:val="DefaultParagraphFont"/>
    <w:link w:val="Header"/>
    <w:uiPriority w:val="99"/>
    <w:rsid w:val="00A76FFB"/>
    <w:rPr>
      <w:rFonts w:ascii="Times New Roman" w:hAnsi="Times New Roman"/>
      <w:sz w:val="24"/>
    </w:rPr>
  </w:style>
  <w:style w:type="paragraph" w:styleId="Footer">
    <w:name w:val="footer"/>
    <w:basedOn w:val="Normal"/>
    <w:link w:val="FooterChar"/>
    <w:uiPriority w:val="99"/>
    <w:unhideWhenUsed/>
    <w:rsid w:val="00A76FFB"/>
    <w:pPr>
      <w:tabs>
        <w:tab w:val="center" w:pos="4680"/>
        <w:tab w:val="right" w:pos="9360"/>
      </w:tabs>
      <w:spacing w:line="240" w:lineRule="auto"/>
    </w:pPr>
  </w:style>
  <w:style w:type="character" w:customStyle="1" w:styleId="FooterChar">
    <w:name w:val="Footer Char"/>
    <w:basedOn w:val="DefaultParagraphFont"/>
    <w:link w:val="Footer"/>
    <w:uiPriority w:val="99"/>
    <w:rsid w:val="00A76FFB"/>
    <w:rPr>
      <w:rFonts w:ascii="Times New Roman" w:hAnsi="Times New Roman"/>
      <w:sz w:val="24"/>
    </w:rPr>
  </w:style>
  <w:style w:type="paragraph" w:styleId="ListParagraph">
    <w:name w:val="List Paragraph"/>
    <w:basedOn w:val="Normal"/>
    <w:uiPriority w:val="34"/>
    <w:qFormat/>
    <w:rsid w:val="004A4DA1"/>
    <w:pPr>
      <w:ind w:left="720"/>
      <w:contextualSpacing/>
    </w:pPr>
  </w:style>
  <w:style w:type="paragraph" w:styleId="Bibliography">
    <w:name w:val="Bibliography"/>
    <w:basedOn w:val="Normal"/>
    <w:next w:val="Normal"/>
    <w:uiPriority w:val="37"/>
    <w:unhideWhenUsed/>
    <w:rsid w:val="00CC74AD"/>
    <w:pPr>
      <w:spacing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5C"/>
    <w:rPr>
      <w:rFonts w:ascii="Times New Roman" w:hAnsi="Times New Roman"/>
      <w:sz w:val="24"/>
    </w:rPr>
  </w:style>
  <w:style w:type="paragraph" w:styleId="Heading1">
    <w:name w:val="heading 1"/>
    <w:basedOn w:val="Normal"/>
    <w:next w:val="Normal"/>
    <w:link w:val="Heading1Char"/>
    <w:uiPriority w:val="9"/>
    <w:qFormat/>
    <w:rsid w:val="00862C5C"/>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862C5C"/>
    <w:pPr>
      <w:keepNext/>
      <w:keepLines/>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62C5C"/>
    <w:rPr>
      <w:rFonts w:ascii="Times New Roman" w:eastAsiaTheme="majorEastAsia" w:hAnsi="Times New Roman" w:cstheme="majorBidi"/>
      <w:b/>
      <w:bCs/>
      <w:sz w:val="26"/>
      <w:szCs w:val="26"/>
    </w:rPr>
  </w:style>
  <w:style w:type="character" w:customStyle="1" w:styleId="Heading1Char">
    <w:name w:val="Heading 1 Char"/>
    <w:basedOn w:val="DefaultParagraphFont"/>
    <w:link w:val="Heading1"/>
    <w:uiPriority w:val="9"/>
    <w:rsid w:val="00862C5C"/>
    <w:rPr>
      <w:rFonts w:ascii="Times New Roman" w:eastAsiaTheme="majorEastAsia" w:hAnsi="Times New Roman" w:cstheme="majorBidi"/>
      <w:b/>
      <w:bCs/>
      <w:sz w:val="28"/>
      <w:szCs w:val="28"/>
    </w:rPr>
  </w:style>
  <w:style w:type="paragraph" w:styleId="BalloonText">
    <w:name w:val="Balloon Text"/>
    <w:basedOn w:val="Normal"/>
    <w:link w:val="BalloonTextChar"/>
    <w:uiPriority w:val="99"/>
    <w:semiHidden/>
    <w:unhideWhenUsed/>
    <w:rsid w:val="00A76F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FFB"/>
    <w:rPr>
      <w:rFonts w:ascii="Tahoma" w:hAnsi="Tahoma" w:cs="Tahoma"/>
      <w:sz w:val="16"/>
      <w:szCs w:val="16"/>
    </w:rPr>
  </w:style>
  <w:style w:type="paragraph" w:styleId="Header">
    <w:name w:val="header"/>
    <w:basedOn w:val="Normal"/>
    <w:link w:val="HeaderChar"/>
    <w:uiPriority w:val="99"/>
    <w:unhideWhenUsed/>
    <w:rsid w:val="00A76FFB"/>
    <w:pPr>
      <w:tabs>
        <w:tab w:val="center" w:pos="4680"/>
        <w:tab w:val="right" w:pos="9360"/>
      </w:tabs>
      <w:spacing w:line="240" w:lineRule="auto"/>
    </w:pPr>
  </w:style>
  <w:style w:type="character" w:customStyle="1" w:styleId="HeaderChar">
    <w:name w:val="Header Char"/>
    <w:basedOn w:val="DefaultParagraphFont"/>
    <w:link w:val="Header"/>
    <w:uiPriority w:val="99"/>
    <w:rsid w:val="00A76FFB"/>
    <w:rPr>
      <w:rFonts w:ascii="Times New Roman" w:hAnsi="Times New Roman"/>
      <w:sz w:val="24"/>
    </w:rPr>
  </w:style>
  <w:style w:type="paragraph" w:styleId="Footer">
    <w:name w:val="footer"/>
    <w:basedOn w:val="Normal"/>
    <w:link w:val="FooterChar"/>
    <w:uiPriority w:val="99"/>
    <w:unhideWhenUsed/>
    <w:rsid w:val="00A76FFB"/>
    <w:pPr>
      <w:tabs>
        <w:tab w:val="center" w:pos="4680"/>
        <w:tab w:val="right" w:pos="9360"/>
      </w:tabs>
      <w:spacing w:line="240" w:lineRule="auto"/>
    </w:pPr>
  </w:style>
  <w:style w:type="character" w:customStyle="1" w:styleId="FooterChar">
    <w:name w:val="Footer Char"/>
    <w:basedOn w:val="DefaultParagraphFont"/>
    <w:link w:val="Footer"/>
    <w:uiPriority w:val="99"/>
    <w:rsid w:val="00A76FFB"/>
    <w:rPr>
      <w:rFonts w:ascii="Times New Roman" w:hAnsi="Times New Roman"/>
      <w:sz w:val="24"/>
    </w:rPr>
  </w:style>
  <w:style w:type="paragraph" w:styleId="ListParagraph">
    <w:name w:val="List Paragraph"/>
    <w:basedOn w:val="Normal"/>
    <w:uiPriority w:val="34"/>
    <w:qFormat/>
    <w:rsid w:val="004A4DA1"/>
    <w:pPr>
      <w:ind w:left="720"/>
      <w:contextualSpacing/>
    </w:pPr>
  </w:style>
  <w:style w:type="paragraph" w:styleId="Bibliography">
    <w:name w:val="Bibliography"/>
    <w:basedOn w:val="Normal"/>
    <w:next w:val="Normal"/>
    <w:uiPriority w:val="37"/>
    <w:unhideWhenUsed/>
    <w:rsid w:val="00CC74AD"/>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68516">
      <w:bodyDiv w:val="1"/>
      <w:marLeft w:val="0"/>
      <w:marRight w:val="0"/>
      <w:marTop w:val="0"/>
      <w:marBottom w:val="0"/>
      <w:divBdr>
        <w:top w:val="none" w:sz="0" w:space="0" w:color="auto"/>
        <w:left w:val="none" w:sz="0" w:space="0" w:color="auto"/>
        <w:bottom w:val="none" w:sz="0" w:space="0" w:color="auto"/>
        <w:right w:val="none" w:sz="0" w:space="0" w:color="auto"/>
      </w:divBdr>
    </w:div>
    <w:div w:id="1220287319">
      <w:bodyDiv w:val="1"/>
      <w:marLeft w:val="0"/>
      <w:marRight w:val="0"/>
      <w:marTop w:val="0"/>
      <w:marBottom w:val="0"/>
      <w:divBdr>
        <w:top w:val="none" w:sz="0" w:space="0" w:color="auto"/>
        <w:left w:val="none" w:sz="0" w:space="0" w:color="auto"/>
        <w:bottom w:val="none" w:sz="0" w:space="0" w:color="auto"/>
        <w:right w:val="none" w:sz="0" w:space="0" w:color="auto"/>
      </w:divBdr>
      <w:divsChild>
        <w:div w:id="100340244">
          <w:marLeft w:val="547"/>
          <w:marRight w:val="0"/>
          <w:marTop w:val="106"/>
          <w:marBottom w:val="0"/>
          <w:divBdr>
            <w:top w:val="none" w:sz="0" w:space="0" w:color="auto"/>
            <w:left w:val="none" w:sz="0" w:space="0" w:color="auto"/>
            <w:bottom w:val="none" w:sz="0" w:space="0" w:color="auto"/>
            <w:right w:val="none" w:sz="0" w:space="0" w:color="auto"/>
          </w:divBdr>
        </w:div>
        <w:div w:id="1232497550">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Danny%20Rosenbloom\Desktop\RE\Electricity%20Output%20Ontario%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1980987953428898"/>
          <c:y val="3.8641120592497184E-2"/>
          <c:w val="0.71215778316172018"/>
          <c:h val="0.89933437762583868"/>
        </c:manualLayout>
      </c:layout>
      <c:barChart>
        <c:barDir val="bar"/>
        <c:grouping val="clustered"/>
        <c:varyColors val="0"/>
        <c:ser>
          <c:idx val="0"/>
          <c:order val="0"/>
          <c:tx>
            <c:strRef>
              <c:f>'2014 (Good)'!$P$10</c:f>
              <c:strCache>
                <c:ptCount val="1"/>
                <c:pt idx="0">
                  <c:v>Generation</c:v>
                </c:pt>
              </c:strCache>
            </c:strRef>
          </c:tx>
          <c:spPr>
            <a:ln>
              <a:solidFill>
                <a:schemeClr val="tx1"/>
              </a:solidFill>
            </a:ln>
          </c:spPr>
          <c:invertIfNegative val="0"/>
          <c:cat>
            <c:strRef>
              <c:f>'2014 (Good)'!$O$11:$O$16</c:f>
              <c:strCache>
                <c:ptCount val="6"/>
                <c:pt idx="0">
                  <c:v>Nuclear</c:v>
                </c:pt>
                <c:pt idx="1">
                  <c:v>Hydro</c:v>
                </c:pt>
                <c:pt idx="2">
                  <c:v>Natural Gas</c:v>
                </c:pt>
                <c:pt idx="3">
                  <c:v>Wind</c:v>
                </c:pt>
                <c:pt idx="4">
                  <c:v>Biomass</c:v>
                </c:pt>
                <c:pt idx="5">
                  <c:v>Solar</c:v>
                </c:pt>
              </c:strCache>
            </c:strRef>
          </c:cat>
          <c:val>
            <c:numRef>
              <c:f>'2014 (Good)'!$P$11:$P$16</c:f>
              <c:numCache>
                <c:formatCode>0.00%</c:formatCode>
                <c:ptCount val="6"/>
                <c:pt idx="0">
                  <c:v>0.6</c:v>
                </c:pt>
                <c:pt idx="1">
                  <c:v>0.24099999999999999</c:v>
                </c:pt>
                <c:pt idx="2">
                  <c:v>8.6999999999999994E-2</c:v>
                </c:pt>
                <c:pt idx="3">
                  <c:v>4.9000000000000002E-2</c:v>
                </c:pt>
                <c:pt idx="4">
                  <c:v>0.01</c:v>
                </c:pt>
                <c:pt idx="5">
                  <c:v>1.0999999999999999E-2</c:v>
                </c:pt>
              </c:numCache>
            </c:numRef>
          </c:val>
        </c:ser>
        <c:ser>
          <c:idx val="1"/>
          <c:order val="1"/>
          <c:tx>
            <c:strRef>
              <c:f>'2014 (Good)'!$Q$10</c:f>
              <c:strCache>
                <c:ptCount val="1"/>
                <c:pt idx="0">
                  <c:v>Capacity</c:v>
                </c:pt>
              </c:strCache>
            </c:strRef>
          </c:tx>
          <c:spPr>
            <a:ln>
              <a:solidFill>
                <a:schemeClr val="tx1"/>
              </a:solidFill>
            </a:ln>
          </c:spPr>
          <c:invertIfNegative val="0"/>
          <c:cat>
            <c:strRef>
              <c:f>'2014 (Good)'!$O$11:$O$16</c:f>
              <c:strCache>
                <c:ptCount val="6"/>
                <c:pt idx="0">
                  <c:v>Nuclear</c:v>
                </c:pt>
                <c:pt idx="1">
                  <c:v>Hydro</c:v>
                </c:pt>
                <c:pt idx="2">
                  <c:v>Natural Gas</c:v>
                </c:pt>
                <c:pt idx="3">
                  <c:v>Wind</c:v>
                </c:pt>
                <c:pt idx="4">
                  <c:v>Biomass</c:v>
                </c:pt>
                <c:pt idx="5">
                  <c:v>Solar</c:v>
                </c:pt>
              </c:strCache>
            </c:strRef>
          </c:cat>
          <c:val>
            <c:numRef>
              <c:f>'2014 (Good)'!$Q$11:$Q$16</c:f>
              <c:numCache>
                <c:formatCode>0.00%</c:formatCode>
                <c:ptCount val="6"/>
                <c:pt idx="0">
                  <c:v>0.36384330035971224</c:v>
                </c:pt>
                <c:pt idx="1">
                  <c:v>0.22816434352517986</c:v>
                </c:pt>
                <c:pt idx="2">
                  <c:v>0.27877697841726617</c:v>
                </c:pt>
                <c:pt idx="3">
                  <c:v>8.1497302158273388E-2</c:v>
                </c:pt>
                <c:pt idx="4">
                  <c:v>8.4869604316546755E-3</c:v>
                </c:pt>
                <c:pt idx="5">
                  <c:v>3.9231115107913668E-2</c:v>
                </c:pt>
              </c:numCache>
            </c:numRef>
          </c:val>
        </c:ser>
        <c:dLbls>
          <c:showLegendKey val="0"/>
          <c:showVal val="0"/>
          <c:showCatName val="0"/>
          <c:showSerName val="0"/>
          <c:showPercent val="0"/>
          <c:showBubbleSize val="0"/>
        </c:dLbls>
        <c:gapWidth val="150"/>
        <c:axId val="228953088"/>
        <c:axId val="229506368"/>
      </c:barChart>
      <c:catAx>
        <c:axId val="228953088"/>
        <c:scaling>
          <c:orientation val="minMax"/>
        </c:scaling>
        <c:delete val="0"/>
        <c:axPos val="l"/>
        <c:majorTickMark val="out"/>
        <c:minorTickMark val="none"/>
        <c:tickLblPos val="nextTo"/>
        <c:crossAx val="229506368"/>
        <c:crosses val="autoZero"/>
        <c:auto val="1"/>
        <c:lblAlgn val="ctr"/>
        <c:lblOffset val="100"/>
        <c:noMultiLvlLbl val="0"/>
      </c:catAx>
      <c:valAx>
        <c:axId val="229506368"/>
        <c:scaling>
          <c:orientation val="minMax"/>
        </c:scaling>
        <c:delete val="0"/>
        <c:axPos val="b"/>
        <c:majorGridlines/>
        <c:numFmt formatCode="0%" sourceLinked="0"/>
        <c:majorTickMark val="out"/>
        <c:minorTickMark val="none"/>
        <c:tickLblPos val="nextTo"/>
        <c:crossAx val="228953088"/>
        <c:crosses val="autoZero"/>
        <c:crossBetween val="between"/>
      </c:valAx>
    </c:plotArea>
    <c:legend>
      <c:legendPos val="r"/>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57727D-43F7-476A-8244-EDA5A2EB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3099</Words>
  <Characters>17669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Rosenbloom</dc:creator>
  <cp:lastModifiedBy>Danny Rosenbloom</cp:lastModifiedBy>
  <cp:revision>14</cp:revision>
  <dcterms:created xsi:type="dcterms:W3CDTF">2015-10-20T18:28:00Z</dcterms:created>
  <dcterms:modified xsi:type="dcterms:W3CDTF">2015-10-20T20:17:00Z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zotero-version="4.0.27.5"&gt;&lt;session id="lkr9yg3c"/&gt;&lt;style id="http://www.zotero.org/styles/apa" locale="en-US" hasBibliography="1" bibliographyStyleHasBeenSet="1"/&gt;&lt;prefs&gt;&lt;pref name="fieldType" value="Field"/&gt;&lt;pref name="storeReferen</vt:lpwstr>
  </property>
  <property fmtid="{D5CDD505-2E9C-101B-9397-08002B2CF9AE}" pid="3" name="ZOTERO_PREF_2">
    <vt:lpwstr>ces" value="true"/&gt;&lt;pref name="automaticJournalAbbreviations" value=""/&gt;&lt;pref name="noteType" value=""/&gt;&lt;/prefs&gt;&lt;/data&gt;</vt:lpwstr>
  </property>
</Properties>
</file>