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76" w:rsidRPr="00F37D30" w:rsidRDefault="001D5A76" w:rsidP="00F37D30">
      <w:pPr>
        <w:pStyle w:val="Default"/>
        <w:spacing w:after="100" w:afterAutospacing="1"/>
        <w:jc w:val="center"/>
        <w:rPr>
          <w:sz w:val="28"/>
          <w:szCs w:val="28"/>
        </w:rPr>
      </w:pPr>
      <w:bookmarkStart w:id="0" w:name="_GoBack"/>
      <w:bookmarkEnd w:id="0"/>
      <w:r w:rsidRPr="00F37D30">
        <w:rPr>
          <w:b/>
          <w:bCs/>
          <w:sz w:val="28"/>
          <w:szCs w:val="28"/>
        </w:rPr>
        <w:t>Carleton University</w:t>
      </w:r>
    </w:p>
    <w:p w:rsidR="001D5A76" w:rsidRPr="00F37D30" w:rsidRDefault="001D5A76" w:rsidP="00F37D30">
      <w:pPr>
        <w:pStyle w:val="Default"/>
        <w:spacing w:after="100" w:afterAutospacing="1"/>
        <w:jc w:val="center"/>
        <w:rPr>
          <w:sz w:val="28"/>
          <w:szCs w:val="28"/>
        </w:rPr>
      </w:pPr>
      <w:r w:rsidRPr="00F37D30">
        <w:rPr>
          <w:b/>
          <w:bCs/>
          <w:sz w:val="28"/>
          <w:szCs w:val="28"/>
        </w:rPr>
        <w:t>Institute of European, Russian and Eurasian Studies</w:t>
      </w:r>
    </w:p>
    <w:p w:rsidR="001D5A76" w:rsidRDefault="001D5A76" w:rsidP="001D5A76">
      <w:pPr>
        <w:pStyle w:val="Default"/>
        <w:jc w:val="center"/>
        <w:rPr>
          <w:b/>
          <w:bCs/>
          <w:sz w:val="23"/>
          <w:szCs w:val="23"/>
        </w:rPr>
      </w:pPr>
      <w:r w:rsidRPr="001D5A76">
        <w:rPr>
          <w:b/>
          <w:bCs/>
          <w:sz w:val="23"/>
          <w:szCs w:val="23"/>
        </w:rPr>
        <w:t>EURR</w:t>
      </w:r>
      <w:r w:rsidRPr="001D5A76">
        <w:rPr>
          <w:b/>
          <w:bCs/>
          <w:sz w:val="23"/>
          <w:szCs w:val="23"/>
        </w:rPr>
        <w:tab/>
        <w:t>4202/5202</w:t>
      </w:r>
    </w:p>
    <w:p w:rsidR="001D5A76" w:rsidRDefault="001D5A76" w:rsidP="001D5A76">
      <w:pPr>
        <w:pStyle w:val="Default"/>
        <w:jc w:val="center"/>
        <w:rPr>
          <w:b/>
          <w:bCs/>
          <w:sz w:val="23"/>
          <w:szCs w:val="23"/>
        </w:rPr>
      </w:pPr>
    </w:p>
    <w:p w:rsidR="001D5A76" w:rsidRPr="001D5A76" w:rsidRDefault="001D5A76" w:rsidP="001D5A76">
      <w:pPr>
        <w:pStyle w:val="Title"/>
        <w:jc w:val="center"/>
        <w:rPr>
          <w:b/>
          <w:bCs/>
          <w:sz w:val="32"/>
          <w:szCs w:val="32"/>
        </w:rPr>
      </w:pPr>
      <w:proofErr w:type="gramStart"/>
      <w:r w:rsidRPr="001D5A76">
        <w:rPr>
          <w:rFonts w:ascii="Calibri" w:hAnsi="Calibri"/>
          <w:b/>
          <w:bCs/>
          <w:color w:val="1F497D"/>
          <w:sz w:val="40"/>
          <w:szCs w:val="40"/>
          <w:shd w:val="clear" w:color="auto" w:fill="FFFFFF"/>
        </w:rPr>
        <w:t>C</w:t>
      </w:r>
      <w:r w:rsidRPr="001D5A76">
        <w:rPr>
          <w:rFonts w:ascii="Calibri" w:hAnsi="Calibri"/>
          <w:b/>
          <w:bCs/>
          <w:color w:val="1F497D"/>
          <w:sz w:val="32"/>
          <w:szCs w:val="32"/>
          <w:shd w:val="clear" w:color="auto" w:fill="FFFFFF"/>
        </w:rPr>
        <w:t xml:space="preserve">OMPETING </w:t>
      </w:r>
      <w:r w:rsidRPr="001D5A76">
        <w:rPr>
          <w:rFonts w:ascii="Calibri" w:hAnsi="Calibri"/>
          <w:b/>
          <w:bCs/>
          <w:color w:val="1F497D"/>
          <w:sz w:val="40"/>
          <w:szCs w:val="40"/>
          <w:shd w:val="clear" w:color="auto" w:fill="FFFFFF"/>
        </w:rPr>
        <w:t>F</w:t>
      </w:r>
      <w:r w:rsidRPr="001D5A76">
        <w:rPr>
          <w:rFonts w:ascii="Calibri" w:hAnsi="Calibri"/>
          <w:b/>
          <w:bCs/>
          <w:color w:val="1F497D"/>
          <w:sz w:val="32"/>
          <w:szCs w:val="32"/>
          <w:shd w:val="clear" w:color="auto" w:fill="FFFFFF"/>
        </w:rPr>
        <w:t xml:space="preserve">OREIGN </w:t>
      </w:r>
      <w:r w:rsidRPr="001D5A76">
        <w:rPr>
          <w:rFonts w:ascii="Calibri" w:hAnsi="Calibri"/>
          <w:b/>
          <w:bCs/>
          <w:color w:val="1F497D"/>
          <w:sz w:val="40"/>
          <w:szCs w:val="40"/>
          <w:shd w:val="clear" w:color="auto" w:fill="FFFFFF"/>
        </w:rPr>
        <w:t>P</w:t>
      </w:r>
      <w:r w:rsidRPr="001D5A76">
        <w:rPr>
          <w:rFonts w:ascii="Calibri" w:hAnsi="Calibri"/>
          <w:b/>
          <w:bCs/>
          <w:color w:val="1F497D"/>
          <w:sz w:val="32"/>
          <w:szCs w:val="32"/>
          <w:shd w:val="clear" w:color="auto" w:fill="FFFFFF"/>
        </w:rPr>
        <w:t xml:space="preserve">OLICY </w:t>
      </w:r>
      <w:r w:rsidRPr="001D5A76">
        <w:rPr>
          <w:rFonts w:ascii="Calibri" w:hAnsi="Calibri"/>
          <w:b/>
          <w:bCs/>
          <w:color w:val="1F497D"/>
          <w:sz w:val="40"/>
          <w:szCs w:val="40"/>
          <w:shd w:val="clear" w:color="auto" w:fill="FFFFFF"/>
        </w:rPr>
        <w:t>A</w:t>
      </w:r>
      <w:r w:rsidRPr="001D5A76">
        <w:rPr>
          <w:rFonts w:ascii="Calibri" w:hAnsi="Calibri"/>
          <w:b/>
          <w:bCs/>
          <w:color w:val="1F497D"/>
          <w:sz w:val="32"/>
          <w:szCs w:val="32"/>
          <w:shd w:val="clear" w:color="auto" w:fill="FFFFFF"/>
        </w:rPr>
        <w:t xml:space="preserve">GENDAS IN </w:t>
      </w:r>
      <w:r w:rsidRPr="001D5A76">
        <w:rPr>
          <w:rFonts w:ascii="Calibri" w:hAnsi="Calibri"/>
          <w:b/>
          <w:bCs/>
          <w:color w:val="1F497D"/>
          <w:sz w:val="40"/>
          <w:szCs w:val="40"/>
          <w:shd w:val="clear" w:color="auto" w:fill="FFFFFF"/>
        </w:rPr>
        <w:t>E</w:t>
      </w:r>
      <w:r w:rsidRPr="001D5A76">
        <w:rPr>
          <w:rFonts w:ascii="Calibri" w:hAnsi="Calibri"/>
          <w:b/>
          <w:bCs/>
          <w:color w:val="1F497D"/>
          <w:sz w:val="32"/>
          <w:szCs w:val="32"/>
          <w:shd w:val="clear" w:color="auto" w:fill="FFFFFF"/>
        </w:rPr>
        <w:t xml:space="preserve">URASIA: </w:t>
      </w:r>
      <w:r w:rsidRPr="001D5A76">
        <w:rPr>
          <w:rFonts w:ascii="Calibri" w:hAnsi="Calibri"/>
          <w:b/>
          <w:bCs/>
          <w:color w:val="1F497D"/>
          <w:sz w:val="40"/>
          <w:szCs w:val="40"/>
          <w:shd w:val="clear" w:color="auto" w:fill="FFFFFF"/>
        </w:rPr>
        <w:t>R</w:t>
      </w:r>
      <w:r w:rsidRPr="001D5A76">
        <w:rPr>
          <w:rFonts w:ascii="Calibri" w:hAnsi="Calibri"/>
          <w:b/>
          <w:bCs/>
          <w:color w:val="1F497D"/>
          <w:sz w:val="32"/>
          <w:szCs w:val="32"/>
          <w:shd w:val="clear" w:color="auto" w:fill="FFFFFF"/>
        </w:rPr>
        <w:t xml:space="preserve">USSIA, </w:t>
      </w:r>
      <w:r w:rsidRPr="001D5A76">
        <w:rPr>
          <w:rFonts w:ascii="Calibri" w:hAnsi="Calibri"/>
          <w:b/>
          <w:bCs/>
          <w:color w:val="1F497D"/>
          <w:sz w:val="40"/>
          <w:szCs w:val="40"/>
          <w:shd w:val="clear" w:color="auto" w:fill="FFFFFF"/>
        </w:rPr>
        <w:t>T</w:t>
      </w:r>
      <w:r w:rsidRPr="001D5A76">
        <w:rPr>
          <w:rFonts w:ascii="Calibri" w:hAnsi="Calibri"/>
          <w:b/>
          <w:bCs/>
          <w:color w:val="1F497D"/>
          <w:sz w:val="32"/>
          <w:szCs w:val="32"/>
          <w:shd w:val="clear" w:color="auto" w:fill="FFFFFF"/>
        </w:rPr>
        <w:t xml:space="preserve">HE </w:t>
      </w:r>
      <w:r w:rsidRPr="001D5A76">
        <w:rPr>
          <w:rFonts w:ascii="Calibri" w:hAnsi="Calibri"/>
          <w:b/>
          <w:bCs/>
          <w:color w:val="1F497D"/>
          <w:sz w:val="40"/>
          <w:szCs w:val="40"/>
          <w:shd w:val="clear" w:color="auto" w:fill="FFFFFF"/>
        </w:rPr>
        <w:t>E</w:t>
      </w:r>
      <w:r w:rsidRPr="001D5A76">
        <w:rPr>
          <w:rFonts w:ascii="Calibri" w:hAnsi="Calibri"/>
          <w:b/>
          <w:bCs/>
          <w:color w:val="1F497D"/>
          <w:sz w:val="32"/>
          <w:szCs w:val="32"/>
          <w:shd w:val="clear" w:color="auto" w:fill="FFFFFF"/>
        </w:rPr>
        <w:t>U</w:t>
      </w:r>
      <w:r>
        <w:rPr>
          <w:rFonts w:ascii="Calibri" w:hAnsi="Calibri"/>
          <w:b/>
          <w:bCs/>
          <w:color w:val="1F497D"/>
          <w:sz w:val="32"/>
          <w:szCs w:val="32"/>
          <w:shd w:val="clear" w:color="auto" w:fill="FFFFFF"/>
        </w:rPr>
        <w:t xml:space="preserve">ROPEAN </w:t>
      </w:r>
      <w:r w:rsidRPr="001D5A76">
        <w:rPr>
          <w:rFonts w:ascii="Calibri" w:hAnsi="Calibri"/>
          <w:b/>
          <w:bCs/>
          <w:color w:val="1F497D"/>
          <w:sz w:val="40"/>
          <w:szCs w:val="40"/>
          <w:shd w:val="clear" w:color="auto" w:fill="FFFFFF"/>
        </w:rPr>
        <w:t>U</w:t>
      </w:r>
      <w:r>
        <w:rPr>
          <w:rFonts w:ascii="Calibri" w:hAnsi="Calibri"/>
          <w:b/>
          <w:bCs/>
          <w:color w:val="1F497D"/>
          <w:sz w:val="32"/>
          <w:szCs w:val="32"/>
          <w:shd w:val="clear" w:color="auto" w:fill="FFFFFF"/>
        </w:rPr>
        <w:t>NION</w:t>
      </w:r>
      <w:r w:rsidRPr="001D5A76">
        <w:rPr>
          <w:rFonts w:ascii="Calibri" w:hAnsi="Calibri"/>
          <w:b/>
          <w:bCs/>
          <w:color w:val="1F497D"/>
          <w:sz w:val="32"/>
          <w:szCs w:val="32"/>
          <w:shd w:val="clear" w:color="auto" w:fill="FFFFFF"/>
        </w:rPr>
        <w:t xml:space="preserve">, </w:t>
      </w:r>
      <w:r w:rsidRPr="001D5A76">
        <w:rPr>
          <w:rFonts w:ascii="Calibri" w:hAnsi="Calibri"/>
          <w:b/>
          <w:bCs/>
          <w:color w:val="1F497D"/>
          <w:sz w:val="40"/>
          <w:szCs w:val="40"/>
          <w:shd w:val="clear" w:color="auto" w:fill="FFFFFF"/>
        </w:rPr>
        <w:t>T</w:t>
      </w:r>
      <w:r w:rsidRPr="001D5A76">
        <w:rPr>
          <w:rFonts w:ascii="Calibri" w:hAnsi="Calibri"/>
          <w:b/>
          <w:bCs/>
          <w:color w:val="1F497D"/>
          <w:sz w:val="32"/>
          <w:szCs w:val="32"/>
          <w:shd w:val="clear" w:color="auto" w:fill="FFFFFF"/>
        </w:rPr>
        <w:t xml:space="preserve">HE </w:t>
      </w:r>
      <w:r w:rsidRPr="001D5A76">
        <w:rPr>
          <w:rFonts w:ascii="Calibri" w:hAnsi="Calibri"/>
          <w:b/>
          <w:bCs/>
          <w:color w:val="1F497D"/>
          <w:sz w:val="40"/>
          <w:szCs w:val="40"/>
          <w:shd w:val="clear" w:color="auto" w:fill="FFFFFF"/>
        </w:rPr>
        <w:t>U</w:t>
      </w:r>
      <w:r w:rsidRPr="001D5A76">
        <w:rPr>
          <w:rFonts w:ascii="Calibri" w:hAnsi="Calibri"/>
          <w:b/>
          <w:bCs/>
          <w:color w:val="1F497D"/>
          <w:sz w:val="32"/>
          <w:szCs w:val="32"/>
          <w:shd w:val="clear" w:color="auto" w:fill="FFFFFF"/>
        </w:rPr>
        <w:t xml:space="preserve">NITED </w:t>
      </w:r>
      <w:r w:rsidRPr="001D5A76">
        <w:rPr>
          <w:rFonts w:ascii="Calibri" w:hAnsi="Calibri"/>
          <w:b/>
          <w:bCs/>
          <w:color w:val="1F497D"/>
          <w:sz w:val="40"/>
          <w:szCs w:val="40"/>
          <w:shd w:val="clear" w:color="auto" w:fill="FFFFFF"/>
        </w:rPr>
        <w:t>S</w:t>
      </w:r>
      <w:r w:rsidRPr="001D5A76">
        <w:rPr>
          <w:rFonts w:ascii="Calibri" w:hAnsi="Calibri"/>
          <w:b/>
          <w:bCs/>
          <w:color w:val="1F497D"/>
          <w:sz w:val="32"/>
          <w:szCs w:val="32"/>
          <w:shd w:val="clear" w:color="auto" w:fill="FFFFFF"/>
        </w:rPr>
        <w:t xml:space="preserve">TATES, </w:t>
      </w:r>
      <w:r w:rsidRPr="001D5A76">
        <w:rPr>
          <w:rFonts w:ascii="Calibri" w:hAnsi="Calibri"/>
          <w:b/>
          <w:bCs/>
          <w:color w:val="1F497D"/>
          <w:sz w:val="40"/>
          <w:szCs w:val="40"/>
          <w:shd w:val="clear" w:color="auto" w:fill="FFFFFF"/>
        </w:rPr>
        <w:t>NATO</w:t>
      </w:r>
      <w:r w:rsidRPr="001D5A76">
        <w:rPr>
          <w:rFonts w:ascii="Calibri" w:hAnsi="Calibri"/>
          <w:b/>
          <w:bCs/>
          <w:color w:val="1F497D"/>
          <w:sz w:val="32"/>
          <w:szCs w:val="32"/>
          <w:shd w:val="clear" w:color="auto" w:fill="FFFFFF"/>
        </w:rPr>
        <w:t xml:space="preserve"> AND </w:t>
      </w:r>
      <w:r w:rsidRPr="001D5A76">
        <w:rPr>
          <w:rFonts w:ascii="Calibri" w:hAnsi="Calibri"/>
          <w:b/>
          <w:bCs/>
          <w:color w:val="1F497D"/>
          <w:sz w:val="40"/>
          <w:szCs w:val="40"/>
          <w:shd w:val="clear" w:color="auto" w:fill="FFFFFF"/>
        </w:rPr>
        <w:t>C</w:t>
      </w:r>
      <w:r w:rsidRPr="001D5A76">
        <w:rPr>
          <w:rFonts w:ascii="Calibri" w:hAnsi="Calibri"/>
          <w:b/>
          <w:bCs/>
          <w:color w:val="1F497D"/>
          <w:sz w:val="32"/>
          <w:szCs w:val="32"/>
          <w:shd w:val="clear" w:color="auto" w:fill="FFFFFF"/>
        </w:rPr>
        <w:t>HINA.</w:t>
      </w:r>
      <w:proofErr w:type="gramEnd"/>
    </w:p>
    <w:p w:rsidR="001D5A76" w:rsidRDefault="001D5A76" w:rsidP="001D5A76">
      <w:pPr>
        <w:pStyle w:val="Default"/>
        <w:jc w:val="center"/>
        <w:rPr>
          <w:b/>
          <w:bCs/>
          <w:sz w:val="23"/>
          <w:szCs w:val="23"/>
        </w:rPr>
      </w:pPr>
      <w:r>
        <w:rPr>
          <w:b/>
          <w:bCs/>
          <w:sz w:val="23"/>
          <w:szCs w:val="23"/>
        </w:rPr>
        <w:t xml:space="preserve">Time: </w:t>
      </w:r>
      <w:r w:rsidR="006476A7">
        <w:rPr>
          <w:b/>
          <w:bCs/>
          <w:sz w:val="23"/>
          <w:szCs w:val="23"/>
        </w:rPr>
        <w:t>Mondays and Wednesdays 14:35 – 17:25</w:t>
      </w:r>
    </w:p>
    <w:p w:rsidR="001D5A76" w:rsidRDefault="001D5A76" w:rsidP="001D5A76">
      <w:pPr>
        <w:pStyle w:val="Default"/>
        <w:jc w:val="center"/>
        <w:rPr>
          <w:b/>
          <w:bCs/>
          <w:sz w:val="23"/>
          <w:szCs w:val="23"/>
        </w:rPr>
      </w:pPr>
    </w:p>
    <w:p w:rsidR="001D5A76" w:rsidRPr="009565FA" w:rsidRDefault="001D5A76" w:rsidP="001D5A76">
      <w:pPr>
        <w:pStyle w:val="Default"/>
        <w:jc w:val="center"/>
        <w:rPr>
          <w:b/>
          <w:bCs/>
          <w:sz w:val="22"/>
          <w:szCs w:val="22"/>
        </w:rPr>
      </w:pPr>
      <w:r>
        <w:rPr>
          <w:b/>
          <w:bCs/>
          <w:sz w:val="22"/>
          <w:szCs w:val="22"/>
        </w:rPr>
        <w:t>Location: TBA</w:t>
      </w:r>
    </w:p>
    <w:p w:rsidR="001D5A76" w:rsidRDefault="001D5A76" w:rsidP="001D5A76">
      <w:pPr>
        <w:pStyle w:val="Default"/>
        <w:jc w:val="center"/>
        <w:rPr>
          <w:sz w:val="23"/>
          <w:szCs w:val="23"/>
        </w:rPr>
      </w:pPr>
      <w:r>
        <w:rPr>
          <w:b/>
          <w:bCs/>
          <w:sz w:val="23"/>
          <w:szCs w:val="23"/>
        </w:rPr>
        <w:t xml:space="preserve"> </w:t>
      </w:r>
    </w:p>
    <w:p w:rsidR="001D5A76" w:rsidRDefault="001D5A76" w:rsidP="001D5A76">
      <w:pPr>
        <w:pStyle w:val="Default"/>
        <w:rPr>
          <w:sz w:val="23"/>
          <w:szCs w:val="23"/>
        </w:rPr>
      </w:pPr>
    </w:p>
    <w:p w:rsidR="001D5A76" w:rsidRDefault="001D5A76" w:rsidP="001D5A76">
      <w:pPr>
        <w:pStyle w:val="Default"/>
        <w:rPr>
          <w:sz w:val="23"/>
          <w:szCs w:val="23"/>
        </w:rPr>
      </w:pPr>
      <w:r>
        <w:rPr>
          <w:sz w:val="23"/>
          <w:szCs w:val="23"/>
        </w:rPr>
        <w:t>Course Instructor: Mikhail Zherebtsov</w:t>
      </w:r>
    </w:p>
    <w:p w:rsidR="001D5A76" w:rsidRDefault="001D5A76" w:rsidP="001D5A76">
      <w:pPr>
        <w:pStyle w:val="Default"/>
        <w:rPr>
          <w:sz w:val="23"/>
          <w:szCs w:val="23"/>
        </w:rPr>
      </w:pPr>
      <w:r>
        <w:rPr>
          <w:sz w:val="23"/>
          <w:szCs w:val="23"/>
        </w:rPr>
        <w:t>Office: River Bldg. RB 331</w:t>
      </w:r>
      <w:r w:rsidR="006476A7">
        <w:rPr>
          <w:sz w:val="23"/>
          <w:szCs w:val="23"/>
        </w:rPr>
        <w:t>4</w:t>
      </w:r>
    </w:p>
    <w:p w:rsidR="001D5A76" w:rsidRPr="001C792D" w:rsidRDefault="001D5A76" w:rsidP="001D5A76">
      <w:pPr>
        <w:pStyle w:val="Default"/>
        <w:rPr>
          <w:sz w:val="23"/>
          <w:szCs w:val="23"/>
        </w:rPr>
      </w:pPr>
      <w:r w:rsidRPr="001C792D">
        <w:rPr>
          <w:sz w:val="23"/>
          <w:szCs w:val="23"/>
        </w:rPr>
        <w:t>Phone extension: TBA</w:t>
      </w:r>
    </w:p>
    <w:p w:rsidR="001D5A76" w:rsidRPr="000F23C6" w:rsidRDefault="001D5A76" w:rsidP="001D5A76">
      <w:pPr>
        <w:pStyle w:val="Default"/>
        <w:rPr>
          <w:sz w:val="23"/>
          <w:szCs w:val="23"/>
          <w:lang w:val="de-DE"/>
        </w:rPr>
      </w:pPr>
      <w:r w:rsidRPr="000F23C6">
        <w:rPr>
          <w:sz w:val="23"/>
          <w:szCs w:val="23"/>
          <w:lang w:val="de-DE"/>
        </w:rPr>
        <w:t xml:space="preserve">E-mail: </w:t>
      </w:r>
      <w:r>
        <w:fldChar w:fldCharType="begin"/>
      </w:r>
      <w:r w:rsidRPr="000F23C6">
        <w:rPr>
          <w:lang w:val="de-DE"/>
        </w:rPr>
        <w:instrText xml:space="preserve"> HYPERLINK "mailto:Mikhail.Zherebtsov@carleton.ca" </w:instrText>
      </w:r>
      <w:r>
        <w:fldChar w:fldCharType="separate"/>
      </w:r>
      <w:r w:rsidRPr="000F23C6">
        <w:rPr>
          <w:rStyle w:val="Hyperlink"/>
          <w:sz w:val="23"/>
          <w:szCs w:val="23"/>
          <w:lang w:val="de-DE"/>
        </w:rPr>
        <w:t>Mikhail.Zherebtsov@carleton.ca</w:t>
      </w:r>
      <w:r>
        <w:rPr>
          <w:rStyle w:val="Hyperlink"/>
          <w:sz w:val="23"/>
          <w:szCs w:val="23"/>
        </w:rPr>
        <w:fldChar w:fldCharType="end"/>
      </w:r>
      <w:r w:rsidRPr="000F23C6">
        <w:rPr>
          <w:sz w:val="23"/>
          <w:szCs w:val="23"/>
          <w:lang w:val="de-DE"/>
        </w:rPr>
        <w:t xml:space="preserve"> </w:t>
      </w:r>
    </w:p>
    <w:p w:rsidR="001D5A76" w:rsidRPr="000F23C6" w:rsidRDefault="001D5A76" w:rsidP="001D5A76">
      <w:pPr>
        <w:pStyle w:val="Default"/>
        <w:rPr>
          <w:sz w:val="23"/>
          <w:szCs w:val="23"/>
          <w:lang w:val="de-DE"/>
        </w:rPr>
      </w:pPr>
    </w:p>
    <w:p w:rsidR="001D5A76" w:rsidRDefault="001D5A76" w:rsidP="001D5A76">
      <w:pPr>
        <w:pStyle w:val="Default"/>
        <w:rPr>
          <w:sz w:val="23"/>
          <w:szCs w:val="23"/>
        </w:rPr>
      </w:pPr>
      <w:r>
        <w:rPr>
          <w:sz w:val="23"/>
          <w:szCs w:val="23"/>
        </w:rPr>
        <w:t xml:space="preserve">Office hours: </w:t>
      </w:r>
      <w:r w:rsidR="006476A7">
        <w:rPr>
          <w:sz w:val="23"/>
          <w:szCs w:val="23"/>
        </w:rPr>
        <w:t>Wednesday 12:30-14:15</w:t>
      </w:r>
      <w:r>
        <w:rPr>
          <w:sz w:val="23"/>
          <w:szCs w:val="23"/>
        </w:rPr>
        <w:t xml:space="preserve"> </w:t>
      </w:r>
    </w:p>
    <w:p w:rsidR="001D5A76" w:rsidRPr="00D358FA" w:rsidRDefault="001D5A76" w:rsidP="004F280C">
      <w:pPr>
        <w:pStyle w:val="Heading1"/>
      </w:pPr>
      <w:r w:rsidRPr="00D358FA">
        <w:t xml:space="preserve">Course Description: </w:t>
      </w:r>
    </w:p>
    <w:p w:rsidR="00F76DDC" w:rsidRDefault="00993091" w:rsidP="005739D4">
      <w:pPr>
        <w:pStyle w:val="Default"/>
        <w:spacing w:after="100"/>
        <w:jc w:val="both"/>
        <w:rPr>
          <w:rFonts w:asciiTheme="minorHAnsi" w:hAnsiTheme="minorHAnsi" w:cstheme="minorHAnsi"/>
          <w:bCs/>
          <w:iCs/>
          <w:sz w:val="22"/>
          <w:szCs w:val="22"/>
        </w:rPr>
      </w:pPr>
      <w:r>
        <w:rPr>
          <w:rFonts w:asciiTheme="minorHAnsi" w:hAnsiTheme="minorHAnsi" w:cstheme="minorHAnsi"/>
          <w:bCs/>
          <w:iCs/>
          <w:sz w:val="22"/>
          <w:szCs w:val="22"/>
        </w:rPr>
        <w:t xml:space="preserve">Recent developments in foreign policy at the core of Eurasia evidently reveal the conflicting nature of </w:t>
      </w:r>
      <w:r w:rsidR="00EE7893">
        <w:rPr>
          <w:rFonts w:asciiTheme="minorHAnsi" w:hAnsiTheme="minorHAnsi" w:cstheme="minorHAnsi"/>
          <w:bCs/>
          <w:iCs/>
          <w:sz w:val="22"/>
          <w:szCs w:val="22"/>
        </w:rPr>
        <w:t xml:space="preserve">contemporary </w:t>
      </w:r>
      <w:r>
        <w:rPr>
          <w:rFonts w:asciiTheme="minorHAnsi" w:hAnsiTheme="minorHAnsi" w:cstheme="minorHAnsi"/>
          <w:bCs/>
          <w:iCs/>
          <w:sz w:val="22"/>
          <w:szCs w:val="22"/>
        </w:rPr>
        <w:t xml:space="preserve">international relations. The competition among the major actors is driven by </w:t>
      </w:r>
      <w:r w:rsidR="00EE7893">
        <w:rPr>
          <w:rFonts w:asciiTheme="minorHAnsi" w:hAnsiTheme="minorHAnsi" w:cstheme="minorHAnsi"/>
          <w:bCs/>
          <w:iCs/>
          <w:sz w:val="22"/>
          <w:szCs w:val="22"/>
        </w:rPr>
        <w:t xml:space="preserve">the competing </w:t>
      </w:r>
      <w:r w:rsidR="00F76DDC">
        <w:rPr>
          <w:rFonts w:asciiTheme="minorHAnsi" w:hAnsiTheme="minorHAnsi" w:cstheme="minorHAnsi"/>
          <w:bCs/>
          <w:iCs/>
          <w:sz w:val="22"/>
          <w:szCs w:val="22"/>
        </w:rPr>
        <w:t xml:space="preserve">past and current </w:t>
      </w:r>
      <w:r w:rsidR="00EE7893">
        <w:rPr>
          <w:rFonts w:asciiTheme="minorHAnsi" w:hAnsiTheme="minorHAnsi" w:cstheme="minorHAnsi"/>
          <w:bCs/>
          <w:iCs/>
          <w:sz w:val="22"/>
          <w:szCs w:val="22"/>
        </w:rPr>
        <w:t>agendas</w:t>
      </w:r>
      <w:r w:rsidR="00F76DDC">
        <w:rPr>
          <w:rFonts w:asciiTheme="minorHAnsi" w:hAnsiTheme="minorHAnsi" w:cstheme="minorHAnsi"/>
          <w:bCs/>
          <w:iCs/>
          <w:sz w:val="22"/>
          <w:szCs w:val="22"/>
        </w:rPr>
        <w:t>. Over the last twenty five years these agendas have showed the stunning dynamics</w:t>
      </w:r>
      <w:r w:rsidR="00E22541">
        <w:rPr>
          <w:rFonts w:asciiTheme="minorHAnsi" w:hAnsiTheme="minorHAnsi" w:cstheme="minorHAnsi"/>
          <w:bCs/>
          <w:iCs/>
          <w:sz w:val="22"/>
          <w:szCs w:val="22"/>
        </w:rPr>
        <w:t xml:space="preserve"> that is being discussed in the course.</w:t>
      </w:r>
      <w:r w:rsidR="00F76DDC">
        <w:rPr>
          <w:rFonts w:asciiTheme="minorHAnsi" w:hAnsiTheme="minorHAnsi" w:cstheme="minorHAnsi"/>
          <w:bCs/>
          <w:iCs/>
          <w:sz w:val="22"/>
          <w:szCs w:val="22"/>
        </w:rPr>
        <w:t xml:space="preserve"> The collapse of the Soviet bloc resulted in the convergence between Russia, on the one hand, and the West, on the other. </w:t>
      </w:r>
      <w:r w:rsidR="00E22541">
        <w:rPr>
          <w:rFonts w:asciiTheme="minorHAnsi" w:hAnsiTheme="minorHAnsi" w:cstheme="minorHAnsi"/>
          <w:bCs/>
          <w:iCs/>
          <w:sz w:val="22"/>
          <w:szCs w:val="22"/>
        </w:rPr>
        <w:t>Yet, despite vigorous efforts to support democratic reforms, Russia was not able to completely modernize its economy and the political system. Moreover, some of the initiatives of its Western partners amplified resentment of the Russian leadership. The decade of relative cooperation was substituted with the growing competition and demands to delineate geopolitical zones of authority. These processes culminated in 2014 with an open political confrontation between Russia and the West and the re</w:t>
      </w:r>
      <w:r w:rsidR="001E6A73">
        <w:rPr>
          <w:rFonts w:asciiTheme="minorHAnsi" w:hAnsiTheme="minorHAnsi" w:cstheme="minorHAnsi"/>
          <w:bCs/>
          <w:iCs/>
          <w:sz w:val="22"/>
          <w:szCs w:val="22"/>
        </w:rPr>
        <w:t>turn of the Cold War rhetoric</w:t>
      </w:r>
      <w:r w:rsidR="00E22541">
        <w:rPr>
          <w:rFonts w:asciiTheme="minorHAnsi" w:hAnsiTheme="minorHAnsi" w:cstheme="minorHAnsi"/>
          <w:bCs/>
          <w:iCs/>
          <w:sz w:val="22"/>
          <w:szCs w:val="22"/>
        </w:rPr>
        <w:t>.</w:t>
      </w:r>
      <w:r w:rsidR="001E6A73">
        <w:rPr>
          <w:rFonts w:asciiTheme="minorHAnsi" w:hAnsiTheme="minorHAnsi" w:cstheme="minorHAnsi"/>
          <w:bCs/>
          <w:iCs/>
          <w:sz w:val="22"/>
          <w:szCs w:val="22"/>
        </w:rPr>
        <w:t xml:space="preserve"> Yet, the situation should not be regarded as a mere return to the bipolar word order, as the rapid rise of China in the early 2000s establishes a new and alternative vector of international affairs. </w:t>
      </w:r>
    </w:p>
    <w:p w:rsidR="001D5A76" w:rsidRDefault="00EE7893" w:rsidP="005739D4">
      <w:pPr>
        <w:pStyle w:val="Default"/>
        <w:spacing w:after="100"/>
        <w:jc w:val="both"/>
        <w:rPr>
          <w:rFonts w:asciiTheme="minorHAnsi" w:hAnsiTheme="minorHAnsi" w:cstheme="minorHAnsi"/>
          <w:bCs/>
          <w:iCs/>
          <w:sz w:val="22"/>
          <w:szCs w:val="22"/>
        </w:rPr>
      </w:pPr>
      <w:r>
        <w:rPr>
          <w:rFonts w:asciiTheme="minorHAnsi" w:hAnsiTheme="minorHAnsi" w:cstheme="minorHAnsi"/>
          <w:bCs/>
          <w:iCs/>
          <w:sz w:val="22"/>
          <w:szCs w:val="22"/>
        </w:rPr>
        <w:t>The</w:t>
      </w:r>
      <w:r w:rsidR="00E22541">
        <w:rPr>
          <w:rFonts w:asciiTheme="minorHAnsi" w:hAnsiTheme="minorHAnsi" w:cstheme="minorHAnsi"/>
          <w:bCs/>
          <w:iCs/>
          <w:sz w:val="22"/>
          <w:szCs w:val="22"/>
        </w:rPr>
        <w:t>refore, the</w:t>
      </w:r>
      <w:r>
        <w:rPr>
          <w:rFonts w:asciiTheme="minorHAnsi" w:hAnsiTheme="minorHAnsi" w:cstheme="minorHAnsi"/>
          <w:bCs/>
          <w:iCs/>
          <w:sz w:val="22"/>
          <w:szCs w:val="22"/>
        </w:rPr>
        <w:t xml:space="preserve"> course </w:t>
      </w:r>
      <w:r w:rsidR="00E22541">
        <w:rPr>
          <w:rFonts w:asciiTheme="minorHAnsi" w:hAnsiTheme="minorHAnsi" w:cstheme="minorHAnsi"/>
          <w:bCs/>
          <w:iCs/>
          <w:sz w:val="22"/>
          <w:szCs w:val="22"/>
        </w:rPr>
        <w:t>studies the competing foreign policy agendas</w:t>
      </w:r>
      <w:r w:rsidR="00F76DDC">
        <w:rPr>
          <w:rFonts w:asciiTheme="minorHAnsi" w:hAnsiTheme="minorHAnsi" w:cstheme="minorHAnsi"/>
          <w:bCs/>
          <w:iCs/>
          <w:sz w:val="22"/>
          <w:szCs w:val="22"/>
        </w:rPr>
        <w:t xml:space="preserve"> </w:t>
      </w:r>
      <w:r w:rsidR="001E6A73">
        <w:rPr>
          <w:rFonts w:asciiTheme="minorHAnsi" w:hAnsiTheme="minorHAnsi" w:cstheme="minorHAnsi"/>
          <w:bCs/>
          <w:iCs/>
          <w:sz w:val="22"/>
          <w:szCs w:val="22"/>
        </w:rPr>
        <w:t xml:space="preserve">of </w:t>
      </w:r>
      <w:r>
        <w:rPr>
          <w:rFonts w:asciiTheme="minorHAnsi" w:hAnsiTheme="minorHAnsi" w:cstheme="minorHAnsi"/>
          <w:bCs/>
          <w:iCs/>
          <w:sz w:val="22"/>
          <w:szCs w:val="22"/>
        </w:rPr>
        <w:t xml:space="preserve">the Russian Federation, </w:t>
      </w:r>
      <w:r w:rsidR="00807514">
        <w:rPr>
          <w:rFonts w:asciiTheme="minorHAnsi" w:hAnsiTheme="minorHAnsi" w:cstheme="minorHAnsi"/>
          <w:bCs/>
          <w:iCs/>
          <w:sz w:val="22"/>
          <w:szCs w:val="22"/>
        </w:rPr>
        <w:t xml:space="preserve">the European Union, China, as well as the United States and NATO. </w:t>
      </w:r>
      <w:r w:rsidR="009A0949">
        <w:rPr>
          <w:rFonts w:asciiTheme="minorHAnsi" w:hAnsiTheme="minorHAnsi" w:cstheme="minorHAnsi"/>
          <w:bCs/>
          <w:iCs/>
          <w:sz w:val="22"/>
          <w:szCs w:val="22"/>
        </w:rPr>
        <w:t xml:space="preserve">The course’s main focus is on Russia as the </w:t>
      </w:r>
      <w:r w:rsidR="001E6A73">
        <w:rPr>
          <w:rFonts w:asciiTheme="minorHAnsi" w:hAnsiTheme="minorHAnsi" w:cstheme="minorHAnsi"/>
          <w:bCs/>
          <w:iCs/>
          <w:sz w:val="22"/>
          <w:szCs w:val="22"/>
        </w:rPr>
        <w:t xml:space="preserve">geographically </w:t>
      </w:r>
      <w:r w:rsidR="009A0949">
        <w:rPr>
          <w:rFonts w:asciiTheme="minorHAnsi" w:hAnsiTheme="minorHAnsi" w:cstheme="minorHAnsi"/>
          <w:bCs/>
          <w:iCs/>
          <w:sz w:val="22"/>
          <w:szCs w:val="22"/>
        </w:rPr>
        <w:t xml:space="preserve">largest country, the nuclear superpower and the major competitor in the region </w:t>
      </w:r>
      <w:r w:rsidR="00653A26">
        <w:rPr>
          <w:rFonts w:asciiTheme="minorHAnsi" w:hAnsiTheme="minorHAnsi" w:cstheme="minorHAnsi"/>
          <w:bCs/>
          <w:iCs/>
          <w:sz w:val="22"/>
          <w:szCs w:val="22"/>
        </w:rPr>
        <w:t xml:space="preserve">in the past and </w:t>
      </w:r>
      <w:r w:rsidR="009A0949">
        <w:rPr>
          <w:rFonts w:asciiTheme="minorHAnsi" w:hAnsiTheme="minorHAnsi" w:cstheme="minorHAnsi"/>
          <w:bCs/>
          <w:iCs/>
          <w:sz w:val="22"/>
          <w:szCs w:val="22"/>
        </w:rPr>
        <w:t xml:space="preserve">at this current historic </w:t>
      </w:r>
      <w:r w:rsidR="00653A26">
        <w:rPr>
          <w:rFonts w:asciiTheme="minorHAnsi" w:hAnsiTheme="minorHAnsi" w:cstheme="minorHAnsi"/>
          <w:bCs/>
          <w:iCs/>
          <w:sz w:val="22"/>
          <w:szCs w:val="22"/>
        </w:rPr>
        <w:t>moment</w:t>
      </w:r>
      <w:r w:rsidR="009A0949">
        <w:rPr>
          <w:rFonts w:asciiTheme="minorHAnsi" w:hAnsiTheme="minorHAnsi" w:cstheme="minorHAnsi"/>
          <w:bCs/>
          <w:iCs/>
          <w:sz w:val="22"/>
          <w:szCs w:val="22"/>
        </w:rPr>
        <w:t xml:space="preserve">. The ancestor of the imperial and Soviet traditions modern Russia retains the legacies and </w:t>
      </w:r>
      <w:r w:rsidR="009A0949" w:rsidRPr="009A0949">
        <w:rPr>
          <w:rFonts w:asciiTheme="minorHAnsi" w:hAnsiTheme="minorHAnsi" w:cstheme="minorHAnsi"/>
          <w:bCs/>
          <w:iCs/>
          <w:sz w:val="22"/>
          <w:szCs w:val="22"/>
        </w:rPr>
        <w:t>pretensions to great power domination</w:t>
      </w:r>
      <w:r w:rsidR="009A0949">
        <w:rPr>
          <w:rFonts w:asciiTheme="minorHAnsi" w:hAnsiTheme="minorHAnsi" w:cstheme="minorHAnsi"/>
          <w:bCs/>
          <w:iCs/>
          <w:sz w:val="22"/>
          <w:szCs w:val="22"/>
        </w:rPr>
        <w:t>.</w:t>
      </w:r>
      <w:r w:rsidR="00653A26">
        <w:rPr>
          <w:rFonts w:asciiTheme="minorHAnsi" w:hAnsiTheme="minorHAnsi" w:cstheme="minorHAnsi"/>
          <w:bCs/>
          <w:iCs/>
          <w:sz w:val="22"/>
          <w:szCs w:val="22"/>
        </w:rPr>
        <w:t xml:space="preserve"> Nowadays it equally disagrees with both the multilateral constructivist foreign politics, pursued by the European Union, and the United States’ claims for global leadership. </w:t>
      </w:r>
      <w:r w:rsidR="001E6A73">
        <w:rPr>
          <w:rFonts w:asciiTheme="minorHAnsi" w:hAnsiTheme="minorHAnsi" w:cstheme="minorHAnsi"/>
          <w:bCs/>
          <w:iCs/>
          <w:sz w:val="22"/>
          <w:szCs w:val="22"/>
        </w:rPr>
        <w:t>Moreover, recent events only reinforced the ongoing Sino-Russian cooperation in the region.</w:t>
      </w:r>
    </w:p>
    <w:p w:rsidR="00D82FD3" w:rsidRDefault="0017307E" w:rsidP="005739D4">
      <w:pPr>
        <w:pStyle w:val="Default"/>
        <w:spacing w:after="100"/>
        <w:jc w:val="both"/>
        <w:rPr>
          <w:rFonts w:asciiTheme="minorHAnsi" w:hAnsiTheme="minorHAnsi" w:cstheme="minorHAnsi"/>
          <w:bCs/>
          <w:iCs/>
          <w:sz w:val="22"/>
          <w:szCs w:val="22"/>
        </w:rPr>
      </w:pPr>
      <w:r>
        <w:rPr>
          <w:rFonts w:asciiTheme="minorHAnsi" w:hAnsiTheme="minorHAnsi" w:cstheme="minorHAnsi"/>
          <w:bCs/>
          <w:iCs/>
          <w:sz w:val="22"/>
          <w:szCs w:val="22"/>
        </w:rPr>
        <w:t>The</w:t>
      </w:r>
      <w:r w:rsidR="001E6A73">
        <w:rPr>
          <w:rFonts w:asciiTheme="minorHAnsi" w:hAnsiTheme="minorHAnsi" w:cstheme="minorHAnsi"/>
          <w:bCs/>
          <w:iCs/>
          <w:sz w:val="22"/>
          <w:szCs w:val="22"/>
        </w:rPr>
        <w:t>matically,</w:t>
      </w:r>
      <w:r>
        <w:rPr>
          <w:rFonts w:asciiTheme="minorHAnsi" w:hAnsiTheme="minorHAnsi" w:cstheme="minorHAnsi"/>
          <w:bCs/>
          <w:iCs/>
          <w:sz w:val="22"/>
          <w:szCs w:val="22"/>
        </w:rPr>
        <w:t xml:space="preserve"> course is divided in two parts. The first part </w:t>
      </w:r>
      <w:r w:rsidR="00867739">
        <w:rPr>
          <w:rFonts w:asciiTheme="minorHAnsi" w:hAnsiTheme="minorHAnsi" w:cstheme="minorHAnsi"/>
          <w:bCs/>
          <w:iCs/>
          <w:sz w:val="22"/>
          <w:szCs w:val="22"/>
        </w:rPr>
        <w:t xml:space="preserve">comprises sessions 1 to </w:t>
      </w:r>
      <w:r w:rsidR="00CC3BF7">
        <w:rPr>
          <w:rFonts w:asciiTheme="minorHAnsi" w:hAnsiTheme="minorHAnsi" w:cstheme="minorHAnsi"/>
          <w:bCs/>
          <w:iCs/>
          <w:sz w:val="22"/>
          <w:szCs w:val="22"/>
        </w:rPr>
        <w:t>7</w:t>
      </w:r>
      <w:r w:rsidR="00867739">
        <w:rPr>
          <w:rFonts w:asciiTheme="minorHAnsi" w:hAnsiTheme="minorHAnsi" w:cstheme="minorHAnsi"/>
          <w:bCs/>
          <w:iCs/>
          <w:sz w:val="22"/>
          <w:szCs w:val="22"/>
        </w:rPr>
        <w:t xml:space="preserve"> and provides a comprehensive outlook of all major agents’ policy agendas in Eurasia. </w:t>
      </w:r>
      <w:r w:rsidR="001E6A73">
        <w:rPr>
          <w:rFonts w:asciiTheme="minorHAnsi" w:hAnsiTheme="minorHAnsi" w:cstheme="minorHAnsi"/>
          <w:bCs/>
          <w:iCs/>
          <w:sz w:val="22"/>
          <w:szCs w:val="22"/>
        </w:rPr>
        <w:t xml:space="preserve">The </w:t>
      </w:r>
      <w:r w:rsidR="00867739">
        <w:rPr>
          <w:rFonts w:asciiTheme="minorHAnsi" w:hAnsiTheme="minorHAnsi" w:cstheme="minorHAnsi"/>
          <w:bCs/>
          <w:iCs/>
          <w:sz w:val="22"/>
          <w:szCs w:val="22"/>
        </w:rPr>
        <w:t xml:space="preserve">lectures will </w:t>
      </w:r>
      <w:proofErr w:type="gramStart"/>
      <w:r w:rsidR="00867739">
        <w:rPr>
          <w:rFonts w:asciiTheme="minorHAnsi" w:hAnsiTheme="minorHAnsi" w:cstheme="minorHAnsi"/>
          <w:bCs/>
          <w:iCs/>
          <w:sz w:val="22"/>
          <w:szCs w:val="22"/>
        </w:rPr>
        <w:t>discussed</w:t>
      </w:r>
      <w:proofErr w:type="gramEnd"/>
      <w:r w:rsidR="00867739">
        <w:rPr>
          <w:rFonts w:asciiTheme="minorHAnsi" w:hAnsiTheme="minorHAnsi" w:cstheme="minorHAnsi"/>
          <w:bCs/>
          <w:iCs/>
          <w:sz w:val="22"/>
          <w:szCs w:val="22"/>
        </w:rPr>
        <w:t xml:space="preserve"> </w:t>
      </w:r>
      <w:r w:rsidR="00867739">
        <w:rPr>
          <w:rFonts w:asciiTheme="minorHAnsi" w:hAnsiTheme="minorHAnsi" w:cstheme="minorHAnsi"/>
          <w:bCs/>
          <w:iCs/>
          <w:sz w:val="22"/>
          <w:szCs w:val="22"/>
        </w:rPr>
        <w:lastRenderedPageBreak/>
        <w:t>interests, goals and methods of foreign policies of Russia, the EU, China, the US and NATO, as well as the ways they intercross and interact with each other.</w:t>
      </w:r>
      <w:r w:rsidR="001E6A73">
        <w:rPr>
          <w:rFonts w:asciiTheme="minorHAnsi" w:hAnsiTheme="minorHAnsi" w:cstheme="minorHAnsi"/>
          <w:bCs/>
          <w:iCs/>
          <w:sz w:val="22"/>
          <w:szCs w:val="22"/>
        </w:rPr>
        <w:t xml:space="preserve"> </w:t>
      </w:r>
      <w:r w:rsidR="00867739">
        <w:rPr>
          <w:rFonts w:asciiTheme="minorHAnsi" w:hAnsiTheme="minorHAnsi" w:cstheme="minorHAnsi"/>
          <w:bCs/>
          <w:iCs/>
          <w:sz w:val="22"/>
          <w:szCs w:val="22"/>
        </w:rPr>
        <w:t xml:space="preserve">The second part is devoted to the analysis and discussion of the most </w:t>
      </w:r>
      <w:r w:rsidR="001E6A73">
        <w:rPr>
          <w:rFonts w:asciiTheme="minorHAnsi" w:hAnsiTheme="minorHAnsi" w:cstheme="minorHAnsi"/>
          <w:bCs/>
          <w:iCs/>
          <w:sz w:val="22"/>
          <w:szCs w:val="22"/>
        </w:rPr>
        <w:t xml:space="preserve">crucial </w:t>
      </w:r>
      <w:r w:rsidR="00867739">
        <w:rPr>
          <w:rFonts w:asciiTheme="minorHAnsi" w:hAnsiTheme="minorHAnsi" w:cstheme="minorHAnsi"/>
          <w:bCs/>
          <w:iCs/>
          <w:sz w:val="22"/>
          <w:szCs w:val="22"/>
        </w:rPr>
        <w:t>cases of the development of international relations in Eurasia</w:t>
      </w:r>
      <w:r w:rsidR="00CC3BF7">
        <w:rPr>
          <w:rFonts w:asciiTheme="minorHAnsi" w:hAnsiTheme="minorHAnsi" w:cstheme="minorHAnsi"/>
          <w:bCs/>
          <w:iCs/>
          <w:sz w:val="22"/>
          <w:szCs w:val="22"/>
        </w:rPr>
        <w:t xml:space="preserve"> in the last twenty five years. The course will focus on such conflictual issues, as NATO eastern expansions, Russian-Ukrainian gas disputes and energy security in Europe, China’s growing role and diplomatic alliances in Eurasia, Russo-Georgian War of August 2008, and most recent turbulent processes in Ukraine that finally unmasked and unleashed tensions between “the West” and “the East”. </w:t>
      </w:r>
    </w:p>
    <w:p w:rsidR="00867739" w:rsidRDefault="005739D4" w:rsidP="005739D4">
      <w:pPr>
        <w:pStyle w:val="Default"/>
        <w:spacing w:after="100"/>
        <w:jc w:val="both"/>
        <w:rPr>
          <w:rFonts w:asciiTheme="minorHAnsi" w:hAnsiTheme="minorHAnsi" w:cstheme="minorHAnsi"/>
          <w:bCs/>
          <w:iCs/>
          <w:sz w:val="22"/>
          <w:szCs w:val="22"/>
        </w:rPr>
      </w:pPr>
      <w:r>
        <w:rPr>
          <w:rFonts w:asciiTheme="minorHAnsi" w:hAnsiTheme="minorHAnsi" w:cstheme="minorHAnsi"/>
          <w:bCs/>
          <w:iCs/>
          <w:sz w:val="22"/>
          <w:szCs w:val="22"/>
        </w:rPr>
        <w:t xml:space="preserve">Discussing these events, class participants will </w:t>
      </w:r>
      <w:r w:rsidR="001E6A73">
        <w:rPr>
          <w:rFonts w:asciiTheme="minorHAnsi" w:hAnsiTheme="minorHAnsi" w:cstheme="minorHAnsi"/>
          <w:bCs/>
          <w:iCs/>
          <w:sz w:val="22"/>
          <w:szCs w:val="22"/>
        </w:rPr>
        <w:t xml:space="preserve">not only resort to scholarly analysis of issues; they will </w:t>
      </w:r>
      <w:r>
        <w:rPr>
          <w:rFonts w:asciiTheme="minorHAnsi" w:hAnsiTheme="minorHAnsi" w:cstheme="minorHAnsi"/>
          <w:bCs/>
          <w:iCs/>
          <w:sz w:val="22"/>
          <w:szCs w:val="22"/>
        </w:rPr>
        <w:t>exercise in utilizing various techniques of collective (brainstorming) and individual policy analysis and preparing policy and media briefs on the basis of existing factual information.</w:t>
      </w:r>
      <w:r w:rsidR="00D82FD3">
        <w:rPr>
          <w:rFonts w:asciiTheme="minorHAnsi" w:hAnsiTheme="minorHAnsi" w:cstheme="minorHAnsi"/>
          <w:bCs/>
          <w:iCs/>
          <w:sz w:val="22"/>
          <w:szCs w:val="22"/>
        </w:rPr>
        <w:t xml:space="preserve"> This course </w:t>
      </w:r>
      <w:r w:rsidR="00F76DDC">
        <w:rPr>
          <w:rFonts w:asciiTheme="minorHAnsi" w:hAnsiTheme="minorHAnsi" w:cstheme="minorHAnsi"/>
          <w:bCs/>
          <w:iCs/>
          <w:sz w:val="22"/>
          <w:szCs w:val="22"/>
        </w:rPr>
        <w:t xml:space="preserve">is </w:t>
      </w:r>
      <w:r w:rsidR="00D82FD3">
        <w:rPr>
          <w:rFonts w:asciiTheme="minorHAnsi" w:hAnsiTheme="minorHAnsi" w:cstheme="minorHAnsi"/>
          <w:bCs/>
          <w:iCs/>
          <w:sz w:val="22"/>
          <w:szCs w:val="22"/>
        </w:rPr>
        <w:t xml:space="preserve">also </w:t>
      </w:r>
      <w:r w:rsidR="00F76DDC">
        <w:rPr>
          <w:rFonts w:asciiTheme="minorHAnsi" w:hAnsiTheme="minorHAnsi" w:cstheme="minorHAnsi"/>
          <w:bCs/>
          <w:iCs/>
          <w:sz w:val="22"/>
          <w:szCs w:val="22"/>
        </w:rPr>
        <w:t>aimed at giving students practical skills of searching and analyzing contextual empirical data.</w:t>
      </w:r>
    </w:p>
    <w:p w:rsidR="001D5A76" w:rsidRPr="00B61DD7" w:rsidRDefault="001D5A76" w:rsidP="004F280C">
      <w:pPr>
        <w:pStyle w:val="Heading1"/>
      </w:pPr>
      <w:r w:rsidRPr="00B61DD7">
        <w:t xml:space="preserve">Readings: </w:t>
      </w:r>
    </w:p>
    <w:p w:rsidR="008378B3" w:rsidRDefault="001B780E" w:rsidP="00C324B9">
      <w:pPr>
        <w:pStyle w:val="Default"/>
        <w:jc w:val="both"/>
        <w:rPr>
          <w:rFonts w:asciiTheme="minorHAnsi" w:hAnsiTheme="minorHAnsi"/>
          <w:bCs/>
          <w:sz w:val="22"/>
          <w:szCs w:val="22"/>
        </w:rPr>
      </w:pPr>
      <w:r>
        <w:rPr>
          <w:rFonts w:asciiTheme="minorHAnsi" w:hAnsiTheme="minorHAnsi"/>
          <w:bCs/>
          <w:sz w:val="22"/>
          <w:szCs w:val="22"/>
        </w:rPr>
        <w:t>The core readings for the course are comprised in three monographs.</w:t>
      </w:r>
      <w:r w:rsidR="00F23EAD">
        <w:rPr>
          <w:rFonts w:asciiTheme="minorHAnsi" w:hAnsiTheme="minorHAnsi"/>
          <w:bCs/>
          <w:sz w:val="22"/>
          <w:szCs w:val="22"/>
        </w:rPr>
        <w:t xml:space="preserve"> These books combined provide a comprehensive outlook on modern history of international affairs in Eurasia.</w:t>
      </w:r>
      <w:r>
        <w:rPr>
          <w:rFonts w:asciiTheme="minorHAnsi" w:hAnsiTheme="minorHAnsi"/>
          <w:bCs/>
          <w:sz w:val="22"/>
          <w:szCs w:val="22"/>
        </w:rPr>
        <w:t xml:space="preserve"> Russia’s foreign policy agenda is discussed</w:t>
      </w:r>
      <w:r w:rsidR="00F23EAD">
        <w:rPr>
          <w:rFonts w:asciiTheme="minorHAnsi" w:hAnsiTheme="minorHAnsi"/>
          <w:bCs/>
          <w:sz w:val="22"/>
          <w:szCs w:val="22"/>
        </w:rPr>
        <w:t xml:space="preserve"> in full in:</w:t>
      </w:r>
    </w:p>
    <w:p w:rsidR="008378B3" w:rsidRDefault="001B780E" w:rsidP="008378B3">
      <w:pPr>
        <w:pStyle w:val="Default"/>
        <w:numPr>
          <w:ilvl w:val="0"/>
          <w:numId w:val="3"/>
        </w:numPr>
        <w:jc w:val="both"/>
        <w:rPr>
          <w:rFonts w:asciiTheme="minorHAnsi" w:hAnsiTheme="minorHAnsi"/>
          <w:b/>
          <w:bCs/>
          <w:sz w:val="22"/>
          <w:szCs w:val="22"/>
        </w:rPr>
      </w:pPr>
      <w:r w:rsidRPr="001B780E">
        <w:rPr>
          <w:rFonts w:asciiTheme="minorHAnsi" w:hAnsiTheme="minorHAnsi"/>
          <w:b/>
          <w:bCs/>
          <w:sz w:val="22"/>
          <w:szCs w:val="22"/>
        </w:rPr>
        <w:t xml:space="preserve">Andrei P. </w:t>
      </w:r>
      <w:proofErr w:type="spellStart"/>
      <w:r w:rsidRPr="001B780E">
        <w:rPr>
          <w:rFonts w:asciiTheme="minorHAnsi" w:hAnsiTheme="minorHAnsi"/>
          <w:b/>
          <w:bCs/>
          <w:sz w:val="22"/>
          <w:szCs w:val="22"/>
        </w:rPr>
        <w:t>Tsygankov</w:t>
      </w:r>
      <w:proofErr w:type="spellEnd"/>
      <w:r w:rsidRPr="001B780E">
        <w:rPr>
          <w:rFonts w:asciiTheme="minorHAnsi" w:hAnsiTheme="minorHAnsi"/>
          <w:b/>
          <w:bCs/>
          <w:sz w:val="22"/>
          <w:szCs w:val="22"/>
        </w:rPr>
        <w:t xml:space="preserve"> (2013)</w:t>
      </w:r>
      <w:r w:rsidR="006913A5">
        <w:rPr>
          <w:rFonts w:asciiTheme="minorHAnsi" w:hAnsiTheme="minorHAnsi"/>
          <w:b/>
          <w:bCs/>
          <w:sz w:val="22"/>
          <w:szCs w:val="22"/>
        </w:rPr>
        <w:t>.</w:t>
      </w:r>
      <w:r w:rsidRPr="001B780E">
        <w:rPr>
          <w:rFonts w:asciiTheme="minorHAnsi" w:hAnsiTheme="minorHAnsi"/>
          <w:b/>
          <w:bCs/>
          <w:sz w:val="22"/>
          <w:szCs w:val="22"/>
        </w:rPr>
        <w:t xml:space="preserve"> </w:t>
      </w:r>
      <w:r w:rsidRPr="001B780E">
        <w:rPr>
          <w:rFonts w:asciiTheme="minorHAnsi" w:hAnsiTheme="minorHAnsi"/>
          <w:b/>
          <w:bCs/>
          <w:i/>
          <w:sz w:val="22"/>
          <w:szCs w:val="22"/>
        </w:rPr>
        <w:t>Russia's Foreign Policy: Change and Continuity in National Identity</w:t>
      </w:r>
      <w:r>
        <w:rPr>
          <w:rFonts w:asciiTheme="minorHAnsi" w:hAnsiTheme="minorHAnsi"/>
          <w:b/>
          <w:bCs/>
          <w:i/>
          <w:sz w:val="22"/>
          <w:szCs w:val="22"/>
        </w:rPr>
        <w:t>.</w:t>
      </w:r>
      <w:r>
        <w:rPr>
          <w:rFonts w:asciiTheme="minorHAnsi" w:hAnsiTheme="minorHAnsi"/>
          <w:b/>
          <w:bCs/>
          <w:sz w:val="22"/>
          <w:szCs w:val="22"/>
        </w:rPr>
        <w:t xml:space="preserve"> 3</w:t>
      </w:r>
      <w:r w:rsidRPr="001B780E">
        <w:rPr>
          <w:rFonts w:asciiTheme="minorHAnsi" w:hAnsiTheme="minorHAnsi"/>
          <w:b/>
          <w:bCs/>
          <w:sz w:val="22"/>
          <w:szCs w:val="22"/>
          <w:vertAlign w:val="superscript"/>
        </w:rPr>
        <w:t>rd</w:t>
      </w:r>
      <w:r>
        <w:rPr>
          <w:rFonts w:asciiTheme="minorHAnsi" w:hAnsiTheme="minorHAnsi"/>
          <w:b/>
          <w:bCs/>
          <w:sz w:val="22"/>
          <w:szCs w:val="22"/>
        </w:rPr>
        <w:t xml:space="preserve"> edition. </w:t>
      </w:r>
      <w:r w:rsidR="00C324B9">
        <w:rPr>
          <w:rFonts w:asciiTheme="minorHAnsi" w:hAnsiTheme="minorHAnsi"/>
          <w:b/>
          <w:bCs/>
          <w:sz w:val="22"/>
          <w:szCs w:val="22"/>
        </w:rPr>
        <w:t xml:space="preserve"> NY:</w:t>
      </w:r>
      <w:r>
        <w:rPr>
          <w:rFonts w:asciiTheme="minorHAnsi" w:hAnsiTheme="minorHAnsi"/>
          <w:b/>
          <w:bCs/>
          <w:sz w:val="22"/>
          <w:szCs w:val="22"/>
        </w:rPr>
        <w:t xml:space="preserve"> </w:t>
      </w:r>
      <w:proofErr w:type="spellStart"/>
      <w:r>
        <w:rPr>
          <w:rFonts w:asciiTheme="minorHAnsi" w:hAnsiTheme="minorHAnsi"/>
          <w:b/>
          <w:bCs/>
          <w:sz w:val="22"/>
          <w:szCs w:val="22"/>
        </w:rPr>
        <w:t>Rowman</w:t>
      </w:r>
      <w:proofErr w:type="spellEnd"/>
      <w:r>
        <w:rPr>
          <w:rFonts w:asciiTheme="minorHAnsi" w:hAnsiTheme="minorHAnsi"/>
          <w:b/>
          <w:bCs/>
          <w:sz w:val="22"/>
          <w:szCs w:val="22"/>
        </w:rPr>
        <w:t xml:space="preserve"> &amp; Littlefield Publis</w:t>
      </w:r>
      <w:r w:rsidRPr="001B780E">
        <w:rPr>
          <w:rFonts w:asciiTheme="minorHAnsi" w:hAnsiTheme="minorHAnsi"/>
          <w:b/>
          <w:bCs/>
          <w:sz w:val="22"/>
          <w:szCs w:val="22"/>
        </w:rPr>
        <w:t xml:space="preserve">hers, </w:t>
      </w:r>
      <w:r w:rsidR="00C324B9">
        <w:rPr>
          <w:rFonts w:asciiTheme="minorHAnsi" w:hAnsiTheme="minorHAnsi"/>
          <w:b/>
          <w:bCs/>
          <w:sz w:val="22"/>
          <w:szCs w:val="22"/>
        </w:rPr>
        <w:t>Inc</w:t>
      </w:r>
      <w:r w:rsidRPr="001B780E">
        <w:rPr>
          <w:rFonts w:asciiTheme="minorHAnsi" w:hAnsiTheme="minorHAnsi"/>
          <w:b/>
          <w:bCs/>
          <w:sz w:val="22"/>
          <w:szCs w:val="22"/>
        </w:rPr>
        <w:t>.</w:t>
      </w:r>
      <w:r w:rsidR="00C324B9">
        <w:rPr>
          <w:rFonts w:asciiTheme="minorHAnsi" w:hAnsiTheme="minorHAnsi"/>
          <w:b/>
          <w:bCs/>
          <w:sz w:val="22"/>
          <w:szCs w:val="22"/>
        </w:rPr>
        <w:t xml:space="preserve"> </w:t>
      </w:r>
    </w:p>
    <w:p w:rsidR="006913A5" w:rsidRDefault="006913A5" w:rsidP="008378B3">
      <w:pPr>
        <w:pStyle w:val="Default"/>
        <w:numPr>
          <w:ilvl w:val="0"/>
          <w:numId w:val="3"/>
        </w:numPr>
        <w:jc w:val="both"/>
        <w:rPr>
          <w:rFonts w:asciiTheme="minorHAnsi" w:hAnsiTheme="minorHAnsi"/>
          <w:b/>
          <w:bCs/>
          <w:sz w:val="22"/>
          <w:szCs w:val="22"/>
        </w:rPr>
      </w:pPr>
      <w:proofErr w:type="spellStart"/>
      <w:r>
        <w:rPr>
          <w:rFonts w:asciiTheme="minorHAnsi" w:hAnsiTheme="minorHAnsi"/>
          <w:b/>
          <w:bCs/>
          <w:sz w:val="22"/>
          <w:szCs w:val="22"/>
        </w:rPr>
        <w:t>Kanet</w:t>
      </w:r>
      <w:proofErr w:type="spellEnd"/>
      <w:r>
        <w:rPr>
          <w:rFonts w:asciiTheme="minorHAnsi" w:hAnsiTheme="minorHAnsi"/>
          <w:b/>
          <w:bCs/>
          <w:sz w:val="22"/>
          <w:szCs w:val="22"/>
        </w:rPr>
        <w:t xml:space="preserve">, Roger E., ed. (2011). </w:t>
      </w:r>
      <w:r>
        <w:rPr>
          <w:rFonts w:asciiTheme="minorHAnsi" w:hAnsiTheme="minorHAnsi"/>
          <w:b/>
          <w:bCs/>
          <w:i/>
          <w:sz w:val="22"/>
          <w:szCs w:val="22"/>
        </w:rPr>
        <w:t>Russian Foreign Policy in the 21</w:t>
      </w:r>
      <w:r w:rsidRPr="006913A5">
        <w:rPr>
          <w:rFonts w:asciiTheme="minorHAnsi" w:hAnsiTheme="minorHAnsi"/>
          <w:b/>
          <w:bCs/>
          <w:i/>
          <w:sz w:val="22"/>
          <w:szCs w:val="22"/>
          <w:vertAlign w:val="superscript"/>
        </w:rPr>
        <w:t>st</w:t>
      </w:r>
      <w:r>
        <w:rPr>
          <w:rFonts w:asciiTheme="minorHAnsi" w:hAnsiTheme="minorHAnsi"/>
          <w:b/>
          <w:bCs/>
          <w:i/>
          <w:sz w:val="22"/>
          <w:szCs w:val="22"/>
        </w:rPr>
        <w:t xml:space="preserve"> Century.</w:t>
      </w:r>
      <w:r>
        <w:rPr>
          <w:rFonts w:asciiTheme="minorHAnsi" w:hAnsiTheme="minorHAnsi"/>
          <w:b/>
          <w:bCs/>
          <w:sz w:val="22"/>
          <w:szCs w:val="22"/>
        </w:rPr>
        <w:t xml:space="preserve"> NY: Palgrave Macmillan</w:t>
      </w:r>
    </w:p>
    <w:p w:rsidR="006913A5" w:rsidRDefault="006913A5" w:rsidP="006913A5">
      <w:pPr>
        <w:pStyle w:val="Default"/>
        <w:jc w:val="both"/>
        <w:rPr>
          <w:rFonts w:asciiTheme="minorHAnsi" w:hAnsiTheme="minorHAnsi"/>
          <w:b/>
          <w:bCs/>
          <w:sz w:val="22"/>
          <w:szCs w:val="22"/>
        </w:rPr>
      </w:pPr>
      <w:r>
        <w:rPr>
          <w:rFonts w:asciiTheme="minorHAnsi" w:hAnsiTheme="minorHAnsi"/>
          <w:bCs/>
          <w:sz w:val="22"/>
          <w:szCs w:val="22"/>
        </w:rPr>
        <w:t>Both monographs are available for purchase at the Carleton University bookstore.</w:t>
      </w:r>
    </w:p>
    <w:p w:rsidR="008378B3" w:rsidRDefault="008378B3" w:rsidP="00C324B9">
      <w:pPr>
        <w:pStyle w:val="Default"/>
        <w:jc w:val="both"/>
        <w:rPr>
          <w:rFonts w:asciiTheme="minorHAnsi" w:hAnsiTheme="minorHAnsi"/>
          <w:bCs/>
          <w:sz w:val="22"/>
          <w:szCs w:val="22"/>
        </w:rPr>
      </w:pPr>
      <w:r w:rsidRPr="008378B3">
        <w:rPr>
          <w:rFonts w:asciiTheme="minorHAnsi" w:hAnsiTheme="minorHAnsi"/>
          <w:bCs/>
          <w:sz w:val="22"/>
          <w:szCs w:val="22"/>
        </w:rPr>
        <w:t>The</w:t>
      </w:r>
      <w:r>
        <w:rPr>
          <w:rFonts w:asciiTheme="minorHAnsi" w:hAnsiTheme="minorHAnsi"/>
          <w:b/>
          <w:bCs/>
          <w:sz w:val="22"/>
          <w:szCs w:val="22"/>
        </w:rPr>
        <w:t xml:space="preserve"> </w:t>
      </w:r>
      <w:r>
        <w:rPr>
          <w:rFonts w:asciiTheme="minorHAnsi" w:hAnsiTheme="minorHAnsi"/>
          <w:bCs/>
          <w:sz w:val="22"/>
          <w:szCs w:val="22"/>
        </w:rPr>
        <w:t>role</w:t>
      </w:r>
      <w:r w:rsidR="006913A5">
        <w:rPr>
          <w:rFonts w:asciiTheme="minorHAnsi" w:hAnsiTheme="minorHAnsi"/>
          <w:bCs/>
          <w:sz w:val="22"/>
          <w:szCs w:val="22"/>
        </w:rPr>
        <w:t>s</w:t>
      </w:r>
      <w:r>
        <w:rPr>
          <w:rFonts w:asciiTheme="minorHAnsi" w:hAnsiTheme="minorHAnsi"/>
          <w:bCs/>
          <w:sz w:val="22"/>
          <w:szCs w:val="22"/>
        </w:rPr>
        <w:t xml:space="preserve"> of the United States and China are discussed in </w:t>
      </w:r>
      <w:r w:rsidR="00C324B9">
        <w:rPr>
          <w:rFonts w:asciiTheme="minorHAnsi" w:hAnsiTheme="minorHAnsi"/>
          <w:bCs/>
          <w:sz w:val="22"/>
          <w:szCs w:val="22"/>
        </w:rPr>
        <w:t xml:space="preserve">the monograph </w:t>
      </w:r>
      <w:r>
        <w:rPr>
          <w:rFonts w:asciiTheme="minorHAnsi" w:hAnsiTheme="minorHAnsi"/>
          <w:bCs/>
          <w:sz w:val="22"/>
          <w:szCs w:val="22"/>
        </w:rPr>
        <w:t>of</w:t>
      </w:r>
      <w:r w:rsidR="00F23EAD">
        <w:rPr>
          <w:rFonts w:asciiTheme="minorHAnsi" w:hAnsiTheme="minorHAnsi"/>
          <w:bCs/>
          <w:sz w:val="22"/>
          <w:szCs w:val="22"/>
        </w:rPr>
        <w:t>:</w:t>
      </w:r>
    </w:p>
    <w:p w:rsidR="008378B3" w:rsidRDefault="00C324B9" w:rsidP="008378B3">
      <w:pPr>
        <w:pStyle w:val="Default"/>
        <w:numPr>
          <w:ilvl w:val="0"/>
          <w:numId w:val="3"/>
        </w:numPr>
        <w:jc w:val="both"/>
        <w:rPr>
          <w:rFonts w:asciiTheme="minorHAnsi" w:hAnsiTheme="minorHAnsi"/>
          <w:bCs/>
          <w:sz w:val="22"/>
          <w:szCs w:val="22"/>
        </w:rPr>
      </w:pPr>
      <w:r w:rsidRPr="008378B3">
        <w:rPr>
          <w:rFonts w:asciiTheme="minorHAnsi" w:hAnsiTheme="minorHAnsi"/>
          <w:b/>
          <w:bCs/>
          <w:sz w:val="22"/>
          <w:szCs w:val="22"/>
        </w:rPr>
        <w:t>Martin A. Smith (2012)</w:t>
      </w:r>
      <w:r w:rsidR="006913A5">
        <w:rPr>
          <w:rFonts w:asciiTheme="minorHAnsi" w:hAnsiTheme="minorHAnsi"/>
          <w:b/>
          <w:bCs/>
          <w:sz w:val="22"/>
          <w:szCs w:val="22"/>
        </w:rPr>
        <w:t>.</w:t>
      </w:r>
      <w:r w:rsidRPr="008378B3">
        <w:rPr>
          <w:rFonts w:asciiTheme="minorHAnsi" w:hAnsiTheme="minorHAnsi"/>
          <w:b/>
          <w:bCs/>
          <w:sz w:val="22"/>
          <w:szCs w:val="22"/>
        </w:rPr>
        <w:t xml:space="preserve"> </w:t>
      </w:r>
      <w:r w:rsidRPr="008378B3">
        <w:rPr>
          <w:rFonts w:asciiTheme="minorHAnsi" w:hAnsiTheme="minorHAnsi"/>
          <w:b/>
          <w:bCs/>
          <w:i/>
          <w:sz w:val="22"/>
          <w:szCs w:val="22"/>
        </w:rPr>
        <w:t>Power in the Changing Global Order</w:t>
      </w:r>
      <w:r w:rsidRPr="008378B3">
        <w:rPr>
          <w:rFonts w:asciiTheme="minorHAnsi" w:hAnsiTheme="minorHAnsi"/>
          <w:b/>
          <w:bCs/>
          <w:sz w:val="22"/>
          <w:szCs w:val="22"/>
        </w:rPr>
        <w:t>. Cambridge, UK: Polity Press.</w:t>
      </w:r>
      <w:r w:rsidR="008378B3">
        <w:rPr>
          <w:rFonts w:asciiTheme="minorHAnsi" w:hAnsiTheme="minorHAnsi"/>
          <w:bCs/>
          <w:sz w:val="22"/>
          <w:szCs w:val="22"/>
        </w:rPr>
        <w:t xml:space="preserve"> </w:t>
      </w:r>
    </w:p>
    <w:p w:rsidR="00D82FD3" w:rsidRDefault="00D82FD3" w:rsidP="00C324B9">
      <w:pPr>
        <w:pStyle w:val="Default"/>
        <w:jc w:val="both"/>
        <w:rPr>
          <w:rFonts w:asciiTheme="minorHAnsi" w:hAnsiTheme="minorHAnsi"/>
          <w:bCs/>
          <w:sz w:val="22"/>
          <w:szCs w:val="22"/>
        </w:rPr>
      </w:pPr>
      <w:r>
        <w:rPr>
          <w:rFonts w:asciiTheme="minorHAnsi" w:hAnsiTheme="minorHAnsi"/>
          <w:bCs/>
          <w:sz w:val="22"/>
          <w:szCs w:val="22"/>
        </w:rPr>
        <w:t xml:space="preserve">The book is placed on a reserve at </w:t>
      </w:r>
      <w:proofErr w:type="spellStart"/>
      <w:r>
        <w:rPr>
          <w:rFonts w:asciiTheme="minorHAnsi" w:hAnsiTheme="minorHAnsi"/>
          <w:bCs/>
          <w:sz w:val="22"/>
          <w:szCs w:val="22"/>
        </w:rPr>
        <w:t>MacOdrum</w:t>
      </w:r>
      <w:proofErr w:type="spellEnd"/>
      <w:r>
        <w:rPr>
          <w:rFonts w:asciiTheme="minorHAnsi" w:hAnsiTheme="minorHAnsi"/>
          <w:bCs/>
          <w:sz w:val="22"/>
          <w:szCs w:val="22"/>
        </w:rPr>
        <w:t xml:space="preserve"> Library. In addition, mandatory chapters are posted on CU Learn via ARES.</w:t>
      </w:r>
    </w:p>
    <w:p w:rsidR="008378B3" w:rsidRDefault="008378B3" w:rsidP="00C324B9">
      <w:pPr>
        <w:pStyle w:val="Default"/>
        <w:jc w:val="both"/>
        <w:rPr>
          <w:rFonts w:asciiTheme="minorHAnsi" w:hAnsiTheme="minorHAnsi"/>
          <w:bCs/>
          <w:sz w:val="22"/>
          <w:szCs w:val="22"/>
        </w:rPr>
      </w:pPr>
      <w:r>
        <w:rPr>
          <w:rFonts w:asciiTheme="minorHAnsi" w:hAnsiTheme="minorHAnsi"/>
          <w:bCs/>
          <w:sz w:val="22"/>
          <w:szCs w:val="22"/>
        </w:rPr>
        <w:t>The NATO factor in Eurasian politics is d</w:t>
      </w:r>
      <w:r w:rsidR="00F23EAD">
        <w:rPr>
          <w:rFonts w:asciiTheme="minorHAnsi" w:hAnsiTheme="minorHAnsi"/>
          <w:bCs/>
          <w:sz w:val="22"/>
          <w:szCs w:val="22"/>
        </w:rPr>
        <w:t>escribed in:</w:t>
      </w:r>
    </w:p>
    <w:p w:rsidR="008378B3" w:rsidRDefault="008378B3" w:rsidP="008378B3">
      <w:pPr>
        <w:pStyle w:val="Default"/>
        <w:numPr>
          <w:ilvl w:val="0"/>
          <w:numId w:val="3"/>
        </w:numPr>
        <w:jc w:val="both"/>
        <w:rPr>
          <w:rFonts w:asciiTheme="minorHAnsi" w:hAnsiTheme="minorHAnsi"/>
          <w:bCs/>
          <w:sz w:val="22"/>
          <w:szCs w:val="22"/>
        </w:rPr>
      </w:pPr>
      <w:r w:rsidRPr="008378B3">
        <w:rPr>
          <w:rFonts w:asciiTheme="minorHAnsi" w:hAnsiTheme="minorHAnsi"/>
          <w:b/>
          <w:bCs/>
          <w:sz w:val="22"/>
          <w:szCs w:val="22"/>
        </w:rPr>
        <w:t xml:space="preserve">Martin A. Smith (2006). </w:t>
      </w:r>
      <w:r w:rsidRPr="008378B3">
        <w:rPr>
          <w:rFonts w:asciiTheme="minorHAnsi" w:hAnsiTheme="minorHAnsi"/>
          <w:b/>
          <w:bCs/>
          <w:i/>
          <w:sz w:val="22"/>
          <w:szCs w:val="22"/>
        </w:rPr>
        <w:t>Russia and NATO since 1991: From Cold War through cold peace to partnership.</w:t>
      </w:r>
      <w:r w:rsidRPr="008378B3">
        <w:rPr>
          <w:rFonts w:asciiTheme="minorHAnsi" w:hAnsiTheme="minorHAnsi"/>
          <w:b/>
          <w:bCs/>
          <w:sz w:val="22"/>
          <w:szCs w:val="22"/>
        </w:rPr>
        <w:t xml:space="preserve"> NY: </w:t>
      </w:r>
      <w:proofErr w:type="spellStart"/>
      <w:r w:rsidRPr="008378B3">
        <w:rPr>
          <w:rFonts w:asciiTheme="minorHAnsi" w:hAnsiTheme="minorHAnsi"/>
          <w:b/>
          <w:bCs/>
          <w:sz w:val="22"/>
          <w:szCs w:val="22"/>
        </w:rPr>
        <w:t>Routlege</w:t>
      </w:r>
      <w:proofErr w:type="spellEnd"/>
      <w:r w:rsidRPr="008378B3">
        <w:rPr>
          <w:rFonts w:asciiTheme="minorHAnsi" w:hAnsiTheme="minorHAnsi"/>
          <w:b/>
          <w:bCs/>
          <w:sz w:val="22"/>
          <w:szCs w:val="22"/>
        </w:rPr>
        <w:t>.</w:t>
      </w:r>
      <w:r>
        <w:rPr>
          <w:rFonts w:asciiTheme="minorHAnsi" w:hAnsiTheme="minorHAnsi"/>
          <w:bCs/>
          <w:sz w:val="22"/>
          <w:szCs w:val="22"/>
        </w:rPr>
        <w:t xml:space="preserve"> </w:t>
      </w:r>
    </w:p>
    <w:p w:rsidR="00C324B9" w:rsidRPr="008378B3" w:rsidRDefault="008378B3" w:rsidP="00C324B9">
      <w:pPr>
        <w:pStyle w:val="Default"/>
        <w:jc w:val="both"/>
        <w:rPr>
          <w:rFonts w:asciiTheme="minorHAnsi" w:hAnsiTheme="minorHAnsi"/>
          <w:bCs/>
          <w:sz w:val="22"/>
          <w:szCs w:val="22"/>
        </w:rPr>
      </w:pPr>
      <w:r>
        <w:rPr>
          <w:rFonts w:asciiTheme="minorHAnsi" w:hAnsiTheme="minorHAnsi"/>
          <w:bCs/>
          <w:sz w:val="22"/>
          <w:szCs w:val="22"/>
        </w:rPr>
        <w:t xml:space="preserve">This monograph is available on-line through Carleton University’s </w:t>
      </w:r>
      <w:proofErr w:type="spellStart"/>
      <w:r>
        <w:rPr>
          <w:rFonts w:asciiTheme="minorHAnsi" w:hAnsiTheme="minorHAnsi"/>
          <w:bCs/>
          <w:sz w:val="22"/>
          <w:szCs w:val="22"/>
        </w:rPr>
        <w:t>MacOdrum</w:t>
      </w:r>
      <w:proofErr w:type="spellEnd"/>
      <w:r>
        <w:rPr>
          <w:rFonts w:asciiTheme="minorHAnsi" w:hAnsiTheme="minorHAnsi"/>
          <w:bCs/>
          <w:sz w:val="22"/>
          <w:szCs w:val="22"/>
        </w:rPr>
        <w:t xml:space="preserve"> Library.</w:t>
      </w:r>
      <w:r w:rsidR="00D82FD3">
        <w:rPr>
          <w:rFonts w:asciiTheme="minorHAnsi" w:hAnsiTheme="minorHAnsi"/>
          <w:bCs/>
          <w:sz w:val="22"/>
          <w:szCs w:val="22"/>
        </w:rPr>
        <w:t xml:space="preserve"> It is also put on reserve at the Library.</w:t>
      </w:r>
      <w:r>
        <w:rPr>
          <w:rFonts w:asciiTheme="minorHAnsi" w:hAnsiTheme="minorHAnsi"/>
          <w:bCs/>
          <w:sz w:val="22"/>
          <w:szCs w:val="22"/>
        </w:rPr>
        <w:t xml:space="preserve"> In addition to these sources, the course utilizes a plethora of articles, published in various academic journals and news media. They are available for downloading through the course’s page in CU Learn. All readings for each class are divided on mandatory and supplementary. Students are expected to come to classes having their mandatory readings </w:t>
      </w:r>
      <w:r w:rsidR="00D82FD3">
        <w:rPr>
          <w:rFonts w:asciiTheme="minorHAnsi" w:hAnsiTheme="minorHAnsi"/>
          <w:bCs/>
          <w:sz w:val="22"/>
          <w:szCs w:val="22"/>
        </w:rPr>
        <w:t>done</w:t>
      </w:r>
      <w:r>
        <w:rPr>
          <w:rFonts w:asciiTheme="minorHAnsi" w:hAnsiTheme="minorHAnsi"/>
          <w:bCs/>
          <w:sz w:val="22"/>
          <w:szCs w:val="22"/>
        </w:rPr>
        <w:t xml:space="preserve"> for the discussions. The purpose of supplementary readings is to assist students in preparing their in-class presentations and </w:t>
      </w:r>
      <w:r w:rsidR="009206A3">
        <w:rPr>
          <w:rFonts w:asciiTheme="minorHAnsi" w:hAnsiTheme="minorHAnsi"/>
          <w:bCs/>
          <w:sz w:val="22"/>
          <w:szCs w:val="22"/>
        </w:rPr>
        <w:t xml:space="preserve">a </w:t>
      </w:r>
      <w:r>
        <w:rPr>
          <w:rFonts w:asciiTheme="minorHAnsi" w:hAnsiTheme="minorHAnsi"/>
          <w:bCs/>
          <w:sz w:val="22"/>
          <w:szCs w:val="22"/>
        </w:rPr>
        <w:t>term-paper</w:t>
      </w:r>
      <w:r w:rsidR="00F23EAD">
        <w:rPr>
          <w:rFonts w:asciiTheme="minorHAnsi" w:hAnsiTheme="minorHAnsi"/>
          <w:bCs/>
          <w:sz w:val="22"/>
          <w:szCs w:val="22"/>
        </w:rPr>
        <w:t xml:space="preserve"> as well as to provide alternative critical perspectives on the debated issues</w:t>
      </w:r>
      <w:r>
        <w:rPr>
          <w:rFonts w:asciiTheme="minorHAnsi" w:hAnsiTheme="minorHAnsi"/>
          <w:bCs/>
          <w:sz w:val="22"/>
          <w:szCs w:val="22"/>
        </w:rPr>
        <w:t>.</w:t>
      </w:r>
    </w:p>
    <w:p w:rsidR="001D5A76" w:rsidRPr="00E576C2" w:rsidRDefault="001D5A76" w:rsidP="004F280C">
      <w:pPr>
        <w:pStyle w:val="Heading1"/>
      </w:pPr>
      <w:r w:rsidRPr="00E576C2">
        <w:t xml:space="preserve">Course Requirements: </w:t>
      </w:r>
    </w:p>
    <w:p w:rsidR="001D5A76" w:rsidRPr="00D82FD3" w:rsidRDefault="001D5A76" w:rsidP="001D5A76">
      <w:pPr>
        <w:pStyle w:val="Default"/>
        <w:jc w:val="both"/>
        <w:rPr>
          <w:rFonts w:asciiTheme="minorHAnsi" w:hAnsiTheme="minorHAnsi" w:cstheme="minorHAnsi"/>
          <w:b/>
          <w:i/>
          <w:sz w:val="23"/>
          <w:szCs w:val="23"/>
        </w:rPr>
      </w:pPr>
      <w:r w:rsidRPr="00B61DD7">
        <w:rPr>
          <w:rFonts w:asciiTheme="minorHAnsi" w:hAnsiTheme="minorHAnsi" w:cstheme="minorHAnsi"/>
          <w:sz w:val="23"/>
          <w:szCs w:val="23"/>
        </w:rPr>
        <w:t xml:space="preserve">Each of the following will comprise a portion of the final grade, as indicated in percentages. </w:t>
      </w:r>
    </w:p>
    <w:p w:rsidR="00D82FD3" w:rsidRPr="00D82FD3" w:rsidRDefault="00D82FD3" w:rsidP="001D5A76">
      <w:pPr>
        <w:pStyle w:val="Default"/>
        <w:jc w:val="both"/>
        <w:rPr>
          <w:rFonts w:asciiTheme="minorHAnsi" w:hAnsiTheme="minorHAnsi" w:cstheme="minorHAnsi"/>
          <w:b/>
          <w:i/>
          <w:sz w:val="23"/>
          <w:szCs w:val="23"/>
        </w:rPr>
      </w:pPr>
      <w:r w:rsidRPr="00D82FD3">
        <w:rPr>
          <w:rFonts w:asciiTheme="minorHAnsi" w:hAnsiTheme="minorHAnsi" w:cstheme="minorHAnsi"/>
          <w:b/>
          <w:i/>
          <w:sz w:val="23"/>
          <w:szCs w:val="23"/>
        </w:rPr>
        <w:t>Out of 100%</w:t>
      </w:r>
    </w:p>
    <w:p w:rsidR="00A571A5" w:rsidRDefault="00A571A5" w:rsidP="00A571A5">
      <w:pPr>
        <w:pStyle w:val="Default"/>
        <w:numPr>
          <w:ilvl w:val="0"/>
          <w:numId w:val="3"/>
        </w:numPr>
        <w:jc w:val="both"/>
        <w:rPr>
          <w:rFonts w:asciiTheme="minorHAnsi" w:hAnsiTheme="minorHAnsi" w:cstheme="minorHAnsi"/>
          <w:sz w:val="23"/>
          <w:szCs w:val="23"/>
        </w:rPr>
      </w:pPr>
      <w:r>
        <w:rPr>
          <w:rFonts w:asciiTheme="minorHAnsi" w:hAnsiTheme="minorHAnsi" w:cstheme="minorHAnsi"/>
          <w:sz w:val="23"/>
          <w:szCs w:val="23"/>
        </w:rPr>
        <w:t>Class attendance and participation</w:t>
      </w:r>
      <w:r w:rsidR="00C112BF">
        <w:rPr>
          <w:rFonts w:asciiTheme="minorHAnsi" w:hAnsiTheme="minorHAnsi" w:cstheme="minorHAnsi"/>
          <w:sz w:val="23"/>
          <w:szCs w:val="23"/>
        </w:rPr>
        <w:t xml:space="preserve"> </w:t>
      </w:r>
      <w:r w:rsidR="00FB15E3">
        <w:rPr>
          <w:rFonts w:asciiTheme="minorHAnsi" w:hAnsiTheme="minorHAnsi" w:cstheme="minorHAnsi"/>
          <w:sz w:val="23"/>
          <w:szCs w:val="23"/>
        </w:rPr>
        <w:t xml:space="preserve">in in-class discussions </w:t>
      </w:r>
      <w:r w:rsidR="00C112BF">
        <w:rPr>
          <w:rFonts w:asciiTheme="minorHAnsi" w:hAnsiTheme="minorHAnsi" w:cstheme="minorHAnsi"/>
          <w:sz w:val="23"/>
          <w:szCs w:val="23"/>
        </w:rPr>
        <w:t>– 25%</w:t>
      </w:r>
    </w:p>
    <w:p w:rsidR="00A571A5" w:rsidRDefault="00A571A5" w:rsidP="00A571A5">
      <w:pPr>
        <w:pStyle w:val="Default"/>
        <w:numPr>
          <w:ilvl w:val="0"/>
          <w:numId w:val="3"/>
        </w:numPr>
        <w:jc w:val="both"/>
        <w:rPr>
          <w:rFonts w:asciiTheme="minorHAnsi" w:hAnsiTheme="minorHAnsi" w:cstheme="minorHAnsi"/>
          <w:sz w:val="23"/>
          <w:szCs w:val="23"/>
        </w:rPr>
      </w:pPr>
      <w:r>
        <w:rPr>
          <w:rFonts w:asciiTheme="minorHAnsi" w:hAnsiTheme="minorHAnsi" w:cstheme="minorHAnsi"/>
          <w:sz w:val="23"/>
          <w:szCs w:val="23"/>
        </w:rPr>
        <w:t>4 short papers</w:t>
      </w:r>
      <w:r w:rsidR="0017307E">
        <w:rPr>
          <w:rFonts w:asciiTheme="minorHAnsi" w:hAnsiTheme="minorHAnsi" w:cstheme="minorHAnsi"/>
          <w:sz w:val="23"/>
          <w:szCs w:val="23"/>
        </w:rPr>
        <w:t xml:space="preserve"> – 40% (10% each)</w:t>
      </w:r>
    </w:p>
    <w:p w:rsidR="00C112BF" w:rsidRDefault="00C112BF" w:rsidP="00A571A5">
      <w:pPr>
        <w:pStyle w:val="Default"/>
        <w:numPr>
          <w:ilvl w:val="1"/>
          <w:numId w:val="3"/>
        </w:numPr>
        <w:jc w:val="both"/>
        <w:rPr>
          <w:rFonts w:asciiTheme="minorHAnsi" w:hAnsiTheme="minorHAnsi" w:cstheme="minorHAnsi"/>
          <w:sz w:val="23"/>
          <w:szCs w:val="23"/>
        </w:rPr>
      </w:pPr>
      <w:r>
        <w:rPr>
          <w:rFonts w:asciiTheme="minorHAnsi" w:hAnsiTheme="minorHAnsi" w:cstheme="minorHAnsi"/>
          <w:sz w:val="23"/>
          <w:szCs w:val="23"/>
        </w:rPr>
        <w:t>1</w:t>
      </w:r>
      <w:r w:rsidRPr="00C112BF">
        <w:rPr>
          <w:rFonts w:asciiTheme="minorHAnsi" w:hAnsiTheme="minorHAnsi" w:cstheme="minorHAnsi"/>
          <w:sz w:val="23"/>
          <w:szCs w:val="23"/>
          <w:vertAlign w:val="superscript"/>
        </w:rPr>
        <w:t>st</w:t>
      </w:r>
      <w:r>
        <w:rPr>
          <w:rFonts w:asciiTheme="minorHAnsi" w:hAnsiTheme="minorHAnsi" w:cstheme="minorHAnsi"/>
          <w:sz w:val="23"/>
          <w:szCs w:val="23"/>
        </w:rPr>
        <w:t xml:space="preserve"> policy brief (</w:t>
      </w:r>
      <w:r w:rsidR="004E02E5">
        <w:rPr>
          <w:rFonts w:asciiTheme="minorHAnsi" w:hAnsiTheme="minorHAnsi" w:cstheme="minorHAnsi"/>
          <w:sz w:val="23"/>
          <w:szCs w:val="23"/>
        </w:rPr>
        <w:t xml:space="preserve">due on </w:t>
      </w:r>
      <w:r>
        <w:rPr>
          <w:rFonts w:asciiTheme="minorHAnsi" w:hAnsiTheme="minorHAnsi" w:cstheme="minorHAnsi"/>
          <w:sz w:val="23"/>
          <w:szCs w:val="23"/>
        </w:rPr>
        <w:t xml:space="preserve">Session </w:t>
      </w:r>
      <w:r w:rsidR="004E02E5">
        <w:rPr>
          <w:rFonts w:asciiTheme="minorHAnsi" w:hAnsiTheme="minorHAnsi" w:cstheme="minorHAnsi"/>
          <w:sz w:val="23"/>
          <w:szCs w:val="23"/>
        </w:rPr>
        <w:t>6</w:t>
      </w:r>
      <w:r>
        <w:rPr>
          <w:rFonts w:asciiTheme="minorHAnsi" w:hAnsiTheme="minorHAnsi" w:cstheme="minorHAnsi"/>
          <w:sz w:val="23"/>
          <w:szCs w:val="23"/>
        </w:rPr>
        <w:t>)</w:t>
      </w:r>
    </w:p>
    <w:p w:rsidR="00766C1F" w:rsidRDefault="00766C1F" w:rsidP="00A571A5">
      <w:pPr>
        <w:pStyle w:val="Default"/>
        <w:numPr>
          <w:ilvl w:val="1"/>
          <w:numId w:val="3"/>
        </w:numPr>
        <w:jc w:val="both"/>
        <w:rPr>
          <w:rFonts w:asciiTheme="minorHAnsi" w:hAnsiTheme="minorHAnsi" w:cstheme="minorHAnsi"/>
          <w:sz w:val="23"/>
          <w:szCs w:val="23"/>
        </w:rPr>
      </w:pPr>
      <w:r>
        <w:rPr>
          <w:rFonts w:asciiTheme="minorHAnsi" w:hAnsiTheme="minorHAnsi" w:cstheme="minorHAnsi"/>
          <w:sz w:val="23"/>
          <w:szCs w:val="23"/>
        </w:rPr>
        <w:t>2</w:t>
      </w:r>
      <w:r w:rsidRPr="00C112BF">
        <w:rPr>
          <w:rFonts w:asciiTheme="minorHAnsi" w:hAnsiTheme="minorHAnsi" w:cstheme="minorHAnsi"/>
          <w:sz w:val="23"/>
          <w:szCs w:val="23"/>
          <w:vertAlign w:val="superscript"/>
        </w:rPr>
        <w:t>nd</w:t>
      </w:r>
      <w:r>
        <w:rPr>
          <w:rFonts w:asciiTheme="minorHAnsi" w:hAnsiTheme="minorHAnsi" w:cstheme="minorHAnsi"/>
          <w:sz w:val="23"/>
          <w:szCs w:val="23"/>
        </w:rPr>
        <w:t xml:space="preserve"> policy brief (</w:t>
      </w:r>
      <w:r w:rsidR="004E02E5">
        <w:rPr>
          <w:rFonts w:asciiTheme="minorHAnsi" w:hAnsiTheme="minorHAnsi" w:cstheme="minorHAnsi"/>
          <w:sz w:val="23"/>
          <w:szCs w:val="23"/>
        </w:rPr>
        <w:t xml:space="preserve">due on </w:t>
      </w:r>
      <w:r>
        <w:rPr>
          <w:rFonts w:asciiTheme="minorHAnsi" w:hAnsiTheme="minorHAnsi" w:cstheme="minorHAnsi"/>
          <w:sz w:val="23"/>
          <w:szCs w:val="23"/>
        </w:rPr>
        <w:t xml:space="preserve">Session </w:t>
      </w:r>
      <w:r w:rsidR="004E02E5">
        <w:rPr>
          <w:rFonts w:asciiTheme="minorHAnsi" w:hAnsiTheme="minorHAnsi" w:cstheme="minorHAnsi"/>
          <w:sz w:val="23"/>
          <w:szCs w:val="23"/>
        </w:rPr>
        <w:t>7</w:t>
      </w:r>
      <w:r>
        <w:rPr>
          <w:rFonts w:asciiTheme="minorHAnsi" w:hAnsiTheme="minorHAnsi" w:cstheme="minorHAnsi"/>
          <w:sz w:val="23"/>
          <w:szCs w:val="23"/>
        </w:rPr>
        <w:t>)</w:t>
      </w:r>
    </w:p>
    <w:p w:rsidR="00C112BF" w:rsidRDefault="00C112BF" w:rsidP="00A571A5">
      <w:pPr>
        <w:pStyle w:val="Default"/>
        <w:numPr>
          <w:ilvl w:val="1"/>
          <w:numId w:val="3"/>
        </w:numPr>
        <w:jc w:val="both"/>
        <w:rPr>
          <w:rFonts w:asciiTheme="minorHAnsi" w:hAnsiTheme="minorHAnsi" w:cstheme="minorHAnsi"/>
          <w:sz w:val="23"/>
          <w:szCs w:val="23"/>
        </w:rPr>
      </w:pPr>
      <w:r>
        <w:rPr>
          <w:rFonts w:asciiTheme="minorHAnsi" w:hAnsiTheme="minorHAnsi" w:cstheme="minorHAnsi"/>
          <w:sz w:val="23"/>
          <w:szCs w:val="23"/>
        </w:rPr>
        <w:t>1</w:t>
      </w:r>
      <w:r w:rsidRPr="00C112BF">
        <w:rPr>
          <w:rFonts w:asciiTheme="minorHAnsi" w:hAnsiTheme="minorHAnsi" w:cstheme="minorHAnsi"/>
          <w:sz w:val="23"/>
          <w:szCs w:val="23"/>
          <w:vertAlign w:val="superscript"/>
        </w:rPr>
        <w:t>st</w:t>
      </w:r>
      <w:r>
        <w:rPr>
          <w:rFonts w:asciiTheme="minorHAnsi" w:hAnsiTheme="minorHAnsi" w:cstheme="minorHAnsi"/>
          <w:sz w:val="23"/>
          <w:szCs w:val="23"/>
        </w:rPr>
        <w:t xml:space="preserve"> media analysis (</w:t>
      </w:r>
      <w:r w:rsidR="004E02E5">
        <w:rPr>
          <w:rFonts w:asciiTheme="minorHAnsi" w:hAnsiTheme="minorHAnsi" w:cstheme="minorHAnsi"/>
          <w:sz w:val="23"/>
          <w:szCs w:val="23"/>
        </w:rPr>
        <w:t xml:space="preserve">due on </w:t>
      </w:r>
      <w:r>
        <w:rPr>
          <w:rFonts w:asciiTheme="minorHAnsi" w:hAnsiTheme="minorHAnsi" w:cstheme="minorHAnsi"/>
          <w:sz w:val="23"/>
          <w:szCs w:val="23"/>
        </w:rPr>
        <w:t xml:space="preserve">Session </w:t>
      </w:r>
      <w:r w:rsidR="00766C1F">
        <w:rPr>
          <w:rFonts w:asciiTheme="minorHAnsi" w:hAnsiTheme="minorHAnsi" w:cstheme="minorHAnsi"/>
          <w:sz w:val="23"/>
          <w:szCs w:val="23"/>
        </w:rPr>
        <w:t>10</w:t>
      </w:r>
      <w:r>
        <w:rPr>
          <w:rFonts w:asciiTheme="minorHAnsi" w:hAnsiTheme="minorHAnsi" w:cstheme="minorHAnsi"/>
          <w:sz w:val="23"/>
          <w:szCs w:val="23"/>
        </w:rPr>
        <w:t>)</w:t>
      </w:r>
    </w:p>
    <w:p w:rsidR="00914FC7" w:rsidRDefault="00C112BF" w:rsidP="00A571A5">
      <w:pPr>
        <w:pStyle w:val="Default"/>
        <w:numPr>
          <w:ilvl w:val="1"/>
          <w:numId w:val="3"/>
        </w:numPr>
        <w:jc w:val="both"/>
        <w:rPr>
          <w:rFonts w:asciiTheme="minorHAnsi" w:hAnsiTheme="minorHAnsi" w:cstheme="minorHAnsi"/>
          <w:sz w:val="23"/>
          <w:szCs w:val="23"/>
        </w:rPr>
      </w:pPr>
      <w:r>
        <w:rPr>
          <w:rFonts w:asciiTheme="minorHAnsi" w:hAnsiTheme="minorHAnsi" w:cstheme="minorHAnsi"/>
          <w:sz w:val="23"/>
          <w:szCs w:val="23"/>
        </w:rPr>
        <w:t>2</w:t>
      </w:r>
      <w:r w:rsidRPr="00C112BF">
        <w:rPr>
          <w:rFonts w:asciiTheme="minorHAnsi" w:hAnsiTheme="minorHAnsi" w:cstheme="minorHAnsi"/>
          <w:sz w:val="23"/>
          <w:szCs w:val="23"/>
          <w:vertAlign w:val="superscript"/>
        </w:rPr>
        <w:t>nd</w:t>
      </w:r>
      <w:r>
        <w:rPr>
          <w:rFonts w:asciiTheme="minorHAnsi" w:hAnsiTheme="minorHAnsi" w:cstheme="minorHAnsi"/>
          <w:sz w:val="23"/>
          <w:szCs w:val="23"/>
        </w:rPr>
        <w:t xml:space="preserve"> </w:t>
      </w:r>
      <w:r w:rsidR="00A571A5">
        <w:rPr>
          <w:rFonts w:asciiTheme="minorHAnsi" w:hAnsiTheme="minorHAnsi" w:cstheme="minorHAnsi"/>
          <w:sz w:val="23"/>
          <w:szCs w:val="23"/>
        </w:rPr>
        <w:t xml:space="preserve">media analysis </w:t>
      </w:r>
      <w:r>
        <w:rPr>
          <w:rFonts w:asciiTheme="minorHAnsi" w:hAnsiTheme="minorHAnsi" w:cstheme="minorHAnsi"/>
          <w:sz w:val="23"/>
          <w:szCs w:val="23"/>
        </w:rPr>
        <w:t>(</w:t>
      </w:r>
      <w:r w:rsidR="004E02E5">
        <w:rPr>
          <w:rFonts w:asciiTheme="minorHAnsi" w:hAnsiTheme="minorHAnsi" w:cstheme="minorHAnsi"/>
          <w:sz w:val="23"/>
          <w:szCs w:val="23"/>
        </w:rPr>
        <w:t xml:space="preserve">due on </w:t>
      </w:r>
      <w:r>
        <w:rPr>
          <w:rFonts w:asciiTheme="minorHAnsi" w:hAnsiTheme="minorHAnsi" w:cstheme="minorHAnsi"/>
          <w:sz w:val="23"/>
          <w:szCs w:val="23"/>
        </w:rPr>
        <w:t xml:space="preserve">Session </w:t>
      </w:r>
      <w:r w:rsidR="00766C1F">
        <w:rPr>
          <w:rFonts w:asciiTheme="minorHAnsi" w:hAnsiTheme="minorHAnsi" w:cstheme="minorHAnsi"/>
          <w:sz w:val="23"/>
          <w:szCs w:val="23"/>
        </w:rPr>
        <w:t>11</w:t>
      </w:r>
      <w:r>
        <w:rPr>
          <w:rFonts w:asciiTheme="minorHAnsi" w:hAnsiTheme="minorHAnsi" w:cstheme="minorHAnsi"/>
          <w:sz w:val="23"/>
          <w:szCs w:val="23"/>
        </w:rPr>
        <w:t>)</w:t>
      </w:r>
    </w:p>
    <w:p w:rsidR="00A571A5" w:rsidRPr="00914FC7" w:rsidRDefault="00914FC7" w:rsidP="00914FC7">
      <w:pPr>
        <w:pStyle w:val="Default"/>
        <w:ind w:left="1080"/>
        <w:jc w:val="both"/>
        <w:rPr>
          <w:rFonts w:asciiTheme="minorHAnsi" w:hAnsiTheme="minorHAnsi" w:cstheme="minorHAnsi"/>
          <w:i/>
          <w:sz w:val="23"/>
          <w:szCs w:val="23"/>
        </w:rPr>
      </w:pPr>
      <w:r w:rsidRPr="00914FC7">
        <w:rPr>
          <w:rFonts w:asciiTheme="minorHAnsi" w:hAnsiTheme="minorHAnsi" w:cstheme="minorHAnsi"/>
          <w:i/>
          <w:sz w:val="23"/>
          <w:szCs w:val="23"/>
        </w:rPr>
        <w:t>The detailed requirements for the papers are posted on CU Learn.</w:t>
      </w:r>
      <w:r w:rsidR="00C112BF" w:rsidRPr="00914FC7">
        <w:rPr>
          <w:rFonts w:asciiTheme="minorHAnsi" w:hAnsiTheme="minorHAnsi" w:cstheme="minorHAnsi"/>
          <w:i/>
          <w:sz w:val="23"/>
          <w:szCs w:val="23"/>
        </w:rPr>
        <w:t xml:space="preserve"> </w:t>
      </w:r>
    </w:p>
    <w:p w:rsidR="00A571A5" w:rsidRDefault="00A571A5" w:rsidP="004C20E3">
      <w:pPr>
        <w:pStyle w:val="Default"/>
        <w:numPr>
          <w:ilvl w:val="0"/>
          <w:numId w:val="3"/>
        </w:numPr>
        <w:jc w:val="both"/>
        <w:rPr>
          <w:rFonts w:asciiTheme="minorHAnsi" w:hAnsiTheme="minorHAnsi" w:cstheme="minorHAnsi"/>
          <w:sz w:val="23"/>
          <w:szCs w:val="23"/>
        </w:rPr>
      </w:pPr>
      <w:r>
        <w:rPr>
          <w:rFonts w:asciiTheme="minorHAnsi" w:hAnsiTheme="minorHAnsi" w:cstheme="minorHAnsi"/>
          <w:sz w:val="23"/>
          <w:szCs w:val="23"/>
        </w:rPr>
        <w:lastRenderedPageBreak/>
        <w:t>Term-paper proposal</w:t>
      </w:r>
      <w:r w:rsidR="00D82FD3">
        <w:rPr>
          <w:rFonts w:asciiTheme="minorHAnsi" w:hAnsiTheme="minorHAnsi" w:cstheme="minorHAnsi"/>
          <w:sz w:val="23"/>
          <w:szCs w:val="23"/>
        </w:rPr>
        <w:t xml:space="preserve"> </w:t>
      </w:r>
      <w:r w:rsidR="00D82FD3" w:rsidRPr="00FB15E3">
        <w:rPr>
          <w:rFonts w:asciiTheme="minorHAnsi" w:hAnsiTheme="minorHAnsi" w:cstheme="minorHAnsi"/>
          <w:sz w:val="23"/>
          <w:szCs w:val="23"/>
          <w:u w:val="single"/>
        </w:rPr>
        <w:t>(undergraduate students only)</w:t>
      </w:r>
      <w:r w:rsidR="0017307E">
        <w:rPr>
          <w:rFonts w:asciiTheme="minorHAnsi" w:hAnsiTheme="minorHAnsi" w:cstheme="minorHAnsi"/>
          <w:sz w:val="23"/>
          <w:szCs w:val="23"/>
        </w:rPr>
        <w:t xml:space="preserve"> – 5%</w:t>
      </w:r>
      <w:r w:rsidR="004C20E3">
        <w:rPr>
          <w:rFonts w:asciiTheme="minorHAnsi" w:hAnsiTheme="minorHAnsi" w:cstheme="minorHAnsi"/>
          <w:sz w:val="23"/>
          <w:szCs w:val="23"/>
        </w:rPr>
        <w:t xml:space="preserve">. </w:t>
      </w:r>
      <w:r w:rsidR="00B73866" w:rsidRPr="00B73866">
        <w:rPr>
          <w:rFonts w:asciiTheme="minorHAnsi" w:hAnsiTheme="minorHAnsi" w:cstheme="minorHAnsi"/>
          <w:b/>
          <w:sz w:val="23"/>
          <w:szCs w:val="23"/>
        </w:rPr>
        <w:t>Due on</w:t>
      </w:r>
      <w:r w:rsidR="00B73866">
        <w:rPr>
          <w:rFonts w:asciiTheme="minorHAnsi" w:hAnsiTheme="minorHAnsi" w:cstheme="minorHAnsi"/>
          <w:sz w:val="23"/>
          <w:szCs w:val="23"/>
        </w:rPr>
        <w:t xml:space="preserve"> Session </w:t>
      </w:r>
      <w:r w:rsidR="00766C1F">
        <w:rPr>
          <w:rFonts w:asciiTheme="minorHAnsi" w:hAnsiTheme="minorHAnsi" w:cstheme="minorHAnsi"/>
          <w:sz w:val="23"/>
          <w:szCs w:val="23"/>
        </w:rPr>
        <w:t>8</w:t>
      </w:r>
      <w:r w:rsidR="00B73866">
        <w:rPr>
          <w:rFonts w:asciiTheme="minorHAnsi" w:hAnsiTheme="minorHAnsi" w:cstheme="minorHAnsi"/>
          <w:sz w:val="23"/>
          <w:szCs w:val="23"/>
        </w:rPr>
        <w:t xml:space="preserve">. </w:t>
      </w:r>
      <w:r w:rsidR="004C20E3" w:rsidRPr="004C20E3">
        <w:rPr>
          <w:rFonts w:asciiTheme="minorHAnsi" w:hAnsiTheme="minorHAnsi" w:cstheme="minorHAnsi"/>
          <w:sz w:val="23"/>
          <w:szCs w:val="23"/>
        </w:rPr>
        <w:t>The proposal should be up to 4 pages long. It should refer to the topic of student’s primary interest in the course. The proposal includes the following: 1) a clearly formulated research problem/question; 2) a brief description of the problem and its context; 3) a hypothesis that explains the problem and the theoretical and methodological background; 4) a discussion on how the problem will be examined.</w:t>
      </w:r>
    </w:p>
    <w:p w:rsidR="00D82FD3" w:rsidRDefault="00A571A5" w:rsidP="00A571A5">
      <w:pPr>
        <w:pStyle w:val="Default"/>
        <w:numPr>
          <w:ilvl w:val="0"/>
          <w:numId w:val="3"/>
        </w:numPr>
        <w:jc w:val="both"/>
        <w:rPr>
          <w:rFonts w:asciiTheme="minorHAnsi" w:hAnsiTheme="minorHAnsi" w:cstheme="minorHAnsi"/>
          <w:sz w:val="23"/>
          <w:szCs w:val="23"/>
        </w:rPr>
      </w:pPr>
      <w:r>
        <w:rPr>
          <w:rFonts w:asciiTheme="minorHAnsi" w:hAnsiTheme="minorHAnsi" w:cstheme="minorHAnsi"/>
          <w:sz w:val="23"/>
          <w:szCs w:val="23"/>
        </w:rPr>
        <w:t>Term-paper</w:t>
      </w:r>
      <w:r w:rsidR="00B73866">
        <w:rPr>
          <w:rFonts w:asciiTheme="minorHAnsi" w:hAnsiTheme="minorHAnsi" w:cstheme="minorHAnsi"/>
          <w:sz w:val="23"/>
          <w:szCs w:val="23"/>
        </w:rPr>
        <w:t xml:space="preserve">. Due on the </w:t>
      </w:r>
      <w:r w:rsidR="00766C1F">
        <w:rPr>
          <w:rFonts w:asciiTheme="minorHAnsi" w:hAnsiTheme="minorHAnsi" w:cstheme="minorHAnsi"/>
          <w:sz w:val="23"/>
          <w:szCs w:val="23"/>
        </w:rPr>
        <w:t>last class</w:t>
      </w:r>
      <w:r w:rsidR="00B73866">
        <w:rPr>
          <w:rFonts w:asciiTheme="minorHAnsi" w:hAnsiTheme="minorHAnsi" w:cstheme="minorHAnsi"/>
          <w:sz w:val="23"/>
          <w:szCs w:val="23"/>
        </w:rPr>
        <w:t xml:space="preserve">. </w:t>
      </w:r>
    </w:p>
    <w:p w:rsidR="00A571A5" w:rsidRDefault="00D82FD3" w:rsidP="004C20E3">
      <w:pPr>
        <w:pStyle w:val="Default"/>
        <w:numPr>
          <w:ilvl w:val="1"/>
          <w:numId w:val="3"/>
        </w:numPr>
        <w:jc w:val="both"/>
        <w:rPr>
          <w:rFonts w:asciiTheme="minorHAnsi" w:hAnsiTheme="minorHAnsi" w:cstheme="minorHAnsi"/>
          <w:sz w:val="23"/>
          <w:szCs w:val="23"/>
        </w:rPr>
      </w:pPr>
      <w:r w:rsidRPr="00B73866">
        <w:rPr>
          <w:rFonts w:asciiTheme="minorHAnsi" w:hAnsiTheme="minorHAnsi" w:cstheme="minorHAnsi"/>
          <w:sz w:val="23"/>
          <w:szCs w:val="23"/>
          <w:u w:val="single"/>
        </w:rPr>
        <w:t>Undergraduate students</w:t>
      </w:r>
      <w:r>
        <w:rPr>
          <w:rFonts w:asciiTheme="minorHAnsi" w:hAnsiTheme="minorHAnsi" w:cstheme="minorHAnsi"/>
          <w:sz w:val="23"/>
          <w:szCs w:val="23"/>
        </w:rPr>
        <w:t xml:space="preserve"> </w:t>
      </w:r>
      <w:r w:rsidR="0017307E">
        <w:rPr>
          <w:rFonts w:asciiTheme="minorHAnsi" w:hAnsiTheme="minorHAnsi" w:cstheme="minorHAnsi"/>
          <w:sz w:val="23"/>
          <w:szCs w:val="23"/>
        </w:rPr>
        <w:t>– 30%</w:t>
      </w:r>
      <w:r w:rsidR="004C20E3">
        <w:rPr>
          <w:rFonts w:asciiTheme="minorHAnsi" w:hAnsiTheme="minorHAnsi" w:cstheme="minorHAnsi"/>
          <w:sz w:val="23"/>
          <w:szCs w:val="23"/>
        </w:rPr>
        <w:t xml:space="preserve">. </w:t>
      </w:r>
      <w:r w:rsidR="004C20E3" w:rsidRPr="004C20E3">
        <w:rPr>
          <w:rFonts w:asciiTheme="minorHAnsi" w:hAnsiTheme="minorHAnsi" w:cstheme="minorHAnsi"/>
          <w:sz w:val="23"/>
          <w:szCs w:val="23"/>
        </w:rPr>
        <w:t>The paper should be 12-15 pages long and is expected to show original analysis, sustaining an argument which will be supported with evidence. The final assignment is a research paper and should demonstrate that you have considered a range of scholarly sources: a minimum of eight published books or articles. The paper should demonstrate careful and critical consideration of a broad range of carefully chosen, quality research sources (including peer-reviewed scholarly publications).</w:t>
      </w:r>
    </w:p>
    <w:p w:rsidR="00D82FD3" w:rsidRDefault="00D82FD3" w:rsidP="004C20E3">
      <w:pPr>
        <w:pStyle w:val="Default"/>
        <w:numPr>
          <w:ilvl w:val="1"/>
          <w:numId w:val="3"/>
        </w:numPr>
        <w:jc w:val="both"/>
        <w:rPr>
          <w:rFonts w:asciiTheme="minorHAnsi" w:hAnsiTheme="minorHAnsi" w:cstheme="minorHAnsi"/>
          <w:sz w:val="23"/>
          <w:szCs w:val="23"/>
        </w:rPr>
      </w:pPr>
      <w:r w:rsidRPr="00B73866">
        <w:rPr>
          <w:rFonts w:asciiTheme="minorHAnsi" w:hAnsiTheme="minorHAnsi" w:cstheme="minorHAnsi"/>
          <w:sz w:val="23"/>
          <w:szCs w:val="23"/>
          <w:u w:val="single"/>
        </w:rPr>
        <w:t>Graduate students</w:t>
      </w:r>
      <w:r>
        <w:rPr>
          <w:rFonts w:asciiTheme="minorHAnsi" w:hAnsiTheme="minorHAnsi" w:cstheme="minorHAnsi"/>
          <w:sz w:val="23"/>
          <w:szCs w:val="23"/>
        </w:rPr>
        <w:t xml:space="preserve"> – 35%</w:t>
      </w:r>
      <w:r w:rsidR="004C20E3">
        <w:rPr>
          <w:rFonts w:asciiTheme="minorHAnsi" w:hAnsiTheme="minorHAnsi" w:cstheme="minorHAnsi"/>
          <w:sz w:val="23"/>
          <w:szCs w:val="23"/>
        </w:rPr>
        <w:t xml:space="preserve">. </w:t>
      </w:r>
      <w:r w:rsidR="004C20E3" w:rsidRPr="004C20E3">
        <w:rPr>
          <w:rFonts w:asciiTheme="minorHAnsi" w:hAnsiTheme="minorHAnsi" w:cstheme="minorHAnsi"/>
          <w:sz w:val="23"/>
          <w:szCs w:val="23"/>
        </w:rPr>
        <w:t xml:space="preserve">The paper should be approximately </w:t>
      </w:r>
      <w:r w:rsidR="00914FC7">
        <w:rPr>
          <w:rFonts w:asciiTheme="minorHAnsi" w:hAnsiTheme="minorHAnsi" w:cstheme="minorHAnsi"/>
          <w:sz w:val="23"/>
          <w:szCs w:val="23"/>
        </w:rPr>
        <w:t>14</w:t>
      </w:r>
      <w:r w:rsidR="004C20E3" w:rsidRPr="004C20E3">
        <w:rPr>
          <w:rFonts w:asciiTheme="minorHAnsi" w:hAnsiTheme="minorHAnsi" w:cstheme="minorHAnsi"/>
          <w:sz w:val="23"/>
          <w:szCs w:val="23"/>
        </w:rPr>
        <w:t>-</w:t>
      </w:r>
      <w:r w:rsidR="00914FC7">
        <w:rPr>
          <w:rFonts w:asciiTheme="minorHAnsi" w:hAnsiTheme="minorHAnsi" w:cstheme="minorHAnsi"/>
          <w:sz w:val="23"/>
          <w:szCs w:val="23"/>
        </w:rPr>
        <w:t>18</w:t>
      </w:r>
      <w:r w:rsidR="004C20E3" w:rsidRPr="004C20E3">
        <w:rPr>
          <w:rFonts w:asciiTheme="minorHAnsi" w:hAnsiTheme="minorHAnsi" w:cstheme="minorHAnsi"/>
          <w:sz w:val="23"/>
          <w:szCs w:val="23"/>
        </w:rPr>
        <w:t xml:space="preserve"> pages in length and should incorporate some research from primary sources, as well as critically address current theoretical accounts of the researched problem.</w:t>
      </w:r>
    </w:p>
    <w:p w:rsidR="001D5A76" w:rsidRPr="00E576C2" w:rsidRDefault="001D5A76" w:rsidP="004F280C">
      <w:pPr>
        <w:pStyle w:val="Heading1"/>
      </w:pPr>
      <w:r w:rsidRPr="00E576C2">
        <w:t xml:space="preserve">Late Papers </w:t>
      </w:r>
    </w:p>
    <w:p w:rsidR="001D5A76" w:rsidRPr="00E576C2" w:rsidRDefault="001D5A76" w:rsidP="001D5A76">
      <w:pPr>
        <w:pStyle w:val="Default"/>
        <w:spacing w:after="120"/>
        <w:jc w:val="both"/>
        <w:rPr>
          <w:rFonts w:asciiTheme="minorHAnsi" w:hAnsiTheme="minorHAnsi" w:cstheme="minorHAnsi"/>
          <w:sz w:val="23"/>
          <w:szCs w:val="23"/>
        </w:rPr>
      </w:pPr>
      <w:r w:rsidRPr="00E576C2">
        <w:rPr>
          <w:rFonts w:asciiTheme="minorHAnsi" w:hAnsiTheme="minorHAnsi" w:cstheme="minorHAnsi"/>
          <w:sz w:val="23"/>
          <w:szCs w:val="23"/>
        </w:rPr>
        <w:t xml:space="preserve">Papers are expected to be submitted on time, to facilitate prompt marking for your fellow students. Extensions for written assignments will be considered only for family emergencies and for documented medical reasons. Marks will be deducted for lateness. Submission of assignments after the deadline indicated in this course outline </w:t>
      </w:r>
      <w:r>
        <w:rPr>
          <w:rFonts w:asciiTheme="minorHAnsi" w:hAnsiTheme="minorHAnsi" w:cstheme="minorHAnsi"/>
          <w:sz w:val="23"/>
          <w:szCs w:val="23"/>
        </w:rPr>
        <w:t>will</w:t>
      </w:r>
      <w:r w:rsidRPr="00E576C2">
        <w:rPr>
          <w:rFonts w:asciiTheme="minorHAnsi" w:hAnsiTheme="minorHAnsi" w:cstheme="minorHAnsi"/>
          <w:sz w:val="23"/>
          <w:szCs w:val="23"/>
        </w:rPr>
        <w:t xml:space="preserve"> result in a deduction of one letter grade per every day past after the deadline. Please submit papers according to the instructions specified for that assignment. Once term assignments are graded, students may collect their completed papers during the instructor’s scheduled office hours, or by providing a stamped, self-addressed envelope in which the assignment may be returned by mail.</w:t>
      </w:r>
    </w:p>
    <w:p w:rsidR="001D5A76" w:rsidRDefault="001D5A76" w:rsidP="004F280C">
      <w:pPr>
        <w:pStyle w:val="Heading1"/>
      </w:pPr>
      <w:r w:rsidRPr="004F280C">
        <w:t>Schedule</w:t>
      </w:r>
    </w:p>
    <w:p w:rsidR="006476A7" w:rsidRDefault="004F280C" w:rsidP="006476A7">
      <w:pPr>
        <w:pStyle w:val="Heading2"/>
        <w:spacing w:before="0"/>
        <w:jc w:val="both"/>
      </w:pPr>
      <w:proofErr w:type="gramStart"/>
      <w:r>
        <w:t>Session 1.</w:t>
      </w:r>
      <w:proofErr w:type="gramEnd"/>
      <w:r>
        <w:t xml:space="preserve"> </w:t>
      </w:r>
      <w:r w:rsidR="006476A7">
        <w:t xml:space="preserve">(May 4). </w:t>
      </w:r>
    </w:p>
    <w:p w:rsidR="004F280C" w:rsidRPr="006476A7" w:rsidRDefault="004F280C" w:rsidP="006476A7">
      <w:pPr>
        <w:pStyle w:val="Heading3"/>
      </w:pPr>
      <w:proofErr w:type="gramStart"/>
      <w:r w:rsidRPr="006476A7">
        <w:t>Introduction.</w:t>
      </w:r>
      <w:proofErr w:type="gramEnd"/>
      <w:r w:rsidRPr="006476A7">
        <w:t xml:space="preserve"> The conflicting nature of the Eurasian international relations: actors, interests, policies.</w:t>
      </w:r>
    </w:p>
    <w:p w:rsidR="009206A3" w:rsidRPr="009206A3" w:rsidRDefault="009206A3" w:rsidP="009206A3">
      <w:pPr>
        <w:spacing w:after="0"/>
        <w:rPr>
          <w:i/>
        </w:rPr>
      </w:pPr>
      <w:r w:rsidRPr="009206A3">
        <w:rPr>
          <w:i/>
        </w:rPr>
        <w:t xml:space="preserve">Required: </w:t>
      </w:r>
    </w:p>
    <w:p w:rsidR="009206A3" w:rsidRDefault="009206A3" w:rsidP="006C4AEF">
      <w:pPr>
        <w:pStyle w:val="ListParagraph"/>
        <w:numPr>
          <w:ilvl w:val="0"/>
          <w:numId w:val="3"/>
        </w:numPr>
        <w:spacing w:after="0"/>
        <w:ind w:left="714" w:hanging="357"/>
      </w:pPr>
      <w:proofErr w:type="spellStart"/>
      <w:r w:rsidRPr="009206A3">
        <w:rPr>
          <w:u w:val="single"/>
        </w:rPr>
        <w:t>Tsygankov</w:t>
      </w:r>
      <w:proofErr w:type="spellEnd"/>
      <w:r w:rsidRPr="009206A3">
        <w:rPr>
          <w:u w:val="single"/>
        </w:rPr>
        <w:t>, Andrei P.</w:t>
      </w:r>
      <w:r>
        <w:t>, Chapter 1. “</w:t>
      </w:r>
      <w:r w:rsidRPr="009206A3">
        <w:t>Understanding Change and Continuity in Russia</w:t>
      </w:r>
      <w:r>
        <w:t>’</w:t>
      </w:r>
      <w:r w:rsidRPr="009206A3">
        <w:t>s Foreign Policy</w:t>
      </w:r>
      <w:r>
        <w:t>” (pp. 1-32)</w:t>
      </w:r>
    </w:p>
    <w:p w:rsidR="008907A0" w:rsidRDefault="008907A0" w:rsidP="006C4AEF">
      <w:pPr>
        <w:pStyle w:val="ListParagraph"/>
        <w:numPr>
          <w:ilvl w:val="0"/>
          <w:numId w:val="3"/>
        </w:numPr>
        <w:spacing w:after="0"/>
        <w:ind w:left="714" w:hanging="357"/>
      </w:pPr>
      <w:proofErr w:type="spellStart"/>
      <w:proofErr w:type="gramStart"/>
      <w:r>
        <w:rPr>
          <w:u w:val="single"/>
        </w:rPr>
        <w:t>Brzezinsky</w:t>
      </w:r>
      <w:proofErr w:type="spellEnd"/>
      <w:r>
        <w:rPr>
          <w:u w:val="single"/>
        </w:rPr>
        <w:t xml:space="preserve"> ,</w:t>
      </w:r>
      <w:proofErr w:type="gramEnd"/>
      <w:r>
        <w:rPr>
          <w:u w:val="single"/>
        </w:rPr>
        <w:t xml:space="preserve"> </w:t>
      </w:r>
      <w:proofErr w:type="spellStart"/>
      <w:r>
        <w:rPr>
          <w:u w:val="single"/>
        </w:rPr>
        <w:t>Zbigniew</w:t>
      </w:r>
      <w:proofErr w:type="spellEnd"/>
      <w:r>
        <w:rPr>
          <w:u w:val="single"/>
        </w:rPr>
        <w:t>.</w:t>
      </w:r>
      <w:r>
        <w:t xml:space="preserve">, </w:t>
      </w:r>
      <w:r>
        <w:rPr>
          <w:i/>
        </w:rPr>
        <w:t>The Grand Chessboard.</w:t>
      </w:r>
      <w:r>
        <w:t xml:space="preserve"> Chapter 2. “The </w:t>
      </w:r>
      <w:r w:rsidRPr="008907A0">
        <w:t>Eurasian Chessboard</w:t>
      </w:r>
      <w:r>
        <w:t>”</w:t>
      </w:r>
    </w:p>
    <w:p w:rsidR="009206A3" w:rsidRPr="009206A3" w:rsidRDefault="009206A3" w:rsidP="009206A3">
      <w:pPr>
        <w:spacing w:after="0"/>
        <w:rPr>
          <w:i/>
        </w:rPr>
      </w:pPr>
      <w:r>
        <w:rPr>
          <w:i/>
        </w:rPr>
        <w:t>Supplementary</w:t>
      </w:r>
      <w:r w:rsidRPr="009206A3">
        <w:rPr>
          <w:i/>
        </w:rPr>
        <w:t>:</w:t>
      </w:r>
    </w:p>
    <w:p w:rsidR="009206A3" w:rsidRDefault="009206A3" w:rsidP="009206A3">
      <w:pPr>
        <w:pStyle w:val="ListParagraph"/>
        <w:numPr>
          <w:ilvl w:val="0"/>
          <w:numId w:val="3"/>
        </w:numPr>
      </w:pPr>
      <w:proofErr w:type="spellStart"/>
      <w:r w:rsidRPr="009206A3">
        <w:rPr>
          <w:u w:val="single"/>
        </w:rPr>
        <w:t>Tsygankov</w:t>
      </w:r>
      <w:proofErr w:type="spellEnd"/>
      <w:r w:rsidRPr="009206A3">
        <w:rPr>
          <w:u w:val="single"/>
        </w:rPr>
        <w:t>, Andrei P.</w:t>
      </w:r>
      <w:r>
        <w:t>, Chapter 2. “</w:t>
      </w:r>
      <w:r w:rsidRPr="009206A3">
        <w:t>Chapter 02 The Cold War Crisis and Soviet New Thinking</w:t>
      </w:r>
      <w:r>
        <w:t>” (pp. 33-56)</w:t>
      </w:r>
    </w:p>
    <w:p w:rsidR="00FB15E3" w:rsidRDefault="00FB15E3" w:rsidP="00FB15E3"/>
    <w:p w:rsidR="00FB15E3" w:rsidRDefault="00FB15E3" w:rsidP="00FB15E3"/>
    <w:p w:rsidR="004F280C" w:rsidRPr="006C4AEF" w:rsidRDefault="004F280C" w:rsidP="00A07C6C">
      <w:pPr>
        <w:spacing w:before="200"/>
        <w:rPr>
          <w:b/>
          <w:sz w:val="26"/>
          <w:szCs w:val="26"/>
          <w:u w:val="single"/>
        </w:rPr>
      </w:pPr>
      <w:r w:rsidRPr="006C4AEF">
        <w:rPr>
          <w:b/>
          <w:sz w:val="26"/>
          <w:szCs w:val="26"/>
          <w:u w:val="single"/>
        </w:rPr>
        <w:lastRenderedPageBreak/>
        <w:t>Exploring the conflict</w:t>
      </w:r>
      <w:r w:rsidR="006C4AEF">
        <w:rPr>
          <w:b/>
          <w:sz w:val="26"/>
          <w:szCs w:val="26"/>
          <w:u w:val="single"/>
        </w:rPr>
        <w:t>ing</w:t>
      </w:r>
      <w:r w:rsidRPr="006C4AEF">
        <w:rPr>
          <w:b/>
          <w:sz w:val="26"/>
          <w:szCs w:val="26"/>
          <w:u w:val="single"/>
        </w:rPr>
        <w:t xml:space="preserve"> agendas</w:t>
      </w:r>
    </w:p>
    <w:p w:rsidR="006476A7" w:rsidRDefault="004F280C" w:rsidP="006C4AEF">
      <w:pPr>
        <w:pStyle w:val="Heading2"/>
        <w:jc w:val="both"/>
      </w:pPr>
      <w:proofErr w:type="gramStart"/>
      <w:r>
        <w:t>Session 2.</w:t>
      </w:r>
      <w:proofErr w:type="gramEnd"/>
      <w:r>
        <w:t xml:space="preserve"> </w:t>
      </w:r>
      <w:r w:rsidR="006476A7">
        <w:t>(May 6).</w:t>
      </w:r>
    </w:p>
    <w:p w:rsidR="004F280C" w:rsidRDefault="004F280C" w:rsidP="006476A7">
      <w:pPr>
        <w:pStyle w:val="Heading3"/>
      </w:pPr>
      <w:r w:rsidRPr="004F280C">
        <w:t>Part 1: Russian foreign policy agenda in the 1990s and under Vladimir Putin</w:t>
      </w:r>
    </w:p>
    <w:p w:rsidR="006C4AEF" w:rsidRPr="006C4AEF" w:rsidRDefault="006C4AEF" w:rsidP="006C4AEF">
      <w:pPr>
        <w:jc w:val="both"/>
      </w:pPr>
      <w:r>
        <w:t xml:space="preserve">The class is focused on the changing dynamics of the Russian post-Soviet foreign policy agenda and explores factors, both internal and external, that have contributed to the </w:t>
      </w:r>
      <w:r w:rsidR="00400794">
        <w:t>development of discontent between Russia and its Western partners.</w:t>
      </w:r>
    </w:p>
    <w:p w:rsidR="006C4AEF" w:rsidRPr="009206A3" w:rsidRDefault="009206A3" w:rsidP="009206A3">
      <w:pPr>
        <w:spacing w:after="0"/>
        <w:rPr>
          <w:i/>
        </w:rPr>
      </w:pPr>
      <w:r w:rsidRPr="009206A3">
        <w:rPr>
          <w:i/>
        </w:rPr>
        <w:t xml:space="preserve">Required: </w:t>
      </w:r>
    </w:p>
    <w:p w:rsidR="009206A3" w:rsidRDefault="009206A3" w:rsidP="009206A3">
      <w:pPr>
        <w:pStyle w:val="ListParagraph"/>
        <w:numPr>
          <w:ilvl w:val="0"/>
          <w:numId w:val="3"/>
        </w:numPr>
      </w:pPr>
      <w:proofErr w:type="spellStart"/>
      <w:r w:rsidRPr="009206A3">
        <w:rPr>
          <w:u w:val="single"/>
        </w:rPr>
        <w:t>Tsygankov</w:t>
      </w:r>
      <w:proofErr w:type="spellEnd"/>
      <w:r w:rsidRPr="009206A3">
        <w:rPr>
          <w:u w:val="single"/>
        </w:rPr>
        <w:t>, Andrei P.</w:t>
      </w:r>
      <w:r>
        <w:t xml:space="preserve">, </w:t>
      </w:r>
      <w:r w:rsidRPr="009206A3">
        <w:t>Chapter 03</w:t>
      </w:r>
      <w:r>
        <w:t>.</w:t>
      </w:r>
      <w:r w:rsidRPr="009206A3">
        <w:t xml:space="preserve"> </w:t>
      </w:r>
      <w:r>
        <w:t>“</w:t>
      </w:r>
      <w:r w:rsidRPr="009206A3">
        <w:t xml:space="preserve">The </w:t>
      </w:r>
      <w:proofErr w:type="spellStart"/>
      <w:r w:rsidRPr="009206A3">
        <w:t>PostCold</w:t>
      </w:r>
      <w:proofErr w:type="spellEnd"/>
      <w:r w:rsidRPr="009206A3">
        <w:t xml:space="preserve"> War Euphoria and Russia</w:t>
      </w:r>
      <w:r>
        <w:t>’</w:t>
      </w:r>
      <w:r w:rsidRPr="009206A3">
        <w:t xml:space="preserve">s Liberal </w:t>
      </w:r>
      <w:proofErr w:type="spellStart"/>
      <w:r w:rsidRPr="009206A3">
        <w:t>Westernism</w:t>
      </w:r>
      <w:proofErr w:type="spellEnd"/>
      <w:r>
        <w:t>” (pp. 57-9</w:t>
      </w:r>
      <w:r w:rsidR="002D1122">
        <w:t>4</w:t>
      </w:r>
      <w:r>
        <w:t>)</w:t>
      </w:r>
    </w:p>
    <w:p w:rsidR="009206A3" w:rsidRDefault="009206A3" w:rsidP="009206A3">
      <w:pPr>
        <w:pStyle w:val="ListParagraph"/>
        <w:numPr>
          <w:ilvl w:val="0"/>
          <w:numId w:val="3"/>
        </w:numPr>
      </w:pPr>
      <w:proofErr w:type="spellStart"/>
      <w:r w:rsidRPr="009206A3">
        <w:rPr>
          <w:u w:val="single"/>
        </w:rPr>
        <w:t>Tsygankov</w:t>
      </w:r>
      <w:proofErr w:type="spellEnd"/>
      <w:r w:rsidRPr="009206A3">
        <w:rPr>
          <w:u w:val="single"/>
        </w:rPr>
        <w:t>, Andrei P.</w:t>
      </w:r>
      <w:r>
        <w:t xml:space="preserve">, </w:t>
      </w:r>
      <w:r w:rsidRPr="009206A3">
        <w:t>Chapter 04</w:t>
      </w:r>
      <w:r w:rsidR="002D1122">
        <w:t>.</w:t>
      </w:r>
      <w:r w:rsidRPr="009206A3">
        <w:t xml:space="preserve"> </w:t>
      </w:r>
      <w:r>
        <w:t>“</w:t>
      </w:r>
      <w:r w:rsidRPr="009206A3">
        <w:t>New Security Challenges and Great Power Balancing</w:t>
      </w:r>
      <w:r>
        <w:t>”</w:t>
      </w:r>
      <w:r w:rsidR="002D1122">
        <w:t xml:space="preserve"> (pp. 95-132)</w:t>
      </w:r>
    </w:p>
    <w:p w:rsidR="0099230E" w:rsidRDefault="0099230E" w:rsidP="0099230E">
      <w:pPr>
        <w:pStyle w:val="ListParagraph"/>
        <w:numPr>
          <w:ilvl w:val="0"/>
          <w:numId w:val="3"/>
        </w:numPr>
        <w:jc w:val="both"/>
      </w:pPr>
      <w:proofErr w:type="spellStart"/>
      <w:r>
        <w:t>Mathers</w:t>
      </w:r>
      <w:proofErr w:type="spellEnd"/>
      <w:r>
        <w:t xml:space="preserve">, Jennifer G. (2012). “Nuclear Weapons in Russian Foreign Policy: Patterns in </w:t>
      </w:r>
      <w:proofErr w:type="gramStart"/>
      <w:r>
        <w:t>Presidential  Discourse</w:t>
      </w:r>
      <w:proofErr w:type="gramEnd"/>
      <w:r>
        <w:t xml:space="preserve"> 2000–2010” </w:t>
      </w:r>
      <w:r>
        <w:rPr>
          <w:i/>
        </w:rPr>
        <w:t xml:space="preserve">Europe-Asia Studies, </w:t>
      </w:r>
      <w:r>
        <w:t>Vol.64 (2), pp. 495-519.</w:t>
      </w:r>
    </w:p>
    <w:p w:rsidR="006C4AEF" w:rsidRPr="009206A3" w:rsidRDefault="006C4AEF" w:rsidP="006C4AEF">
      <w:pPr>
        <w:spacing w:after="0"/>
        <w:rPr>
          <w:i/>
        </w:rPr>
      </w:pPr>
      <w:r>
        <w:rPr>
          <w:i/>
        </w:rPr>
        <w:t>Supplementary</w:t>
      </w:r>
      <w:r w:rsidRPr="009206A3">
        <w:rPr>
          <w:i/>
        </w:rPr>
        <w:t>:</w:t>
      </w:r>
    </w:p>
    <w:p w:rsidR="006C4AEF" w:rsidRDefault="006C4AEF" w:rsidP="006C4AEF">
      <w:pPr>
        <w:pStyle w:val="ListParagraph"/>
        <w:numPr>
          <w:ilvl w:val="0"/>
          <w:numId w:val="3"/>
        </w:numPr>
        <w:jc w:val="both"/>
      </w:pPr>
      <w:proofErr w:type="spellStart"/>
      <w:r w:rsidRPr="006C4AEF">
        <w:t>Fedorov</w:t>
      </w:r>
      <w:proofErr w:type="spellEnd"/>
      <w:r>
        <w:t xml:space="preserve">, </w:t>
      </w:r>
      <w:proofErr w:type="spellStart"/>
      <w:r w:rsidRPr="006C4AEF">
        <w:t>Yury</w:t>
      </w:r>
      <w:proofErr w:type="spellEnd"/>
      <w:r w:rsidRPr="006C4AEF">
        <w:t xml:space="preserve"> E. </w:t>
      </w:r>
      <w:r>
        <w:t xml:space="preserve">(2013). “Continuity and change in Russia’s policy toward Central and Eastern Europe.” </w:t>
      </w:r>
      <w:r w:rsidRPr="006C4AEF">
        <w:rPr>
          <w:i/>
        </w:rPr>
        <w:t>Communist and Post-Communist Studies</w:t>
      </w:r>
      <w:r>
        <w:rPr>
          <w:i/>
        </w:rPr>
        <w:t>,</w:t>
      </w:r>
      <w:r>
        <w:t xml:space="preserve"> Vol. 46, pp. </w:t>
      </w:r>
      <w:r w:rsidRPr="006C4AEF">
        <w:t>315–326</w:t>
      </w:r>
    </w:p>
    <w:p w:rsidR="006476A7" w:rsidRDefault="004F280C" w:rsidP="004F280C">
      <w:pPr>
        <w:pStyle w:val="Heading2"/>
      </w:pPr>
      <w:proofErr w:type="gramStart"/>
      <w:r>
        <w:t>Session 3.</w:t>
      </w:r>
      <w:proofErr w:type="gramEnd"/>
      <w:r>
        <w:t xml:space="preserve"> </w:t>
      </w:r>
      <w:r w:rsidR="006476A7">
        <w:t>(May 11).</w:t>
      </w:r>
    </w:p>
    <w:p w:rsidR="004F280C" w:rsidRDefault="004F280C" w:rsidP="006476A7">
      <w:pPr>
        <w:pStyle w:val="Heading3"/>
      </w:pPr>
      <w:r w:rsidRPr="004F280C">
        <w:t>Part 2:  The European Factor</w:t>
      </w:r>
    </w:p>
    <w:p w:rsidR="00A344C2" w:rsidRDefault="00400794" w:rsidP="00A344C2">
      <w:pPr>
        <w:spacing w:after="120"/>
        <w:rPr>
          <w:i/>
        </w:rPr>
      </w:pPr>
      <w:r>
        <w:t xml:space="preserve">Last two decades substantially changed European politics. Following the Maastricht Treaty of 1992 a new political organization – The European Union – was finally established. A sequence of enlargements, most notably the 2004 one, </w:t>
      </w:r>
      <w:r w:rsidR="007C5F11">
        <w:t>broadened European borders and policies to Russia’s immediate borders. Nowadays the European Union acts as an independent political organization and participates in developing and providing joint European foreign policies alongside with its member states. Moreover, through specific initiatives, such as European Neighborhood Policy, Association Agreement and Eastern Partnership, the EU influences foreign policy agendas of its neighbouring countries. These policies, as well as the overall multilevel structure of political decision making in Europe complicate the Union’s relations with Russia. They are the core of this week’s discussion.</w:t>
      </w:r>
      <w:r w:rsidR="00A344C2" w:rsidRPr="00A344C2">
        <w:rPr>
          <w:i/>
        </w:rPr>
        <w:t xml:space="preserve"> </w:t>
      </w:r>
    </w:p>
    <w:p w:rsidR="00A344C2" w:rsidRPr="00400794" w:rsidRDefault="00A344C2" w:rsidP="00A344C2">
      <w:pPr>
        <w:spacing w:after="0"/>
      </w:pPr>
      <w:r w:rsidRPr="009206A3">
        <w:rPr>
          <w:i/>
        </w:rPr>
        <w:t xml:space="preserve">Required: </w:t>
      </w:r>
    </w:p>
    <w:p w:rsidR="009E75CF" w:rsidRDefault="009E75CF" w:rsidP="00C128E8">
      <w:pPr>
        <w:pStyle w:val="ListParagraph"/>
        <w:numPr>
          <w:ilvl w:val="0"/>
          <w:numId w:val="5"/>
        </w:numPr>
        <w:spacing w:after="0"/>
        <w:ind w:left="714" w:hanging="357"/>
      </w:pPr>
      <w:proofErr w:type="spellStart"/>
      <w:r>
        <w:t>Lavenex</w:t>
      </w:r>
      <w:proofErr w:type="spellEnd"/>
      <w:r>
        <w:t xml:space="preserve">, S., </w:t>
      </w:r>
      <w:proofErr w:type="spellStart"/>
      <w:r>
        <w:t>Schimmelfennig</w:t>
      </w:r>
      <w:proofErr w:type="spellEnd"/>
      <w:r>
        <w:t xml:space="preserve">, F., (2009). “EU rules beyond EU borders: theorizing external governance in European politics”. </w:t>
      </w:r>
      <w:r w:rsidRPr="009E75CF">
        <w:rPr>
          <w:i/>
        </w:rPr>
        <w:t>Journal of European Public Policy,</w:t>
      </w:r>
      <w:r>
        <w:t xml:space="preserve"> Vol. 16 (6), (pp. 791–812).</w:t>
      </w:r>
    </w:p>
    <w:p w:rsidR="00BF5846" w:rsidRDefault="00BF5846" w:rsidP="00C128E8">
      <w:pPr>
        <w:pStyle w:val="ListParagraph"/>
        <w:numPr>
          <w:ilvl w:val="0"/>
          <w:numId w:val="5"/>
        </w:numPr>
        <w:spacing w:after="0"/>
        <w:ind w:left="714" w:hanging="357"/>
      </w:pPr>
      <w:proofErr w:type="spellStart"/>
      <w:r w:rsidRPr="00BF5846">
        <w:t>Sakwa</w:t>
      </w:r>
      <w:proofErr w:type="spellEnd"/>
      <w:r w:rsidRPr="00BF5846">
        <w:t>, Richard</w:t>
      </w:r>
      <w:r>
        <w:t xml:space="preserve"> (2012). “</w:t>
      </w:r>
      <w:r w:rsidRPr="00BF5846">
        <w:t>Looking for a greater Europe. From mutual dependence to an international regime</w:t>
      </w:r>
      <w:r>
        <w:t xml:space="preserve">”. </w:t>
      </w:r>
      <w:r w:rsidRPr="0051372A">
        <w:rPr>
          <w:i/>
        </w:rPr>
        <w:t>Communist and Post-Communist Studies</w:t>
      </w:r>
      <w:r w:rsidR="00F25FAE">
        <w:rPr>
          <w:i/>
        </w:rPr>
        <w:t xml:space="preserve">, </w:t>
      </w:r>
      <w:r w:rsidR="00F25FAE">
        <w:t>Vol.</w:t>
      </w:r>
      <w:r w:rsidRPr="00BF5846">
        <w:t xml:space="preserve"> 45 </w:t>
      </w:r>
      <w:r w:rsidR="00F25FAE">
        <w:t xml:space="preserve">(pp. </w:t>
      </w:r>
      <w:r w:rsidRPr="00BF5846">
        <w:t>315–325</w:t>
      </w:r>
      <w:r w:rsidR="00F25FAE">
        <w:t>)</w:t>
      </w:r>
    </w:p>
    <w:p w:rsidR="00E56B4C" w:rsidRDefault="00E56B4C" w:rsidP="00C128E8">
      <w:pPr>
        <w:pStyle w:val="ListParagraph"/>
        <w:numPr>
          <w:ilvl w:val="0"/>
          <w:numId w:val="5"/>
        </w:numPr>
        <w:spacing w:after="0"/>
        <w:ind w:left="714" w:hanging="357"/>
      </w:pPr>
      <w:proofErr w:type="spellStart"/>
      <w:r w:rsidRPr="00E56B4C">
        <w:t>Zielonka</w:t>
      </w:r>
      <w:proofErr w:type="spellEnd"/>
      <w:r w:rsidRPr="00E56B4C">
        <w:t xml:space="preserve">, </w:t>
      </w:r>
      <w:r>
        <w:t>Jan (</w:t>
      </w:r>
      <w:r w:rsidRPr="00E56B4C">
        <w:t>2008</w:t>
      </w:r>
      <w:r>
        <w:t>)</w:t>
      </w:r>
      <w:r w:rsidRPr="00E56B4C">
        <w:t xml:space="preserve">. </w:t>
      </w:r>
      <w:r>
        <w:t>“</w:t>
      </w:r>
      <w:r w:rsidRPr="00E56B4C">
        <w:t>Europe as a global actor: empire by example?</w:t>
      </w:r>
      <w:proofErr w:type="gramStart"/>
      <w:r>
        <w:t>”</w:t>
      </w:r>
      <w:r w:rsidRPr="00E56B4C">
        <w:t>.</w:t>
      </w:r>
      <w:proofErr w:type="gramEnd"/>
      <w:r w:rsidRPr="00E56B4C">
        <w:t xml:space="preserve"> </w:t>
      </w:r>
      <w:r w:rsidRPr="00E56B4C">
        <w:rPr>
          <w:i/>
        </w:rPr>
        <w:t>International Affairs</w:t>
      </w:r>
      <w:r>
        <w:rPr>
          <w:i/>
        </w:rPr>
        <w:t>,</w:t>
      </w:r>
      <w:r w:rsidRPr="00E56B4C">
        <w:t xml:space="preserve"> </w:t>
      </w:r>
      <w:r>
        <w:t xml:space="preserve">Vol. </w:t>
      </w:r>
      <w:r w:rsidRPr="00E56B4C">
        <w:t>84 (3),</w:t>
      </w:r>
      <w:r>
        <w:t xml:space="preserve"> (pp. </w:t>
      </w:r>
      <w:r w:rsidRPr="00E56B4C">
        <w:t xml:space="preserve"> 471–484</w:t>
      </w:r>
      <w:r>
        <w:t>)</w:t>
      </w:r>
      <w:r w:rsidRPr="00E56B4C">
        <w:t>.</w:t>
      </w:r>
    </w:p>
    <w:p w:rsidR="00D04DE9" w:rsidRDefault="00D04DE9" w:rsidP="00C128E8">
      <w:pPr>
        <w:pStyle w:val="ListParagraph"/>
        <w:numPr>
          <w:ilvl w:val="0"/>
          <w:numId w:val="5"/>
        </w:numPr>
        <w:spacing w:after="0"/>
        <w:ind w:left="714" w:hanging="357"/>
      </w:pPr>
      <w:proofErr w:type="spellStart"/>
      <w:r>
        <w:t>Szent-Iván</w:t>
      </w:r>
      <w:r w:rsidRPr="00D04DE9">
        <w:t>yi</w:t>
      </w:r>
      <w:proofErr w:type="spellEnd"/>
      <w:r>
        <w:t>,</w:t>
      </w:r>
      <w:r w:rsidRPr="00D04DE9">
        <w:t xml:space="preserve"> </w:t>
      </w:r>
      <w:proofErr w:type="spellStart"/>
      <w:r>
        <w:t>Balázs</w:t>
      </w:r>
      <w:proofErr w:type="spellEnd"/>
      <w:r>
        <w:t xml:space="preserve"> (</w:t>
      </w:r>
      <w:r w:rsidRPr="00D04DE9">
        <w:t>2014</w:t>
      </w:r>
      <w:r>
        <w:t xml:space="preserve">). “The EU’s Support for Democratic Governance in the Eastern Neighbourhood: The Role of Transition Experience from the New Member States” </w:t>
      </w:r>
      <w:r w:rsidRPr="00D04DE9">
        <w:rPr>
          <w:i/>
        </w:rPr>
        <w:t>Europe-Asia Studies</w:t>
      </w:r>
      <w:r>
        <w:rPr>
          <w:i/>
        </w:rPr>
        <w:t xml:space="preserve">. </w:t>
      </w:r>
      <w:r w:rsidRPr="00D04DE9">
        <w:t>Vol. 66 (7), (</w:t>
      </w:r>
      <w:r>
        <w:t xml:space="preserve">pp. </w:t>
      </w:r>
      <w:r w:rsidRPr="00D04DE9">
        <w:t>1102–1121</w:t>
      </w:r>
      <w:r>
        <w:t>).</w:t>
      </w:r>
    </w:p>
    <w:p w:rsidR="006F704B" w:rsidRDefault="006F704B" w:rsidP="00C128E8">
      <w:pPr>
        <w:spacing w:after="0"/>
        <w:rPr>
          <w:i/>
        </w:rPr>
      </w:pPr>
    </w:p>
    <w:p w:rsidR="00C128E8" w:rsidRPr="00C128E8" w:rsidRDefault="00C128E8" w:rsidP="00C128E8">
      <w:pPr>
        <w:spacing w:after="0"/>
        <w:rPr>
          <w:i/>
        </w:rPr>
      </w:pPr>
      <w:r w:rsidRPr="00C128E8">
        <w:rPr>
          <w:i/>
        </w:rPr>
        <w:lastRenderedPageBreak/>
        <w:t>Supplementary:</w:t>
      </w:r>
    </w:p>
    <w:p w:rsidR="00F25FAE" w:rsidRDefault="00F25FAE" w:rsidP="00F25FAE">
      <w:pPr>
        <w:pStyle w:val="ListParagraph"/>
        <w:numPr>
          <w:ilvl w:val="0"/>
          <w:numId w:val="5"/>
        </w:numPr>
      </w:pPr>
      <w:proofErr w:type="spellStart"/>
      <w:r>
        <w:t>Krastev</w:t>
      </w:r>
      <w:proofErr w:type="spellEnd"/>
      <w:r>
        <w:t xml:space="preserve">, Ivan </w:t>
      </w:r>
      <w:proofErr w:type="gramStart"/>
      <w:r>
        <w:t>et.al .</w:t>
      </w:r>
      <w:proofErr w:type="gramEnd"/>
      <w:r>
        <w:t xml:space="preserve"> (2010). </w:t>
      </w:r>
      <w:proofErr w:type="gramStart"/>
      <w:r w:rsidRPr="00F25FAE">
        <w:rPr>
          <w:i/>
        </w:rPr>
        <w:t>The</w:t>
      </w:r>
      <w:proofErr w:type="gramEnd"/>
      <w:r w:rsidRPr="00F25FAE">
        <w:rPr>
          <w:i/>
        </w:rPr>
        <w:t xml:space="preserve"> Spectre of a Multipolar Europe</w:t>
      </w:r>
      <w:r>
        <w:t xml:space="preserve">. London: European Council on Foreign Relations. Chapters 1, 2, 6. Available on-line: </w:t>
      </w:r>
      <w:hyperlink r:id="rId8" w:history="1">
        <w:r w:rsidRPr="001F7A85">
          <w:rPr>
            <w:rStyle w:val="Hyperlink"/>
          </w:rPr>
          <w:t>http://ecfr.3cdn.net/d294639d029f24c751_ilm6y7pbp.pdf</w:t>
        </w:r>
      </w:hyperlink>
      <w:r>
        <w:t xml:space="preserve"> </w:t>
      </w:r>
    </w:p>
    <w:p w:rsidR="00A526B0" w:rsidRDefault="0051372A" w:rsidP="00126E6C">
      <w:pPr>
        <w:pStyle w:val="ListParagraph"/>
        <w:numPr>
          <w:ilvl w:val="0"/>
          <w:numId w:val="4"/>
        </w:numPr>
      </w:pPr>
      <w:proofErr w:type="spellStart"/>
      <w:r w:rsidRPr="0051372A">
        <w:t>Howorth</w:t>
      </w:r>
      <w:proofErr w:type="spellEnd"/>
      <w:r w:rsidRPr="0051372A">
        <w:t>, Jolyon</w:t>
      </w:r>
      <w:r>
        <w:t xml:space="preserve"> (</w:t>
      </w:r>
      <w:r w:rsidRPr="0051372A">
        <w:t>2009</w:t>
      </w:r>
      <w:r>
        <w:t>)</w:t>
      </w:r>
      <w:r w:rsidRPr="0051372A">
        <w:t xml:space="preserve">. </w:t>
      </w:r>
      <w:r>
        <w:t>“</w:t>
      </w:r>
      <w:r w:rsidRPr="0051372A">
        <w:t>What Europe Badly Needs Is a “Grand Strategy</w:t>
      </w:r>
      <w:r>
        <w:t>”</w:t>
      </w:r>
      <w:r w:rsidRPr="0051372A">
        <w:t xml:space="preserve">. </w:t>
      </w:r>
      <w:r w:rsidRPr="0051372A">
        <w:rPr>
          <w:i/>
        </w:rPr>
        <w:t>Europe’s World</w:t>
      </w:r>
      <w:r w:rsidRPr="0051372A">
        <w:t xml:space="preserve">. </w:t>
      </w:r>
      <w:r w:rsidR="00F25FAE">
        <w:t xml:space="preserve"> Available on-line</w:t>
      </w:r>
      <w:r>
        <w:t xml:space="preserve">: </w:t>
      </w:r>
      <w:hyperlink r:id="rId9" w:anchor=".VOS1bPnF-So" w:history="1">
        <w:r w:rsidRPr="001F7A85">
          <w:rPr>
            <w:rStyle w:val="Hyperlink"/>
          </w:rPr>
          <w:t>http://europesworld.org/2009/10/01/what-europe-badly-needs-is-a-grand-strategy/#.VOS1bPnF-So</w:t>
        </w:r>
      </w:hyperlink>
      <w:r>
        <w:t xml:space="preserve">] </w:t>
      </w:r>
    </w:p>
    <w:p w:rsidR="006476A7" w:rsidRDefault="004F280C" w:rsidP="004F280C">
      <w:pPr>
        <w:pStyle w:val="Heading2"/>
      </w:pPr>
      <w:proofErr w:type="gramStart"/>
      <w:r>
        <w:t>Session 4.</w:t>
      </w:r>
      <w:proofErr w:type="gramEnd"/>
      <w:r>
        <w:t xml:space="preserve"> </w:t>
      </w:r>
      <w:r w:rsidR="006476A7">
        <w:t>(May 13).</w:t>
      </w:r>
    </w:p>
    <w:p w:rsidR="004F280C" w:rsidRDefault="004F280C" w:rsidP="006476A7">
      <w:pPr>
        <w:pStyle w:val="Heading3"/>
      </w:pPr>
      <w:r w:rsidRPr="004F280C">
        <w:t>Part 3:  The United States and NATO</w:t>
      </w:r>
    </w:p>
    <w:p w:rsidR="000130E4" w:rsidRPr="000130E4" w:rsidRDefault="00B73866" w:rsidP="00B73866">
      <w:pPr>
        <w:jc w:val="both"/>
      </w:pPr>
      <w:r>
        <w:t>As the ultimate winner of the Cold War, the United States enjoyed the era of global dominance in the 1990s and early 2000s. As the world leader they were able to dictate the agenda of international relations. Their major instrument of influence and policies provision in Eurasia has been NATO. US’s and NATO’s unilateral actions, especially NATO’s Eastern expansion, formed the basis for concern of the Russian leadership.</w:t>
      </w:r>
      <w:r w:rsidR="0086698F">
        <w:t xml:space="preserve"> The situation aggravated as the United States, presumably, supported democratization processes in Georgia and Ukraine, known as the Rose and Orange revolutions, and criticized Vladimir Putin for authoritarianism. </w:t>
      </w:r>
    </w:p>
    <w:p w:rsidR="002D1122" w:rsidRPr="009206A3" w:rsidRDefault="002D1122" w:rsidP="002D1122">
      <w:pPr>
        <w:spacing w:after="0"/>
        <w:rPr>
          <w:i/>
        </w:rPr>
      </w:pPr>
      <w:r w:rsidRPr="009206A3">
        <w:rPr>
          <w:i/>
        </w:rPr>
        <w:t xml:space="preserve">Required: </w:t>
      </w:r>
    </w:p>
    <w:p w:rsidR="005C5C21" w:rsidRDefault="005C5C21" w:rsidP="006913A5">
      <w:pPr>
        <w:pStyle w:val="ListParagraph"/>
        <w:numPr>
          <w:ilvl w:val="0"/>
          <w:numId w:val="3"/>
        </w:numPr>
        <w:spacing w:after="0"/>
      </w:pPr>
      <w:r>
        <w:t xml:space="preserve">Roger E. </w:t>
      </w:r>
      <w:proofErr w:type="spellStart"/>
      <w:r>
        <w:t>Kanet</w:t>
      </w:r>
      <w:proofErr w:type="spellEnd"/>
      <w:r>
        <w:t xml:space="preserve"> (2011), “From the “New World Order” to “Resetting Relations”: Two Decades of US-Russian Relations” in </w:t>
      </w:r>
      <w:proofErr w:type="spellStart"/>
      <w:r w:rsidRPr="006913A5">
        <w:t>Kanet</w:t>
      </w:r>
      <w:proofErr w:type="spellEnd"/>
      <w:r>
        <w:t xml:space="preserve">, </w:t>
      </w:r>
      <w:r w:rsidRPr="006913A5">
        <w:t>Roger E.</w:t>
      </w:r>
      <w:r>
        <w:t xml:space="preserve">, ed. </w:t>
      </w:r>
      <w:r w:rsidRPr="006913A5">
        <w:rPr>
          <w:i/>
        </w:rPr>
        <w:t>Russian Foreign Policy in the 21st Century.</w:t>
      </w:r>
      <w:r w:rsidRPr="006913A5">
        <w:t xml:space="preserve"> NY: Palgrave Macmillan</w:t>
      </w:r>
    </w:p>
    <w:p w:rsidR="002D1122" w:rsidRDefault="002D1122" w:rsidP="00A526B0">
      <w:pPr>
        <w:pStyle w:val="ListParagraph"/>
        <w:numPr>
          <w:ilvl w:val="0"/>
          <w:numId w:val="3"/>
        </w:numPr>
        <w:spacing w:after="0"/>
        <w:ind w:left="714" w:hanging="357"/>
      </w:pPr>
      <w:r>
        <w:rPr>
          <w:u w:val="single"/>
        </w:rPr>
        <w:t>Smith, Martin A</w:t>
      </w:r>
      <w:r w:rsidRPr="009206A3">
        <w:rPr>
          <w:u w:val="single"/>
        </w:rPr>
        <w:t>.</w:t>
      </w:r>
      <w:r>
        <w:rPr>
          <w:u w:val="single"/>
        </w:rPr>
        <w:t xml:space="preserve"> (2006)</w:t>
      </w:r>
      <w:r>
        <w:t>, Chapter 02. “Dramatis Personae: Russia and NATO since 1991” (pp.27-50)</w:t>
      </w:r>
    </w:p>
    <w:p w:rsidR="002D1122" w:rsidRDefault="002D1122" w:rsidP="00A526B0">
      <w:pPr>
        <w:pStyle w:val="ListParagraph"/>
        <w:numPr>
          <w:ilvl w:val="0"/>
          <w:numId w:val="3"/>
        </w:numPr>
        <w:spacing w:after="0"/>
        <w:ind w:left="714" w:hanging="357"/>
      </w:pPr>
      <w:r>
        <w:rPr>
          <w:u w:val="single"/>
        </w:rPr>
        <w:t>Smith, Martin A</w:t>
      </w:r>
      <w:r w:rsidRPr="009206A3">
        <w:rPr>
          <w:u w:val="single"/>
        </w:rPr>
        <w:t>.</w:t>
      </w:r>
      <w:r>
        <w:rPr>
          <w:u w:val="single"/>
        </w:rPr>
        <w:t xml:space="preserve"> (2006)</w:t>
      </w:r>
      <w:r>
        <w:t>, Chapter 03. “Unfulfilled partnerships: Russia and NATO from ‘honeymoon’ to Kosovo. (</w:t>
      </w:r>
      <w:proofErr w:type="gramStart"/>
      <w:r>
        <w:t>pp.51-76</w:t>
      </w:r>
      <w:proofErr w:type="gramEnd"/>
      <w:r>
        <w:t>).</w:t>
      </w:r>
    </w:p>
    <w:p w:rsidR="002D1122" w:rsidRPr="009206A3" w:rsidRDefault="002D1122" w:rsidP="002D1122">
      <w:pPr>
        <w:spacing w:after="0"/>
        <w:rPr>
          <w:i/>
        </w:rPr>
      </w:pPr>
      <w:r>
        <w:rPr>
          <w:i/>
        </w:rPr>
        <w:t>Supplementary</w:t>
      </w:r>
      <w:r w:rsidRPr="009206A3">
        <w:rPr>
          <w:i/>
        </w:rPr>
        <w:t>:</w:t>
      </w:r>
    </w:p>
    <w:p w:rsidR="005C5C21" w:rsidRDefault="005C5C21" w:rsidP="00A526B0">
      <w:pPr>
        <w:pStyle w:val="ListParagraph"/>
        <w:numPr>
          <w:ilvl w:val="0"/>
          <w:numId w:val="3"/>
        </w:numPr>
        <w:spacing w:after="0"/>
        <w:ind w:left="714" w:hanging="357"/>
      </w:pPr>
      <w:r>
        <w:rPr>
          <w:u w:val="single"/>
        </w:rPr>
        <w:t>Smith, Martin A</w:t>
      </w:r>
      <w:r w:rsidRPr="009206A3">
        <w:rPr>
          <w:u w:val="single"/>
        </w:rPr>
        <w:t>.</w:t>
      </w:r>
      <w:r>
        <w:rPr>
          <w:u w:val="single"/>
        </w:rPr>
        <w:t xml:space="preserve"> (2012)</w:t>
      </w:r>
      <w:r>
        <w:t xml:space="preserve">, </w:t>
      </w:r>
      <w:r w:rsidRPr="009206A3">
        <w:t>Chapter 03</w:t>
      </w:r>
      <w:r>
        <w:t>.</w:t>
      </w:r>
      <w:r w:rsidRPr="009206A3">
        <w:t xml:space="preserve"> </w:t>
      </w:r>
      <w:r>
        <w:t xml:space="preserve">“Hegemony, </w:t>
      </w:r>
      <w:proofErr w:type="spellStart"/>
      <w:r>
        <w:t>Unipolarity</w:t>
      </w:r>
      <w:proofErr w:type="spellEnd"/>
      <w:r>
        <w:t xml:space="preserve"> and the US” (pp. 34-51)</w:t>
      </w:r>
    </w:p>
    <w:p w:rsidR="002D1122" w:rsidRDefault="002D1122" w:rsidP="00A526B0">
      <w:pPr>
        <w:pStyle w:val="ListParagraph"/>
        <w:numPr>
          <w:ilvl w:val="0"/>
          <w:numId w:val="3"/>
        </w:numPr>
        <w:spacing w:after="0"/>
        <w:ind w:left="714" w:hanging="357"/>
      </w:pPr>
      <w:r>
        <w:rPr>
          <w:u w:val="single"/>
        </w:rPr>
        <w:t>Smith, Martin A</w:t>
      </w:r>
      <w:r w:rsidRPr="009206A3">
        <w:rPr>
          <w:u w:val="single"/>
        </w:rPr>
        <w:t>.</w:t>
      </w:r>
      <w:r>
        <w:rPr>
          <w:u w:val="single"/>
        </w:rPr>
        <w:t xml:space="preserve"> (2012)</w:t>
      </w:r>
      <w:r>
        <w:t xml:space="preserve">, </w:t>
      </w:r>
      <w:r w:rsidRPr="009206A3">
        <w:t>Chapter 0</w:t>
      </w:r>
      <w:r>
        <w:t>4. “The Multipolar Moment? The US and the World in the 1990s” (p.52-70)</w:t>
      </w:r>
    </w:p>
    <w:p w:rsidR="006476A7" w:rsidRDefault="00A07C6C" w:rsidP="004F280C">
      <w:pPr>
        <w:pStyle w:val="Heading2"/>
      </w:pPr>
      <w:proofErr w:type="gramStart"/>
      <w:r w:rsidRPr="00A07C6C">
        <w:t xml:space="preserve">Session </w:t>
      </w:r>
      <w:r>
        <w:t>5</w:t>
      </w:r>
      <w:r w:rsidRPr="00A07C6C">
        <w:t>.</w:t>
      </w:r>
      <w:proofErr w:type="gramEnd"/>
      <w:r w:rsidRPr="00A07C6C">
        <w:t xml:space="preserve"> </w:t>
      </w:r>
      <w:r w:rsidR="006476A7">
        <w:t>(May 20).</w:t>
      </w:r>
    </w:p>
    <w:p w:rsidR="004F280C" w:rsidRDefault="004F280C" w:rsidP="006476A7">
      <w:pPr>
        <w:pStyle w:val="Heading3"/>
      </w:pPr>
      <w:r w:rsidRPr="004F280C">
        <w:t>Part 4:  China's pretentions for regional and global domination</w:t>
      </w:r>
    </w:p>
    <w:p w:rsidR="0086698F" w:rsidRPr="0086698F" w:rsidRDefault="0086698F" w:rsidP="009204D8">
      <w:pPr>
        <w:spacing w:after="120"/>
        <w:jc w:val="both"/>
      </w:pPr>
      <w:r>
        <w:t xml:space="preserve">Following its acceptance to the World Trade Organization, China showed tremendous rates of growth and established itself as the second largest single economy in the world. It has become the obvious centre of gravity in Asia and started to influence politics on the global level. The communist leadership of modern China conducts accurate policies </w:t>
      </w:r>
      <w:r w:rsidR="001E36BF">
        <w:t>of neutrality, keeping the country outside of contemporary confrontation between Russia and the West, slowly enforcing its economic ties with oil and gas-rich Russia. The seminar will discuss the nature of Chinese foreign policy agenda and its implications for the future world order.</w:t>
      </w:r>
    </w:p>
    <w:p w:rsidR="00C11AEE" w:rsidRPr="009206A3" w:rsidRDefault="00C11AEE" w:rsidP="00C11AEE">
      <w:pPr>
        <w:spacing w:after="0"/>
        <w:rPr>
          <w:i/>
        </w:rPr>
      </w:pPr>
      <w:r w:rsidRPr="009206A3">
        <w:rPr>
          <w:i/>
        </w:rPr>
        <w:t xml:space="preserve">Required: </w:t>
      </w:r>
    </w:p>
    <w:p w:rsidR="00C11AEE" w:rsidRDefault="00C11AEE" w:rsidP="00A526B0">
      <w:pPr>
        <w:pStyle w:val="ListParagraph"/>
        <w:numPr>
          <w:ilvl w:val="0"/>
          <w:numId w:val="3"/>
        </w:numPr>
        <w:spacing w:after="0"/>
        <w:ind w:left="714" w:hanging="357"/>
      </w:pPr>
      <w:r>
        <w:rPr>
          <w:u w:val="single"/>
        </w:rPr>
        <w:t>Smith, Martin A</w:t>
      </w:r>
      <w:r w:rsidRPr="009206A3">
        <w:rPr>
          <w:u w:val="single"/>
        </w:rPr>
        <w:t>.</w:t>
      </w:r>
      <w:r>
        <w:rPr>
          <w:u w:val="single"/>
        </w:rPr>
        <w:t xml:space="preserve"> (2012)</w:t>
      </w:r>
      <w:r>
        <w:t xml:space="preserve">, </w:t>
      </w:r>
      <w:r w:rsidRPr="009206A3">
        <w:t>Chapter 0</w:t>
      </w:r>
      <w:r>
        <w:t>9.</w:t>
      </w:r>
      <w:r w:rsidRPr="009206A3">
        <w:t xml:space="preserve"> </w:t>
      </w:r>
      <w:r>
        <w:t>“China: ‘Rising Power’ or ‘C</w:t>
      </w:r>
      <w:r w:rsidR="004F0B7F">
        <w:t>onstrained State’.” pp. 148-165</w:t>
      </w:r>
    </w:p>
    <w:p w:rsidR="00C11AEE" w:rsidRDefault="00C11AEE" w:rsidP="00A526B0">
      <w:pPr>
        <w:pStyle w:val="ListParagraph"/>
        <w:numPr>
          <w:ilvl w:val="0"/>
          <w:numId w:val="3"/>
        </w:numPr>
        <w:spacing w:after="0"/>
        <w:ind w:left="714" w:hanging="357"/>
      </w:pPr>
      <w:r>
        <w:rPr>
          <w:u w:val="single"/>
        </w:rPr>
        <w:lastRenderedPageBreak/>
        <w:t>Smith, Martin A</w:t>
      </w:r>
      <w:r w:rsidRPr="009206A3">
        <w:rPr>
          <w:u w:val="single"/>
        </w:rPr>
        <w:t>.</w:t>
      </w:r>
      <w:r>
        <w:rPr>
          <w:u w:val="single"/>
        </w:rPr>
        <w:t xml:space="preserve"> (2012)</w:t>
      </w:r>
      <w:r>
        <w:t xml:space="preserve">, </w:t>
      </w:r>
      <w:r w:rsidRPr="009206A3">
        <w:t xml:space="preserve">Chapter </w:t>
      </w:r>
      <w:r>
        <w:t>10.</w:t>
      </w:r>
      <w:r w:rsidRPr="009206A3">
        <w:t xml:space="preserve"> </w:t>
      </w:r>
      <w:r>
        <w:t>“China, ‘Anti-</w:t>
      </w:r>
      <w:proofErr w:type="spellStart"/>
      <w:r>
        <w:t>Hegemonism</w:t>
      </w:r>
      <w:proofErr w:type="spellEnd"/>
      <w:r>
        <w:t>’ and ‘Harmony’</w:t>
      </w:r>
      <w:r w:rsidR="004F0B7F">
        <w:t>.</w:t>
      </w:r>
      <w:r>
        <w:t>” pp. 166-181</w:t>
      </w:r>
    </w:p>
    <w:p w:rsidR="009204D8" w:rsidRPr="009204D8" w:rsidRDefault="009204D8" w:rsidP="009204D8">
      <w:pPr>
        <w:spacing w:after="0"/>
        <w:rPr>
          <w:i/>
        </w:rPr>
      </w:pPr>
      <w:r w:rsidRPr="009204D8">
        <w:rPr>
          <w:i/>
        </w:rPr>
        <w:t>Supplementary:</w:t>
      </w:r>
    </w:p>
    <w:p w:rsidR="004F0B7F" w:rsidRDefault="004F0B7F" w:rsidP="004F0B7F">
      <w:pPr>
        <w:pStyle w:val="ListParagraph"/>
        <w:numPr>
          <w:ilvl w:val="0"/>
          <w:numId w:val="3"/>
        </w:numPr>
        <w:spacing w:after="0"/>
      </w:pPr>
      <w:proofErr w:type="spellStart"/>
      <w:r>
        <w:t>Kropatcheva</w:t>
      </w:r>
      <w:proofErr w:type="spellEnd"/>
      <w:r>
        <w:t xml:space="preserve">, Elena (2014). “NATO-Russia Relations and the Chinese Factor: An Ignored Variable.” </w:t>
      </w:r>
      <w:r w:rsidR="009204D8" w:rsidRPr="009204D8">
        <w:rPr>
          <w:i/>
        </w:rPr>
        <w:t>Politics</w:t>
      </w:r>
      <w:r w:rsidR="009204D8">
        <w:rPr>
          <w:i/>
        </w:rPr>
        <w:t>,</w:t>
      </w:r>
      <w:r w:rsidR="009204D8" w:rsidRPr="009204D8">
        <w:rPr>
          <w:i/>
        </w:rPr>
        <w:t xml:space="preserve"> </w:t>
      </w:r>
      <w:r>
        <w:t>Vol</w:t>
      </w:r>
      <w:r w:rsidR="009204D8">
        <w:t xml:space="preserve">. </w:t>
      </w:r>
      <w:r>
        <w:t xml:space="preserve">34 </w:t>
      </w:r>
      <w:r w:rsidR="009204D8">
        <w:t>(</w:t>
      </w:r>
      <w:r>
        <w:t>2</w:t>
      </w:r>
      <w:r w:rsidR="009204D8">
        <w:t xml:space="preserve">), pp. </w:t>
      </w:r>
      <w:r>
        <w:t xml:space="preserve"> 149-160</w:t>
      </w:r>
    </w:p>
    <w:p w:rsidR="009204D8" w:rsidRDefault="009204D8" w:rsidP="009204D8">
      <w:pPr>
        <w:pStyle w:val="ListParagraph"/>
        <w:numPr>
          <w:ilvl w:val="0"/>
          <w:numId w:val="3"/>
        </w:numPr>
        <w:spacing w:after="0"/>
        <w:jc w:val="both"/>
      </w:pPr>
      <w:r>
        <w:t xml:space="preserve">Zhang, Jian (2014). “The domestic sources of China's more assertive foreign policy”. </w:t>
      </w:r>
      <w:r w:rsidRPr="009204D8">
        <w:rPr>
          <w:i/>
        </w:rPr>
        <w:t>International Politics</w:t>
      </w:r>
      <w:r>
        <w:rPr>
          <w:i/>
        </w:rPr>
        <w:t>,</w:t>
      </w:r>
      <w:r w:rsidRPr="009204D8">
        <w:rPr>
          <w:i/>
        </w:rPr>
        <w:t xml:space="preserve">  </w:t>
      </w:r>
      <w:r>
        <w:t>Vol. 51 (3),  pp. 390-397</w:t>
      </w:r>
    </w:p>
    <w:p w:rsidR="00653A26" w:rsidRPr="006C4AEF" w:rsidRDefault="00A07C6C" w:rsidP="00653A26">
      <w:pPr>
        <w:spacing w:before="200"/>
        <w:rPr>
          <w:b/>
          <w:sz w:val="26"/>
          <w:szCs w:val="26"/>
          <w:u w:val="single"/>
        </w:rPr>
      </w:pPr>
      <w:r w:rsidRPr="006C4AEF">
        <w:rPr>
          <w:b/>
          <w:sz w:val="26"/>
          <w:szCs w:val="26"/>
          <w:u w:val="single"/>
        </w:rPr>
        <w:t xml:space="preserve">Exploring cases: critical moments in </w:t>
      </w:r>
      <w:r w:rsidR="004F3805" w:rsidRPr="006C4AEF">
        <w:rPr>
          <w:b/>
          <w:sz w:val="26"/>
          <w:szCs w:val="26"/>
          <w:u w:val="single"/>
        </w:rPr>
        <w:t xml:space="preserve">the </w:t>
      </w:r>
      <w:r w:rsidRPr="006C4AEF">
        <w:rPr>
          <w:b/>
          <w:sz w:val="26"/>
          <w:szCs w:val="26"/>
          <w:u w:val="single"/>
        </w:rPr>
        <w:t>post-Soviet development of Eurasia</w:t>
      </w:r>
    </w:p>
    <w:p w:rsidR="006476A7" w:rsidRDefault="00A07C6C" w:rsidP="004F3805">
      <w:pPr>
        <w:pStyle w:val="Heading2"/>
      </w:pPr>
      <w:proofErr w:type="gramStart"/>
      <w:r>
        <w:t>Session 6.</w:t>
      </w:r>
      <w:proofErr w:type="gramEnd"/>
      <w:r>
        <w:t xml:space="preserve"> </w:t>
      </w:r>
      <w:r w:rsidR="006476A7">
        <w:t>(May 25).</w:t>
      </w:r>
    </w:p>
    <w:p w:rsidR="00D852C6" w:rsidRPr="00D852C6" w:rsidRDefault="004F3805" w:rsidP="00D852C6">
      <w:pPr>
        <w:pStyle w:val="Heading3"/>
      </w:pPr>
      <w:r w:rsidRPr="00A07C6C">
        <w:t xml:space="preserve">Foreign policy on the edge of millennia: Yugoslavia, Kosovo and </w:t>
      </w:r>
      <w:r w:rsidR="00D852C6">
        <w:t>the p</w:t>
      </w:r>
      <w:r w:rsidR="00D852C6" w:rsidRPr="00A07C6C">
        <w:t xml:space="preserve">ost 9/11 global agenda and its implications in Eurasia. </w:t>
      </w:r>
    </w:p>
    <w:p w:rsidR="004E02E5" w:rsidRPr="00766C1F" w:rsidRDefault="004E02E5" w:rsidP="004E02E5">
      <w:pPr>
        <w:jc w:val="both"/>
        <w:rPr>
          <w:b/>
          <w:i/>
        </w:rPr>
      </w:pPr>
      <w:r>
        <w:rPr>
          <w:b/>
          <w:i/>
        </w:rPr>
        <w:t>(!!!) 1</w:t>
      </w:r>
      <w:r w:rsidRPr="00766C1F">
        <w:rPr>
          <w:b/>
          <w:i/>
          <w:vertAlign w:val="superscript"/>
        </w:rPr>
        <w:t>st</w:t>
      </w:r>
      <w:r>
        <w:rPr>
          <w:b/>
          <w:i/>
        </w:rPr>
        <w:t xml:space="preserve"> policy brief is due</w:t>
      </w:r>
    </w:p>
    <w:p w:rsidR="001E36BF" w:rsidRDefault="001E36BF" w:rsidP="00D852C6">
      <w:pPr>
        <w:spacing w:after="0"/>
        <w:jc w:val="both"/>
      </w:pPr>
      <w:r>
        <w:t xml:space="preserve">The 1999 NATO military operation in Yugoslavia was the first sign of growing disagreement between Russia and its Western partners. Moreover, the process of Kosovo independence and the way it was conducted has had the long-term repercussions for international law. The “Kosovo case” was used by the Russian leadership to justify its actions in Georgia and Ukraine. </w:t>
      </w:r>
    </w:p>
    <w:p w:rsidR="00D852C6" w:rsidRDefault="00D852C6" w:rsidP="001E36BF">
      <w:pPr>
        <w:jc w:val="both"/>
      </w:pPr>
      <w:r>
        <w:t xml:space="preserve">Following the dramatic terrorist acts in the United States, President George W. Bush proclaimed the global war on terrorism. </w:t>
      </w:r>
      <w:r w:rsidRPr="00D852C6">
        <w:t>This initiative was openly encouraged by Russia, where Islamic terrorism had been the growing issue on the edge of the millennia. For a short period of time it seemed that the United States and Russia seemingly found the grounds for long-term partnership and cooperation.</w:t>
      </w:r>
      <w:r>
        <w:t xml:space="preserve"> Yet, the following US initiatives in Iraq and policies against Iran (most notably the program of deployment of anti-missile systems in Europe) returned the conflictual rhetoric. During this session we will discuss the reasons why the anti-terrorist agenda has not become the solid ground for US-Russia cooperation in the 21</w:t>
      </w:r>
      <w:r w:rsidRPr="00576812">
        <w:rPr>
          <w:vertAlign w:val="superscript"/>
        </w:rPr>
        <w:t>st</w:t>
      </w:r>
      <w:r>
        <w:t xml:space="preserve"> century.</w:t>
      </w:r>
    </w:p>
    <w:p w:rsidR="004F3805" w:rsidRPr="009206A3" w:rsidRDefault="004F3805" w:rsidP="004F3805">
      <w:pPr>
        <w:spacing w:after="0"/>
        <w:rPr>
          <w:i/>
        </w:rPr>
      </w:pPr>
      <w:r w:rsidRPr="009206A3">
        <w:rPr>
          <w:i/>
        </w:rPr>
        <w:t xml:space="preserve">Required: </w:t>
      </w:r>
    </w:p>
    <w:p w:rsidR="004F3805" w:rsidRDefault="004F3805" w:rsidP="00A526B0">
      <w:pPr>
        <w:pStyle w:val="ListParagraph"/>
        <w:numPr>
          <w:ilvl w:val="0"/>
          <w:numId w:val="3"/>
        </w:numPr>
        <w:spacing w:after="0"/>
        <w:ind w:left="714" w:hanging="357"/>
      </w:pPr>
      <w:r>
        <w:rPr>
          <w:u w:val="single"/>
        </w:rPr>
        <w:t>Smith, Martin A</w:t>
      </w:r>
      <w:r w:rsidRPr="009206A3">
        <w:rPr>
          <w:u w:val="single"/>
        </w:rPr>
        <w:t>.</w:t>
      </w:r>
      <w:r>
        <w:rPr>
          <w:u w:val="single"/>
        </w:rPr>
        <w:t xml:space="preserve"> (2006)</w:t>
      </w:r>
      <w:r>
        <w:t xml:space="preserve">, </w:t>
      </w:r>
      <w:r w:rsidRPr="009206A3">
        <w:t>Chapter 0</w:t>
      </w:r>
      <w:r>
        <w:t>4.</w:t>
      </w:r>
      <w:r w:rsidRPr="009206A3">
        <w:t xml:space="preserve"> </w:t>
      </w:r>
      <w:r>
        <w:t>“The Kosovo Crisis” (pp. 77-89).</w:t>
      </w:r>
    </w:p>
    <w:p w:rsidR="00D852C6" w:rsidRDefault="00D852C6" w:rsidP="00D852C6">
      <w:pPr>
        <w:pStyle w:val="ListParagraph"/>
        <w:numPr>
          <w:ilvl w:val="0"/>
          <w:numId w:val="3"/>
        </w:numPr>
      </w:pPr>
      <w:r>
        <w:rPr>
          <w:u w:val="single"/>
        </w:rPr>
        <w:t>Smith, Martin A</w:t>
      </w:r>
      <w:r w:rsidRPr="009206A3">
        <w:rPr>
          <w:u w:val="single"/>
        </w:rPr>
        <w:t>.</w:t>
      </w:r>
      <w:r>
        <w:rPr>
          <w:u w:val="single"/>
        </w:rPr>
        <w:t xml:space="preserve"> (2006)</w:t>
      </w:r>
      <w:r>
        <w:t xml:space="preserve">, </w:t>
      </w:r>
      <w:r w:rsidRPr="009206A3">
        <w:t>Chapter 0</w:t>
      </w:r>
      <w:r>
        <w:t>5.</w:t>
      </w:r>
      <w:r w:rsidRPr="009206A3">
        <w:t xml:space="preserve"> </w:t>
      </w:r>
      <w:r>
        <w:t>“The new millennium: September 11, Iraq and the NATO-Russia Council” (pp. 89-105)</w:t>
      </w:r>
    </w:p>
    <w:p w:rsidR="00D852C6" w:rsidRPr="00F23EAD" w:rsidRDefault="00D852C6" w:rsidP="00D852C6">
      <w:pPr>
        <w:pStyle w:val="ListParagraph"/>
        <w:numPr>
          <w:ilvl w:val="0"/>
          <w:numId w:val="3"/>
        </w:numPr>
      </w:pPr>
      <w:proofErr w:type="spellStart"/>
      <w:r w:rsidRPr="009206A3">
        <w:rPr>
          <w:u w:val="single"/>
        </w:rPr>
        <w:t>Tsygankov</w:t>
      </w:r>
      <w:proofErr w:type="spellEnd"/>
      <w:r w:rsidRPr="009206A3">
        <w:rPr>
          <w:u w:val="single"/>
        </w:rPr>
        <w:t>, Andrei P.</w:t>
      </w:r>
      <w:r>
        <w:t xml:space="preserve">, </w:t>
      </w:r>
      <w:r w:rsidRPr="00F23EAD">
        <w:t>Chapter 05</w:t>
      </w:r>
      <w:r>
        <w:t>.</w:t>
      </w:r>
      <w:r w:rsidRPr="00F23EAD">
        <w:t xml:space="preserve"> </w:t>
      </w:r>
      <w:r>
        <w:t>“</w:t>
      </w:r>
      <w:r w:rsidRPr="00F23EAD">
        <w:t>The World after September 11 and Pragmatic Cooperation</w:t>
      </w:r>
      <w:r>
        <w:t>” (pp. 133-174).</w:t>
      </w:r>
    </w:p>
    <w:p w:rsidR="005C5C21" w:rsidRDefault="005C5C21" w:rsidP="005C5C21">
      <w:pPr>
        <w:pStyle w:val="ListParagraph"/>
        <w:numPr>
          <w:ilvl w:val="0"/>
          <w:numId w:val="3"/>
        </w:numPr>
        <w:spacing w:after="0"/>
      </w:pPr>
      <w:proofErr w:type="spellStart"/>
      <w:r w:rsidRPr="005C5C21">
        <w:t>Tsygankov</w:t>
      </w:r>
      <w:proofErr w:type="spellEnd"/>
      <w:r w:rsidRPr="005C5C21">
        <w:t xml:space="preserve">, Andrei P. (2001). </w:t>
      </w:r>
      <w:r>
        <w:t>“</w:t>
      </w:r>
      <w:r w:rsidRPr="005C5C21">
        <w:t xml:space="preserve">The final triumph of the </w:t>
      </w:r>
      <w:proofErr w:type="spellStart"/>
      <w:r w:rsidRPr="005C5C21">
        <w:t>Pax</w:t>
      </w:r>
      <w:proofErr w:type="spellEnd"/>
      <w:r w:rsidRPr="005C5C21">
        <w:t xml:space="preserve"> Americana? Western intervention in Yugoslavia and Russia's debate on the post-Cold War order</w:t>
      </w:r>
      <w:r>
        <w:t xml:space="preserve">”. </w:t>
      </w:r>
      <w:r w:rsidRPr="005C5C21">
        <w:rPr>
          <w:i/>
        </w:rPr>
        <w:t>Communist and Post-Communist Studies</w:t>
      </w:r>
      <w:r>
        <w:rPr>
          <w:i/>
        </w:rPr>
        <w:t xml:space="preserve">, </w:t>
      </w:r>
      <w:r w:rsidRPr="005C5C21">
        <w:t>Vol</w:t>
      </w:r>
      <w:r>
        <w:t xml:space="preserve">. </w:t>
      </w:r>
      <w:r w:rsidRPr="005C5C21">
        <w:t>34</w:t>
      </w:r>
      <w:r>
        <w:t xml:space="preserve"> (</w:t>
      </w:r>
      <w:r w:rsidRPr="005C5C21">
        <w:t>2</w:t>
      </w:r>
      <w:r>
        <w:t>)</w:t>
      </w:r>
      <w:r w:rsidRPr="005C5C21">
        <w:t xml:space="preserve">, </w:t>
      </w:r>
      <w:r>
        <w:t xml:space="preserve">pp. </w:t>
      </w:r>
      <w:r w:rsidRPr="005C5C21">
        <w:t>133–156</w:t>
      </w:r>
    </w:p>
    <w:p w:rsidR="005C5C21" w:rsidRDefault="005C5C21" w:rsidP="005C5C21">
      <w:pPr>
        <w:pStyle w:val="ListParagraph"/>
        <w:numPr>
          <w:ilvl w:val="0"/>
          <w:numId w:val="3"/>
        </w:numPr>
        <w:spacing w:after="0"/>
      </w:pPr>
      <w:r w:rsidRPr="005C5C21">
        <w:t>Adam Roberts</w:t>
      </w:r>
      <w:r>
        <w:t xml:space="preserve"> (1999). “</w:t>
      </w:r>
      <w:r w:rsidRPr="005C5C21">
        <w:t>NATO's ‘Humanitarian War’ over Kosovo</w:t>
      </w:r>
      <w:r>
        <w:t xml:space="preserve">”. </w:t>
      </w:r>
      <w:r w:rsidRPr="005C5C21">
        <w:rPr>
          <w:i/>
        </w:rPr>
        <w:t>Survival: Global Politics and Strategy</w:t>
      </w:r>
      <w:r>
        <w:rPr>
          <w:i/>
        </w:rPr>
        <w:t xml:space="preserve">, </w:t>
      </w:r>
      <w:r>
        <w:t xml:space="preserve">Vol. 41 (3), pp. </w:t>
      </w:r>
      <w:r w:rsidRPr="005C5C21">
        <w:t>102-123</w:t>
      </w:r>
      <w:r>
        <w:t>.</w:t>
      </w:r>
    </w:p>
    <w:p w:rsidR="00C128E8" w:rsidRPr="00C128E8" w:rsidRDefault="00C128E8" w:rsidP="00C128E8">
      <w:pPr>
        <w:spacing w:after="0"/>
        <w:rPr>
          <w:i/>
        </w:rPr>
      </w:pPr>
      <w:r w:rsidRPr="00C128E8">
        <w:rPr>
          <w:i/>
        </w:rPr>
        <w:t>Supplementary:</w:t>
      </w:r>
    </w:p>
    <w:p w:rsidR="00D852C6" w:rsidRPr="00BF5846" w:rsidRDefault="00D852C6" w:rsidP="00D852C6">
      <w:pPr>
        <w:pStyle w:val="ListParagraph"/>
        <w:numPr>
          <w:ilvl w:val="0"/>
          <w:numId w:val="3"/>
        </w:numPr>
      </w:pPr>
      <w:r>
        <w:rPr>
          <w:u w:val="single"/>
        </w:rPr>
        <w:t>Smith, Martin A. (2012)</w:t>
      </w:r>
      <w:r w:rsidRPr="00BF5846">
        <w:t>, Chapter 05. “A New Era? The George W. Bush Administration’s ‘War on Terror’” (pp. 71-91)</w:t>
      </w:r>
    </w:p>
    <w:p w:rsidR="005C5C21" w:rsidRDefault="005C5C21" w:rsidP="005C5C21">
      <w:pPr>
        <w:pStyle w:val="ListParagraph"/>
        <w:numPr>
          <w:ilvl w:val="0"/>
          <w:numId w:val="3"/>
        </w:numPr>
        <w:spacing w:after="0"/>
      </w:pPr>
      <w:r>
        <w:lastRenderedPageBreak/>
        <w:t xml:space="preserve">Lynch, </w:t>
      </w:r>
      <w:proofErr w:type="spellStart"/>
      <w:r>
        <w:t>Dov</w:t>
      </w:r>
      <w:proofErr w:type="spellEnd"/>
      <w:r>
        <w:t xml:space="preserve"> (1999). “</w:t>
      </w:r>
      <w:r w:rsidRPr="005C5C21">
        <w:t>‘Walking the tightrope’: The Kosovo conflict and Russia in European security, 1998–August 1999</w:t>
      </w:r>
      <w:r>
        <w:t xml:space="preserve">”. </w:t>
      </w:r>
      <w:r w:rsidRPr="005C5C21">
        <w:rPr>
          <w:i/>
        </w:rPr>
        <w:t>European Security</w:t>
      </w:r>
      <w:r>
        <w:rPr>
          <w:i/>
        </w:rPr>
        <w:t xml:space="preserve">, </w:t>
      </w:r>
      <w:r>
        <w:t xml:space="preserve">Vol. 8 (4), pp. </w:t>
      </w:r>
      <w:r w:rsidRPr="005C5C21">
        <w:t>57-83</w:t>
      </w:r>
    </w:p>
    <w:p w:rsidR="00075B81" w:rsidRDefault="00075B81" w:rsidP="00075B81">
      <w:pPr>
        <w:pStyle w:val="ListParagraph"/>
        <w:numPr>
          <w:ilvl w:val="0"/>
          <w:numId w:val="3"/>
        </w:numPr>
        <w:spacing w:after="0"/>
      </w:pPr>
      <w:proofErr w:type="spellStart"/>
      <w:r>
        <w:t>Antonenko</w:t>
      </w:r>
      <w:proofErr w:type="spellEnd"/>
      <w:r>
        <w:t>, Oksana (2007). “</w:t>
      </w:r>
      <w:r w:rsidRPr="00075B81">
        <w:t>Russia and the Deadlock over Kosovo</w:t>
      </w:r>
      <w:r>
        <w:t xml:space="preserve">”. </w:t>
      </w:r>
      <w:r w:rsidRPr="00075B81">
        <w:rPr>
          <w:i/>
        </w:rPr>
        <w:t>Survival: Global Politics and Strategy</w:t>
      </w:r>
      <w:r>
        <w:rPr>
          <w:i/>
        </w:rPr>
        <w:t>.</w:t>
      </w:r>
      <w:r>
        <w:t xml:space="preserve"> Vol. 49 (3), pp. </w:t>
      </w:r>
      <w:r w:rsidRPr="00075B81">
        <w:t>91-106</w:t>
      </w:r>
    </w:p>
    <w:p w:rsidR="006476A7" w:rsidRDefault="00A07C6C" w:rsidP="004F3805">
      <w:pPr>
        <w:pStyle w:val="Heading2"/>
      </w:pPr>
      <w:proofErr w:type="gramStart"/>
      <w:r>
        <w:t>Session 7.</w:t>
      </w:r>
      <w:proofErr w:type="gramEnd"/>
      <w:r>
        <w:t xml:space="preserve"> </w:t>
      </w:r>
      <w:r w:rsidR="006476A7">
        <w:t>(May 27).</w:t>
      </w:r>
    </w:p>
    <w:p w:rsidR="00D852C6" w:rsidRDefault="00D852C6" w:rsidP="00D852C6">
      <w:pPr>
        <w:pStyle w:val="Heading3"/>
      </w:pPr>
      <w:r w:rsidRPr="00A07C6C">
        <w:t xml:space="preserve">NATO Eastern Expansion: conflicting discourses, Russia's resistance and reconciliation attempts </w:t>
      </w:r>
    </w:p>
    <w:p w:rsidR="004E02E5" w:rsidRPr="00766C1F" w:rsidRDefault="004E02E5" w:rsidP="004E02E5">
      <w:pPr>
        <w:jc w:val="both"/>
        <w:rPr>
          <w:b/>
          <w:i/>
        </w:rPr>
      </w:pPr>
      <w:r>
        <w:rPr>
          <w:b/>
          <w:i/>
        </w:rPr>
        <w:t>(!!!) 2</w:t>
      </w:r>
      <w:r w:rsidRPr="00766C1F">
        <w:rPr>
          <w:b/>
          <w:i/>
          <w:vertAlign w:val="superscript"/>
        </w:rPr>
        <w:t>nd</w:t>
      </w:r>
      <w:r>
        <w:rPr>
          <w:b/>
          <w:i/>
        </w:rPr>
        <w:t xml:space="preserve"> policy brief is due</w:t>
      </w:r>
    </w:p>
    <w:p w:rsidR="00D852C6" w:rsidRDefault="00D852C6" w:rsidP="00D852C6">
      <w:pPr>
        <w:jc w:val="both"/>
      </w:pPr>
      <w:r>
        <w:t>NATO Eastern Expansion has been the irritating factor in international affairs in the post-Soviet area. In the new millennium the national identity of Russia as the successor of the Soviet Union, determined the discontent within its leadership with the decision of its direct neighbors from former socialist bloc to join the Alliance and the NATO’s willingness to accept them. The conflictual nature of the discourse was reinforced by the debates of potential inclusion of Georgia and Ukraine to NATO. This week’s discussion is aimed at the assessment of the conflictual discourses and providing the policy solutions for mitigating the conflict.</w:t>
      </w:r>
    </w:p>
    <w:p w:rsidR="00D852C6" w:rsidRPr="009206A3" w:rsidRDefault="00D852C6" w:rsidP="00D852C6">
      <w:pPr>
        <w:spacing w:after="0"/>
        <w:rPr>
          <w:i/>
        </w:rPr>
      </w:pPr>
      <w:r w:rsidRPr="009206A3">
        <w:rPr>
          <w:i/>
        </w:rPr>
        <w:t xml:space="preserve">Required: </w:t>
      </w:r>
    </w:p>
    <w:p w:rsidR="00D852C6" w:rsidRDefault="00D852C6" w:rsidP="00D852C6">
      <w:pPr>
        <w:pStyle w:val="ListParagraph"/>
        <w:numPr>
          <w:ilvl w:val="0"/>
          <w:numId w:val="3"/>
        </w:numPr>
      </w:pPr>
      <w:r>
        <w:rPr>
          <w:u w:val="single"/>
        </w:rPr>
        <w:t>Smith, Martin A</w:t>
      </w:r>
      <w:r w:rsidRPr="009206A3">
        <w:rPr>
          <w:u w:val="single"/>
        </w:rPr>
        <w:t>.</w:t>
      </w:r>
      <w:r>
        <w:rPr>
          <w:u w:val="single"/>
        </w:rPr>
        <w:t xml:space="preserve"> (2006)</w:t>
      </w:r>
      <w:r>
        <w:t>, Chapter 06. “Russia-NATO relations: What Kind of ‘partnership’?” (</w:t>
      </w:r>
      <w:proofErr w:type="gramStart"/>
      <w:r>
        <w:t>pp.106-128</w:t>
      </w:r>
      <w:proofErr w:type="gramEnd"/>
      <w:r>
        <w:t>).</w:t>
      </w:r>
    </w:p>
    <w:p w:rsidR="00D852C6" w:rsidRDefault="00D852C6" w:rsidP="00D852C6">
      <w:pPr>
        <w:pStyle w:val="ListParagraph"/>
        <w:numPr>
          <w:ilvl w:val="0"/>
          <w:numId w:val="3"/>
        </w:numPr>
      </w:pPr>
      <w:proofErr w:type="spellStart"/>
      <w:r w:rsidRPr="00D04DE9">
        <w:t>Tsygankov</w:t>
      </w:r>
      <w:proofErr w:type="spellEnd"/>
      <w:r>
        <w:t xml:space="preserve">, </w:t>
      </w:r>
      <w:r w:rsidRPr="00D04DE9">
        <w:t>Andrei P.</w:t>
      </w:r>
      <w:r>
        <w:t xml:space="preserve"> (2014).</w:t>
      </w:r>
      <w:r w:rsidRPr="00D04DE9">
        <w:t xml:space="preserve"> </w:t>
      </w:r>
      <w:r>
        <w:t xml:space="preserve">“The Russia-NATO mistrust: </w:t>
      </w:r>
      <w:proofErr w:type="spellStart"/>
      <w:r>
        <w:t>Ethnophobia</w:t>
      </w:r>
      <w:proofErr w:type="spellEnd"/>
      <w:r>
        <w:t xml:space="preserve"> and the double expansion to contain “the Russian Bear””. </w:t>
      </w:r>
      <w:r w:rsidRPr="00D852C6">
        <w:rPr>
          <w:i/>
        </w:rPr>
        <w:t>Communist and Post-Communist Studies,</w:t>
      </w:r>
      <w:r w:rsidRPr="00D04DE9">
        <w:t xml:space="preserve"> </w:t>
      </w:r>
      <w:proofErr w:type="gramStart"/>
      <w:r>
        <w:t>Vol.</w:t>
      </w:r>
      <w:r w:rsidRPr="00D04DE9">
        <w:t xml:space="preserve">46 </w:t>
      </w:r>
      <w:r>
        <w:t xml:space="preserve"> (</w:t>
      </w:r>
      <w:proofErr w:type="gramEnd"/>
      <w:r>
        <w:t xml:space="preserve">pp. </w:t>
      </w:r>
      <w:r w:rsidRPr="00D04DE9">
        <w:t>179–188</w:t>
      </w:r>
      <w:r>
        <w:t>).</w:t>
      </w:r>
    </w:p>
    <w:p w:rsidR="00D852C6" w:rsidRPr="00D852C6" w:rsidRDefault="00D852C6" w:rsidP="00D852C6">
      <w:pPr>
        <w:pStyle w:val="ListParagraph"/>
        <w:numPr>
          <w:ilvl w:val="0"/>
          <w:numId w:val="3"/>
        </w:numPr>
      </w:pPr>
      <w:r w:rsidRPr="00C17DA2">
        <w:t>Berryman</w:t>
      </w:r>
      <w:r>
        <w:t xml:space="preserve">, </w:t>
      </w:r>
      <w:r w:rsidRPr="00C17DA2">
        <w:t>John</w:t>
      </w:r>
      <w:r>
        <w:t xml:space="preserve"> (2011).</w:t>
      </w:r>
      <w:r w:rsidRPr="00C17DA2">
        <w:t xml:space="preserve"> </w:t>
      </w:r>
      <w:r>
        <w:t xml:space="preserve">“Russia, NATO Enlargement, and “Regions of Privileged Interests”” in </w:t>
      </w:r>
      <w:proofErr w:type="spellStart"/>
      <w:r w:rsidRPr="00C17DA2">
        <w:t>Kane</w:t>
      </w:r>
      <w:r>
        <w:t>t</w:t>
      </w:r>
      <w:proofErr w:type="spellEnd"/>
      <w:r>
        <w:t>,</w:t>
      </w:r>
      <w:r w:rsidRPr="00C17DA2">
        <w:t xml:space="preserve"> Roger E. </w:t>
      </w:r>
      <w:r>
        <w:t>“</w:t>
      </w:r>
      <w:r w:rsidRPr="00C17DA2">
        <w:t>Russian Foreign Policy in the 21st Century</w:t>
      </w:r>
      <w:r>
        <w:t>” (pp.228-245)</w:t>
      </w:r>
    </w:p>
    <w:p w:rsidR="006476A7" w:rsidRDefault="0029206E" w:rsidP="0029206E">
      <w:pPr>
        <w:pStyle w:val="Heading2"/>
      </w:pPr>
      <w:proofErr w:type="gramStart"/>
      <w:r>
        <w:t xml:space="preserve">Session </w:t>
      </w:r>
      <w:r w:rsidR="00D852C6">
        <w:t>8</w:t>
      </w:r>
      <w:r>
        <w:t>.</w:t>
      </w:r>
      <w:proofErr w:type="gramEnd"/>
      <w:r>
        <w:t xml:space="preserve"> </w:t>
      </w:r>
      <w:r w:rsidR="006476A7">
        <w:t xml:space="preserve">(June </w:t>
      </w:r>
      <w:r w:rsidR="00D852C6">
        <w:t>1</w:t>
      </w:r>
      <w:r w:rsidR="006476A7">
        <w:t>).</w:t>
      </w:r>
    </w:p>
    <w:p w:rsidR="0029206E" w:rsidRDefault="0029206E" w:rsidP="006476A7">
      <w:pPr>
        <w:pStyle w:val="Heading3"/>
      </w:pPr>
      <w:r w:rsidRPr="0029206E">
        <w:t>The political alliances in Eu</w:t>
      </w:r>
      <w:r>
        <w:t>rasia: security, economy, trade</w:t>
      </w:r>
    </w:p>
    <w:p w:rsidR="00CF1D01" w:rsidRDefault="00CF1D01" w:rsidP="006C4AEF">
      <w:pPr>
        <w:jc w:val="both"/>
      </w:pPr>
      <w:r>
        <w:t>This session focuses on the growth of Sino-Russian cooperation in Eurasia. The political cooperation between the two nations on an international arena, and specifically, within the UN’s Security Council that has been in place for many decades has been supplemented by further integration in economic sphere, especially after China’s surge in the 2000s. The result of this was the creation of the Shanghai Cooperation Organization, which establishes the fundamental part of Russia’s eastward politics. The importance of the alliance was reinforced in result of the West’s sanctions against Russia, the abandonment of the South Stream pipeline project, and the building of the Siberia-China pipeline.</w:t>
      </w:r>
    </w:p>
    <w:p w:rsidR="00766C1F" w:rsidRPr="00766C1F" w:rsidRDefault="00766C1F" w:rsidP="006C4AEF">
      <w:pPr>
        <w:jc w:val="both"/>
        <w:rPr>
          <w:b/>
          <w:i/>
        </w:rPr>
      </w:pPr>
      <w:r>
        <w:rPr>
          <w:b/>
          <w:i/>
        </w:rPr>
        <w:t xml:space="preserve">(!!!) </w:t>
      </w:r>
      <w:r w:rsidRPr="00766C1F">
        <w:rPr>
          <w:b/>
          <w:i/>
        </w:rPr>
        <w:t>Term paper proposal is due (undergraduate students only)</w:t>
      </w:r>
    </w:p>
    <w:p w:rsidR="006C4AEF" w:rsidRPr="009206A3" w:rsidRDefault="006C4AEF" w:rsidP="006C4AEF">
      <w:pPr>
        <w:spacing w:after="0"/>
        <w:rPr>
          <w:i/>
        </w:rPr>
      </w:pPr>
      <w:r w:rsidRPr="009206A3">
        <w:rPr>
          <w:i/>
        </w:rPr>
        <w:t xml:space="preserve">Required: </w:t>
      </w:r>
    </w:p>
    <w:p w:rsidR="00025602" w:rsidRDefault="00025602" w:rsidP="009204D8">
      <w:pPr>
        <w:pStyle w:val="ListParagraph"/>
        <w:numPr>
          <w:ilvl w:val="0"/>
          <w:numId w:val="6"/>
        </w:numPr>
        <w:spacing w:after="0"/>
        <w:ind w:left="714" w:hanging="357"/>
        <w:jc w:val="both"/>
      </w:pPr>
      <w:r>
        <w:t>Frost, Alexander (2009). “</w:t>
      </w:r>
      <w:r w:rsidRPr="00025602">
        <w:t>The Collective Security Treaty Organization, the Shanghai Cooperation Organization, and Russia's Strategic Goals in Central Asia</w:t>
      </w:r>
      <w:r>
        <w:t xml:space="preserve">”. </w:t>
      </w:r>
      <w:r w:rsidRPr="00025602">
        <w:rPr>
          <w:i/>
        </w:rPr>
        <w:t>China and Eurasia Forum Quarterly</w:t>
      </w:r>
      <w:r w:rsidRPr="00025602">
        <w:t>, Vol</w:t>
      </w:r>
      <w:r>
        <w:t xml:space="preserve">. </w:t>
      </w:r>
      <w:r w:rsidRPr="00025602">
        <w:t>7</w:t>
      </w:r>
      <w:r>
        <w:t xml:space="preserve"> (</w:t>
      </w:r>
      <w:r w:rsidRPr="00025602">
        <w:t>3)</w:t>
      </w:r>
      <w:r>
        <w:t>,</w:t>
      </w:r>
      <w:r w:rsidRPr="00025602">
        <w:t xml:space="preserve"> pp. 83-102</w:t>
      </w:r>
    </w:p>
    <w:p w:rsidR="00025602" w:rsidRDefault="00025602" w:rsidP="009204D8">
      <w:pPr>
        <w:pStyle w:val="ListParagraph"/>
        <w:numPr>
          <w:ilvl w:val="0"/>
          <w:numId w:val="6"/>
        </w:numPr>
        <w:spacing w:after="0"/>
        <w:ind w:left="714" w:hanging="357"/>
        <w:jc w:val="both"/>
      </w:pPr>
      <w:r w:rsidRPr="00025602">
        <w:lastRenderedPageBreak/>
        <w:t>Yuan</w:t>
      </w:r>
      <w:r>
        <w:t xml:space="preserve">, </w:t>
      </w:r>
      <w:r w:rsidRPr="00025602">
        <w:t xml:space="preserve">Jing-Dong </w:t>
      </w:r>
      <w:r>
        <w:t>(2010). “</w:t>
      </w:r>
      <w:r w:rsidRPr="00025602">
        <w:t>China's Role in Establishing and Building the Shanghai Cooperation Organization (SCO)</w:t>
      </w:r>
      <w:r>
        <w:t xml:space="preserve">”. </w:t>
      </w:r>
      <w:r w:rsidRPr="00025602">
        <w:rPr>
          <w:i/>
        </w:rPr>
        <w:t>Journal of Contemporary China</w:t>
      </w:r>
      <w:r>
        <w:t xml:space="preserve">. </w:t>
      </w:r>
      <w:r w:rsidRPr="00025602">
        <w:t>Vol</w:t>
      </w:r>
      <w:r>
        <w:t xml:space="preserve">. </w:t>
      </w:r>
      <w:r w:rsidRPr="00025602">
        <w:t>19</w:t>
      </w:r>
      <w:r>
        <w:t xml:space="preserve"> (</w:t>
      </w:r>
      <w:r w:rsidRPr="00025602">
        <w:t>67</w:t>
      </w:r>
      <w:r>
        <w:t xml:space="preserve">), pp. </w:t>
      </w:r>
      <w:r w:rsidRPr="00025602">
        <w:t>855-869</w:t>
      </w:r>
    </w:p>
    <w:p w:rsidR="00D36405" w:rsidRDefault="00D36405" w:rsidP="009204D8">
      <w:pPr>
        <w:pStyle w:val="ListParagraph"/>
        <w:numPr>
          <w:ilvl w:val="0"/>
          <w:numId w:val="6"/>
        </w:numPr>
        <w:spacing w:after="0"/>
        <w:ind w:left="714" w:hanging="357"/>
        <w:jc w:val="both"/>
      </w:pPr>
      <w:proofErr w:type="spellStart"/>
      <w:r>
        <w:t>Lukin</w:t>
      </w:r>
      <w:proofErr w:type="spellEnd"/>
      <w:r>
        <w:t xml:space="preserve">, Alexander (2007). “The Shanghai Cooperation Organization: What Next?” </w:t>
      </w:r>
      <w:r w:rsidRPr="00D36405">
        <w:rPr>
          <w:i/>
        </w:rPr>
        <w:t>Russia in Global Affairs</w:t>
      </w:r>
      <w:r>
        <w:t>. Vol. 5 (3), pp. 140-156</w:t>
      </w:r>
    </w:p>
    <w:p w:rsidR="009204D8" w:rsidRDefault="009204D8" w:rsidP="009204D8">
      <w:pPr>
        <w:spacing w:after="0"/>
      </w:pPr>
      <w:r w:rsidRPr="009204D8">
        <w:rPr>
          <w:i/>
        </w:rPr>
        <w:t>Supplementary:</w:t>
      </w:r>
    </w:p>
    <w:p w:rsidR="009204D8" w:rsidRPr="00075B81" w:rsidRDefault="009204D8" w:rsidP="009204D8">
      <w:pPr>
        <w:pStyle w:val="ListParagraph"/>
        <w:numPr>
          <w:ilvl w:val="0"/>
          <w:numId w:val="6"/>
        </w:numPr>
        <w:jc w:val="both"/>
      </w:pPr>
      <w:r>
        <w:t xml:space="preserve">Song, </w:t>
      </w:r>
      <w:proofErr w:type="spellStart"/>
      <w:r>
        <w:t>Weiqing</w:t>
      </w:r>
      <w:proofErr w:type="spellEnd"/>
      <w:r>
        <w:t xml:space="preserve"> (2013). “Feeling safe, being strong: China's strategy of soft balancing through the Shanghai Cooperation Organization” </w:t>
      </w:r>
      <w:r w:rsidRPr="009204D8">
        <w:rPr>
          <w:i/>
        </w:rPr>
        <w:t xml:space="preserve">International Politics  </w:t>
      </w:r>
      <w:r>
        <w:t xml:space="preserve">Vol. 50 (5), pp. 664-685 </w:t>
      </w:r>
    </w:p>
    <w:p w:rsidR="009204D8" w:rsidRDefault="009204D8" w:rsidP="00025602">
      <w:pPr>
        <w:pStyle w:val="ListParagraph"/>
        <w:numPr>
          <w:ilvl w:val="0"/>
          <w:numId w:val="6"/>
        </w:numPr>
        <w:jc w:val="both"/>
      </w:pPr>
      <w:proofErr w:type="spellStart"/>
      <w:r w:rsidRPr="00025602">
        <w:t>Germanovich</w:t>
      </w:r>
      <w:proofErr w:type="spellEnd"/>
      <w:r>
        <w:t>,</w:t>
      </w:r>
      <w:r w:rsidRPr="00025602">
        <w:t xml:space="preserve"> </w:t>
      </w:r>
      <w:r>
        <w:t xml:space="preserve">Gene (2008). “The Shanghai Cooperation Organization: A Threat to American Interests in Central Asia?” </w:t>
      </w:r>
      <w:r w:rsidRPr="00025602">
        <w:rPr>
          <w:i/>
        </w:rPr>
        <w:t>China and Eurasia Forum Quarterly</w:t>
      </w:r>
      <w:r w:rsidRPr="00025602">
        <w:t>, Vol</w:t>
      </w:r>
      <w:r>
        <w:t>.</w:t>
      </w:r>
      <w:r w:rsidRPr="00025602">
        <w:t xml:space="preserve"> 6</w:t>
      </w:r>
      <w:r>
        <w:t xml:space="preserve"> (</w:t>
      </w:r>
      <w:r w:rsidRPr="00025602">
        <w:t>1</w:t>
      </w:r>
      <w:r>
        <w:t>),</w:t>
      </w:r>
      <w:r w:rsidRPr="00025602">
        <w:t xml:space="preserve"> p</w:t>
      </w:r>
      <w:r>
        <w:t>p</w:t>
      </w:r>
      <w:r w:rsidRPr="00025602">
        <w:t>. 19-38</w:t>
      </w:r>
    </w:p>
    <w:p w:rsidR="006476A7" w:rsidRDefault="0029206E" w:rsidP="0029206E">
      <w:pPr>
        <w:pStyle w:val="Heading2"/>
      </w:pPr>
      <w:proofErr w:type="gramStart"/>
      <w:r>
        <w:t xml:space="preserve">Session </w:t>
      </w:r>
      <w:r w:rsidR="00D852C6">
        <w:t>9</w:t>
      </w:r>
      <w:r>
        <w:t>.</w:t>
      </w:r>
      <w:proofErr w:type="gramEnd"/>
      <w:r>
        <w:t xml:space="preserve"> </w:t>
      </w:r>
      <w:r w:rsidR="00D852C6">
        <w:t>(June 3).</w:t>
      </w:r>
    </w:p>
    <w:p w:rsidR="0029206E" w:rsidRDefault="0029206E" w:rsidP="006476A7">
      <w:pPr>
        <w:pStyle w:val="Heading3"/>
      </w:pPr>
      <w:r w:rsidRPr="0029206E">
        <w:t xml:space="preserve">The </w:t>
      </w:r>
      <w:r>
        <w:t>‘</w:t>
      </w:r>
      <w:r w:rsidRPr="0029206E">
        <w:t>pipeline politics</w:t>
      </w:r>
      <w:r>
        <w:t>’</w:t>
      </w:r>
      <w:r w:rsidRPr="0029206E">
        <w:t>: Russian-Ukrainian gas disputes and energy security in Europe</w:t>
      </w:r>
    </w:p>
    <w:p w:rsidR="0013505B" w:rsidRDefault="0013505B" w:rsidP="0013505B">
      <w:pPr>
        <w:jc w:val="both"/>
      </w:pPr>
      <w:r>
        <w:t>The 2004 Ukraine’s “Orange Revolution” ignited a chain of processes that raised the factor of energy security in Europe to the top of the political agenda. Russian-Ukrainian disputes over prices of supply and transit of natural gas to and through Ukraine resulted in disruptions in delivery of Russian gas to Europe. Russia was accused for using its energy supply network for political purposes. At the same time, Russia put in doubt the reliability of Ukraine as the transit-country, demanding the state-owned Gazprom’s control over the pipeline system of Ukraine. In result of these conflicts two</w:t>
      </w:r>
      <w:r w:rsidR="002F441A">
        <w:t xml:space="preserve"> alternative</w:t>
      </w:r>
      <w:r>
        <w:t xml:space="preserve"> pipeline projects </w:t>
      </w:r>
      <w:r w:rsidR="00C770FE">
        <w:t>–</w:t>
      </w:r>
      <w:r>
        <w:t xml:space="preserve"> </w:t>
      </w:r>
      <w:r w:rsidR="00C770FE">
        <w:t xml:space="preserve">Nord Stream and South Stream – were proposed by Russia. Growing concerns regarding Europe’s dependence on Russia’s gas demanded introductions of new European regulations of the energy market and alternative pipeline projects (such as </w:t>
      </w:r>
      <w:proofErr w:type="spellStart"/>
      <w:r w:rsidR="00C770FE">
        <w:t>Nabucco</w:t>
      </w:r>
      <w:proofErr w:type="spellEnd"/>
      <w:r w:rsidR="00C770FE">
        <w:t>). This week’s discussion is focused on the analysis of changes and their most recent implications for the Eurasian energy market.</w:t>
      </w:r>
    </w:p>
    <w:p w:rsidR="009C617D" w:rsidRPr="009206A3" w:rsidRDefault="009C617D" w:rsidP="009C617D">
      <w:pPr>
        <w:spacing w:after="0"/>
        <w:rPr>
          <w:i/>
        </w:rPr>
      </w:pPr>
      <w:r w:rsidRPr="009206A3">
        <w:rPr>
          <w:i/>
        </w:rPr>
        <w:t xml:space="preserve">Required: </w:t>
      </w:r>
    </w:p>
    <w:p w:rsidR="009E75CF" w:rsidRDefault="009E75CF" w:rsidP="006C4AEF">
      <w:pPr>
        <w:pStyle w:val="ListParagraph"/>
        <w:numPr>
          <w:ilvl w:val="0"/>
          <w:numId w:val="3"/>
        </w:numPr>
        <w:spacing w:after="0"/>
        <w:ind w:left="714" w:hanging="357"/>
      </w:pPr>
      <w:r w:rsidRPr="006F704B">
        <w:rPr>
          <w:lang w:val="de-DE"/>
        </w:rPr>
        <w:t xml:space="preserve">Meulen, Evert Faber van der, </w:t>
      </w:r>
      <w:r w:rsidR="00E56B4C" w:rsidRPr="006F704B">
        <w:rPr>
          <w:lang w:val="de-DE"/>
        </w:rPr>
        <w:t>(</w:t>
      </w:r>
      <w:r w:rsidRPr="006F704B">
        <w:rPr>
          <w:lang w:val="de-DE"/>
        </w:rPr>
        <w:t>2009</w:t>
      </w:r>
      <w:r w:rsidR="00E56B4C" w:rsidRPr="006F704B">
        <w:rPr>
          <w:lang w:val="de-DE"/>
        </w:rPr>
        <w:t>)</w:t>
      </w:r>
      <w:r w:rsidRPr="006F704B">
        <w:rPr>
          <w:lang w:val="de-DE"/>
        </w:rPr>
        <w:t xml:space="preserve">. </w:t>
      </w:r>
      <w:r w:rsidR="00E56B4C">
        <w:t>“</w:t>
      </w:r>
      <w:r w:rsidRPr="009E75CF">
        <w:t>Gas supply and EU-Russia relations</w:t>
      </w:r>
      <w:r w:rsidR="00E56B4C">
        <w:t>”</w:t>
      </w:r>
      <w:r w:rsidRPr="009E75CF">
        <w:t xml:space="preserve">. </w:t>
      </w:r>
      <w:r w:rsidRPr="00E56B4C">
        <w:rPr>
          <w:i/>
        </w:rPr>
        <w:t>Europe-Asia Studies</w:t>
      </w:r>
      <w:r w:rsidRPr="009E75CF">
        <w:t xml:space="preserve"> </w:t>
      </w:r>
      <w:r w:rsidR="00E56B4C">
        <w:t xml:space="preserve">Vol. </w:t>
      </w:r>
      <w:r w:rsidRPr="009E75CF">
        <w:t xml:space="preserve">61(5), </w:t>
      </w:r>
      <w:r w:rsidR="00E56B4C">
        <w:t xml:space="preserve">(pp. </w:t>
      </w:r>
      <w:r w:rsidRPr="009E75CF">
        <w:t>833–856</w:t>
      </w:r>
      <w:r w:rsidR="00E56B4C">
        <w:t>)</w:t>
      </w:r>
      <w:r w:rsidRPr="009E75CF">
        <w:t>.</w:t>
      </w:r>
    </w:p>
    <w:p w:rsidR="0099230E" w:rsidRPr="009E75CF" w:rsidRDefault="0099230E" w:rsidP="006C4AEF">
      <w:pPr>
        <w:pStyle w:val="ListParagraph"/>
        <w:numPr>
          <w:ilvl w:val="0"/>
          <w:numId w:val="3"/>
        </w:numPr>
        <w:spacing w:after="0"/>
        <w:ind w:left="714" w:hanging="357"/>
      </w:pPr>
      <w:proofErr w:type="spellStart"/>
      <w:r w:rsidRPr="009F2579">
        <w:t>Feklyunina</w:t>
      </w:r>
      <w:proofErr w:type="spellEnd"/>
      <w:r>
        <w:t>,</w:t>
      </w:r>
      <w:r w:rsidRPr="009F2579">
        <w:t xml:space="preserve"> Valentina </w:t>
      </w:r>
      <w:r>
        <w:t>(2012). “</w:t>
      </w:r>
      <w:r w:rsidRPr="009F2579">
        <w:t>Russia's International Images and its Energy Policy. An Unreliable Supplier?</w:t>
      </w:r>
      <w:r>
        <w:t xml:space="preserve">” </w:t>
      </w:r>
      <w:r w:rsidRPr="009F2579">
        <w:rPr>
          <w:i/>
        </w:rPr>
        <w:t>Europe-Asia Studies,</w:t>
      </w:r>
      <w:r>
        <w:t xml:space="preserve"> Vol. 64 (3), pp. </w:t>
      </w:r>
      <w:r w:rsidRPr="009F2579">
        <w:t>449-469</w:t>
      </w:r>
      <w:r>
        <w:t>.</w:t>
      </w:r>
    </w:p>
    <w:p w:rsidR="001558D2" w:rsidRDefault="001558D2" w:rsidP="006C4AEF">
      <w:pPr>
        <w:pStyle w:val="ListParagraph"/>
        <w:numPr>
          <w:ilvl w:val="0"/>
          <w:numId w:val="3"/>
        </w:numPr>
        <w:spacing w:after="0"/>
        <w:ind w:left="714" w:hanging="357"/>
      </w:pPr>
      <w:r>
        <w:t xml:space="preserve">Ziegler, Charles E. (2014). “Energy Pipeline Networks and Trust: The European Union and Russia in Comparative Perspective”. </w:t>
      </w:r>
      <w:r w:rsidRPr="001558D2">
        <w:rPr>
          <w:i/>
        </w:rPr>
        <w:t>International Relations</w:t>
      </w:r>
      <w:r>
        <w:rPr>
          <w:i/>
        </w:rPr>
        <w:t>,</w:t>
      </w:r>
      <w:r w:rsidRPr="001558D2">
        <w:rPr>
          <w:i/>
        </w:rPr>
        <w:t xml:space="preserve">  </w:t>
      </w:r>
      <w:r w:rsidRPr="001558D2">
        <w:t>Vol</w:t>
      </w:r>
      <w:r>
        <w:t xml:space="preserve">. </w:t>
      </w:r>
      <w:r w:rsidRPr="001558D2">
        <w:t>27</w:t>
      </w:r>
      <w:r>
        <w:t xml:space="preserve"> (</w:t>
      </w:r>
      <w:r w:rsidRPr="001558D2">
        <w:t>1</w:t>
      </w:r>
      <w:r>
        <w:t>), pp.</w:t>
      </w:r>
      <w:r w:rsidRPr="001558D2">
        <w:t xml:space="preserve"> 3-29</w:t>
      </w:r>
    </w:p>
    <w:p w:rsidR="00A77921" w:rsidRDefault="00A77921" w:rsidP="006C4AEF">
      <w:pPr>
        <w:pStyle w:val="ListParagraph"/>
        <w:numPr>
          <w:ilvl w:val="0"/>
          <w:numId w:val="3"/>
        </w:numPr>
        <w:spacing w:after="0"/>
        <w:ind w:left="714" w:hanging="357"/>
        <w:jc w:val="both"/>
      </w:pPr>
      <w:proofErr w:type="spellStart"/>
      <w:r>
        <w:t>Morbee</w:t>
      </w:r>
      <w:proofErr w:type="spellEnd"/>
      <w:r>
        <w:t xml:space="preserve">, </w:t>
      </w:r>
      <w:proofErr w:type="spellStart"/>
      <w:r>
        <w:t>Joris</w:t>
      </w:r>
      <w:proofErr w:type="spellEnd"/>
      <w:r>
        <w:t xml:space="preserve">; </w:t>
      </w:r>
      <w:proofErr w:type="spellStart"/>
      <w:r>
        <w:t>Proost</w:t>
      </w:r>
      <w:proofErr w:type="spellEnd"/>
      <w:r>
        <w:t xml:space="preserve">, Stef (2010). “Russian Gas Imports in Europe: How Does Gazprom Reliability Change the Game?” </w:t>
      </w:r>
      <w:r w:rsidRPr="00A77921">
        <w:rPr>
          <w:i/>
        </w:rPr>
        <w:t>Energy Journal</w:t>
      </w:r>
      <w:r>
        <w:rPr>
          <w:i/>
        </w:rPr>
        <w:t>,</w:t>
      </w:r>
      <w:r>
        <w:t xml:space="preserve"> Vol. 31 (4), pp.  79-109</w:t>
      </w:r>
    </w:p>
    <w:p w:rsidR="006C4AEF" w:rsidRPr="006C4AEF" w:rsidRDefault="006C4AEF" w:rsidP="009C617D">
      <w:pPr>
        <w:spacing w:after="0"/>
        <w:rPr>
          <w:i/>
        </w:rPr>
      </w:pPr>
      <w:r w:rsidRPr="006C4AEF">
        <w:rPr>
          <w:i/>
        </w:rPr>
        <w:t>Supplementary:</w:t>
      </w:r>
    </w:p>
    <w:p w:rsidR="00C17DA2" w:rsidRDefault="00C17DA2" w:rsidP="001558D2">
      <w:pPr>
        <w:pStyle w:val="ListParagraph"/>
        <w:numPr>
          <w:ilvl w:val="0"/>
          <w:numId w:val="3"/>
        </w:numPr>
      </w:pPr>
      <w:r w:rsidRPr="00C17DA2">
        <w:t xml:space="preserve">Smith </w:t>
      </w:r>
      <w:proofErr w:type="spellStart"/>
      <w:r w:rsidRPr="00C17DA2">
        <w:t>Stegen</w:t>
      </w:r>
      <w:proofErr w:type="spellEnd"/>
      <w:r>
        <w:t>,</w:t>
      </w:r>
      <w:r w:rsidRPr="00C17DA2">
        <w:t xml:space="preserve"> Karen </w:t>
      </w:r>
      <w:r>
        <w:t>(2011). “</w:t>
      </w:r>
      <w:r w:rsidRPr="00C17DA2">
        <w:t>Deconstructing the “energy weapon”: Russia's threat to Europe as case study</w:t>
      </w:r>
      <w:r>
        <w:t xml:space="preserve">”. </w:t>
      </w:r>
      <w:r w:rsidRPr="001558D2">
        <w:rPr>
          <w:i/>
        </w:rPr>
        <w:t xml:space="preserve">Energy Policy, </w:t>
      </w:r>
      <w:r>
        <w:t xml:space="preserve">Vol. 39 (10), pp. </w:t>
      </w:r>
      <w:r w:rsidRPr="00C17DA2">
        <w:t>6505–6513</w:t>
      </w:r>
      <w:r>
        <w:t>.</w:t>
      </w:r>
    </w:p>
    <w:p w:rsidR="006C4AEF" w:rsidRDefault="006C4AEF" w:rsidP="006C4AEF">
      <w:pPr>
        <w:pStyle w:val="ListParagraph"/>
        <w:numPr>
          <w:ilvl w:val="0"/>
          <w:numId w:val="3"/>
        </w:numPr>
        <w:jc w:val="both"/>
      </w:pPr>
      <w:proofErr w:type="spellStart"/>
      <w:r w:rsidRPr="006C4AEF">
        <w:t>Shadrina</w:t>
      </w:r>
      <w:proofErr w:type="spellEnd"/>
      <w:r>
        <w:t>,</w:t>
      </w:r>
      <w:r w:rsidRPr="006C4AEF">
        <w:t xml:space="preserve"> Elena &amp; Bradshaw</w:t>
      </w:r>
      <w:r>
        <w:t>,</w:t>
      </w:r>
      <w:r w:rsidRPr="006C4AEF">
        <w:t xml:space="preserve"> Michael </w:t>
      </w:r>
      <w:r>
        <w:t xml:space="preserve">(2013). “Russia's energy governance transitions and implications for enhanced cooperation with China, Japan, and South Korea.” </w:t>
      </w:r>
      <w:r w:rsidRPr="006C4AEF">
        <w:rPr>
          <w:i/>
        </w:rPr>
        <w:t>Post-Soviet Affairs</w:t>
      </w:r>
      <w:r>
        <w:t>, Vol. 29 (6), pp. 461-499</w:t>
      </w:r>
    </w:p>
    <w:p w:rsidR="00D852C6" w:rsidRDefault="0029206E" w:rsidP="0029206E">
      <w:pPr>
        <w:pStyle w:val="Heading2"/>
      </w:pPr>
      <w:proofErr w:type="gramStart"/>
      <w:r>
        <w:lastRenderedPageBreak/>
        <w:t xml:space="preserve">Session </w:t>
      </w:r>
      <w:r w:rsidR="00D852C6">
        <w:t>10</w:t>
      </w:r>
      <w:r>
        <w:t>.</w:t>
      </w:r>
      <w:proofErr w:type="gramEnd"/>
      <w:r>
        <w:t xml:space="preserve"> </w:t>
      </w:r>
      <w:r w:rsidR="00D852C6">
        <w:t>(June 8)</w:t>
      </w:r>
    </w:p>
    <w:p w:rsidR="0029206E" w:rsidRDefault="00BF5846" w:rsidP="00D852C6">
      <w:pPr>
        <w:pStyle w:val="Heading3"/>
      </w:pPr>
      <w:r>
        <w:t>Russo-Georgian War, August 2008</w:t>
      </w:r>
    </w:p>
    <w:p w:rsidR="002F441A" w:rsidRDefault="002F441A" w:rsidP="002F441A">
      <w:pPr>
        <w:jc w:val="both"/>
      </w:pPr>
      <w:r>
        <w:t>August 2008 Russian-Georgian military conflict was the result of the long-term frozen conflicts between the Georgian government and the authorities of two separatist regions of Abkhazia and South Ossetia. Since t</w:t>
      </w:r>
      <w:r w:rsidR="00EC3AF6">
        <w:t xml:space="preserve">he early 1990s Russia had attempted to mediate the conflict. However, after the “Rose Revolution” in Georgia and coming to power of pro-Western president </w:t>
      </w:r>
      <w:proofErr w:type="spellStart"/>
      <w:r w:rsidR="00EC3AF6">
        <w:t>Mikheil</w:t>
      </w:r>
      <w:proofErr w:type="spellEnd"/>
      <w:r w:rsidR="00EC3AF6">
        <w:t xml:space="preserve"> Saakashvili, the relations between Russia and Georgia deteriorated. Over the years preceding the war, Russia started to align itself with the interests of the separatist regions. The occurred military confrontation was significant in many ways, but, most importantly it revealed Russia’s determination to resort to military forces, if its interests are being affected. To some extent, the 2008 Russo-Georgian war may be considered as the precursor to the Ukrainian events and this week’s discussion will analyze why Russia’s political agenda was misunderstood or even underestimated. </w:t>
      </w:r>
    </w:p>
    <w:p w:rsidR="00766C1F" w:rsidRPr="00766C1F" w:rsidRDefault="00766C1F" w:rsidP="002F441A">
      <w:pPr>
        <w:jc w:val="both"/>
        <w:rPr>
          <w:b/>
          <w:i/>
        </w:rPr>
      </w:pPr>
      <w:r w:rsidRPr="00766C1F">
        <w:rPr>
          <w:rFonts w:cstheme="minorHAnsi"/>
          <w:b/>
          <w:i/>
          <w:sz w:val="23"/>
          <w:szCs w:val="23"/>
        </w:rPr>
        <w:t>(!!!) 1</w:t>
      </w:r>
      <w:r w:rsidRPr="00766C1F">
        <w:rPr>
          <w:rFonts w:cstheme="minorHAnsi"/>
          <w:b/>
          <w:i/>
          <w:sz w:val="23"/>
          <w:szCs w:val="23"/>
          <w:vertAlign w:val="superscript"/>
        </w:rPr>
        <w:t>st</w:t>
      </w:r>
      <w:r w:rsidRPr="00766C1F">
        <w:rPr>
          <w:rFonts w:cstheme="minorHAnsi"/>
          <w:b/>
          <w:i/>
          <w:sz w:val="23"/>
          <w:szCs w:val="23"/>
        </w:rPr>
        <w:t xml:space="preserve"> media analysis is due</w:t>
      </w:r>
    </w:p>
    <w:p w:rsidR="009C617D" w:rsidRPr="009206A3" w:rsidRDefault="009C617D" w:rsidP="009C617D">
      <w:pPr>
        <w:spacing w:after="0"/>
        <w:rPr>
          <w:i/>
        </w:rPr>
      </w:pPr>
      <w:r w:rsidRPr="009206A3">
        <w:rPr>
          <w:i/>
        </w:rPr>
        <w:t xml:space="preserve">Required: </w:t>
      </w:r>
    </w:p>
    <w:p w:rsidR="006C2A7A" w:rsidRDefault="006C2A7A" w:rsidP="006C2A7A">
      <w:pPr>
        <w:pStyle w:val="ListParagraph"/>
        <w:numPr>
          <w:ilvl w:val="0"/>
          <w:numId w:val="3"/>
        </w:numPr>
      </w:pPr>
      <w:proofErr w:type="spellStart"/>
      <w:r w:rsidRPr="006C2A7A">
        <w:t>Boesen</w:t>
      </w:r>
      <w:proofErr w:type="spellEnd"/>
      <w:r>
        <w:t>,</w:t>
      </w:r>
      <w:r w:rsidRPr="006C2A7A">
        <w:t xml:space="preserve"> Henrik</w:t>
      </w:r>
      <w:r>
        <w:t>;</w:t>
      </w:r>
      <w:r w:rsidRPr="006C2A7A">
        <w:t xml:space="preserve"> </w:t>
      </w:r>
      <w:proofErr w:type="spellStart"/>
      <w:r w:rsidRPr="006C2A7A">
        <w:t>Lindbo</w:t>
      </w:r>
      <w:proofErr w:type="spellEnd"/>
      <w:r w:rsidRPr="006C2A7A">
        <w:t xml:space="preserve"> Larsen</w:t>
      </w:r>
      <w:r>
        <w:t xml:space="preserve"> (2012).</w:t>
      </w:r>
      <w:r w:rsidRPr="006C2A7A">
        <w:t xml:space="preserve"> </w:t>
      </w:r>
      <w:r>
        <w:t>“</w:t>
      </w:r>
      <w:r w:rsidRPr="006C2A7A">
        <w:t>The Russo-Georgian war and beyond: towards a European great power concert</w:t>
      </w:r>
      <w:r>
        <w:t xml:space="preserve">”. </w:t>
      </w:r>
      <w:r w:rsidRPr="006C2A7A">
        <w:rPr>
          <w:i/>
        </w:rPr>
        <w:t>European Security</w:t>
      </w:r>
      <w:r w:rsidRPr="006C2A7A">
        <w:t xml:space="preserve">, Vol. 21(1), (pp. </w:t>
      </w:r>
      <w:r>
        <w:t>102</w:t>
      </w:r>
      <w:r w:rsidRPr="006C2A7A">
        <w:t>-</w:t>
      </w:r>
      <w:r>
        <w:t>121</w:t>
      </w:r>
      <w:r w:rsidRPr="006C2A7A">
        <w:t>).</w:t>
      </w:r>
    </w:p>
    <w:p w:rsidR="00A526B0" w:rsidRDefault="00A526B0" w:rsidP="00A526B0">
      <w:pPr>
        <w:pStyle w:val="ListParagraph"/>
        <w:numPr>
          <w:ilvl w:val="0"/>
          <w:numId w:val="3"/>
        </w:numPr>
      </w:pPr>
      <w:r>
        <w:t>Forsberg, Thomas; Seppo, Antti (2011). “The Russo-Georgian War and EU Meditation” in</w:t>
      </w:r>
      <w:r w:rsidRPr="00A526B0">
        <w:t xml:space="preserve"> </w:t>
      </w:r>
      <w:proofErr w:type="spellStart"/>
      <w:r w:rsidRPr="00A526B0">
        <w:t>Kanet</w:t>
      </w:r>
      <w:proofErr w:type="spellEnd"/>
      <w:r w:rsidRPr="00A526B0">
        <w:t>, Roger E. “Russian Foreign Policy in the 21st Century” (pp.</w:t>
      </w:r>
      <w:r>
        <w:t>121</w:t>
      </w:r>
      <w:r w:rsidRPr="00A526B0">
        <w:t>-</w:t>
      </w:r>
      <w:r>
        <w:t>137</w:t>
      </w:r>
      <w:r w:rsidRPr="00A526B0">
        <w:t>)</w:t>
      </w:r>
      <w:r>
        <w:t xml:space="preserve"> </w:t>
      </w:r>
    </w:p>
    <w:p w:rsidR="006C2A7A" w:rsidRDefault="006C2A7A" w:rsidP="006C2A7A">
      <w:pPr>
        <w:pStyle w:val="ListParagraph"/>
        <w:numPr>
          <w:ilvl w:val="0"/>
          <w:numId w:val="3"/>
        </w:numPr>
      </w:pPr>
      <w:proofErr w:type="spellStart"/>
      <w:r w:rsidRPr="006C2A7A">
        <w:t>Fawna</w:t>
      </w:r>
      <w:proofErr w:type="spellEnd"/>
      <w:r>
        <w:t>,</w:t>
      </w:r>
      <w:r w:rsidRPr="006C2A7A">
        <w:t xml:space="preserve"> </w:t>
      </w:r>
      <w:r>
        <w:t>Rick</w:t>
      </w:r>
      <w:r w:rsidRPr="006C2A7A">
        <w:t xml:space="preserve"> &amp; </w:t>
      </w:r>
      <w:proofErr w:type="spellStart"/>
      <w:r w:rsidRPr="006C2A7A">
        <w:t>Nalbandov</w:t>
      </w:r>
      <w:proofErr w:type="spellEnd"/>
      <w:r>
        <w:t xml:space="preserve">, </w:t>
      </w:r>
      <w:r w:rsidRPr="006C2A7A">
        <w:t xml:space="preserve">Robert </w:t>
      </w:r>
      <w:r>
        <w:t>(2012). “</w:t>
      </w:r>
      <w:r w:rsidRPr="006C2A7A">
        <w:t>The difficulties of knowing the start of war in the information age: Russia, Georgia and the War over South Ossetia, August 2008</w:t>
      </w:r>
      <w:r>
        <w:t xml:space="preserve">”. </w:t>
      </w:r>
      <w:r w:rsidRPr="006C2A7A">
        <w:rPr>
          <w:i/>
        </w:rPr>
        <w:t>European Security</w:t>
      </w:r>
      <w:r>
        <w:rPr>
          <w:i/>
        </w:rPr>
        <w:t xml:space="preserve">, </w:t>
      </w:r>
      <w:r>
        <w:t xml:space="preserve">Vol. 21(1), (pp. </w:t>
      </w:r>
      <w:r w:rsidRPr="006C2A7A">
        <w:t>57-89</w:t>
      </w:r>
      <w:r>
        <w:t>).</w:t>
      </w:r>
    </w:p>
    <w:p w:rsidR="00EE52A1" w:rsidRDefault="00EE52A1" w:rsidP="00EE52A1">
      <w:pPr>
        <w:pStyle w:val="ListParagraph"/>
        <w:numPr>
          <w:ilvl w:val="0"/>
          <w:numId w:val="3"/>
        </w:numPr>
      </w:pPr>
      <w:proofErr w:type="spellStart"/>
      <w:r>
        <w:t>Sakwa</w:t>
      </w:r>
      <w:proofErr w:type="spellEnd"/>
      <w:r>
        <w:t>, Richard (2012). “</w:t>
      </w:r>
      <w:r w:rsidRPr="00EE52A1">
        <w:t>Conspiracy Narratives as a Mode of Engagement in International Politics: The Case of the 2008 Russo-Georgian War</w:t>
      </w:r>
      <w:r>
        <w:t xml:space="preserve">”. </w:t>
      </w:r>
      <w:r w:rsidRPr="00EE52A1">
        <w:rPr>
          <w:i/>
        </w:rPr>
        <w:t>The Russian Review</w:t>
      </w:r>
      <w:r>
        <w:rPr>
          <w:i/>
        </w:rPr>
        <w:t xml:space="preserve">. </w:t>
      </w:r>
      <w:r>
        <w:t>Vol. 71 (4).</w:t>
      </w:r>
    </w:p>
    <w:p w:rsidR="00D852C6" w:rsidRDefault="00786DD2" w:rsidP="00786DD2">
      <w:pPr>
        <w:pStyle w:val="Heading2"/>
      </w:pPr>
      <w:proofErr w:type="gramStart"/>
      <w:r>
        <w:t xml:space="preserve">Session </w:t>
      </w:r>
      <w:r w:rsidR="00D852C6">
        <w:t>11</w:t>
      </w:r>
      <w:r>
        <w:t>.</w:t>
      </w:r>
      <w:proofErr w:type="gramEnd"/>
      <w:r>
        <w:t xml:space="preserve"> </w:t>
      </w:r>
      <w:r w:rsidR="00D852C6">
        <w:t>(June 10).</w:t>
      </w:r>
    </w:p>
    <w:p w:rsidR="00786DD2" w:rsidRDefault="00786DD2" w:rsidP="00D852C6">
      <w:pPr>
        <w:pStyle w:val="Heading3"/>
      </w:pPr>
      <w:r>
        <w:t xml:space="preserve">Ukraine’s troubled strive for democracy and its consequences: </w:t>
      </w:r>
      <w:proofErr w:type="spellStart"/>
      <w:r>
        <w:t>Maidan</w:t>
      </w:r>
      <w:proofErr w:type="spellEnd"/>
      <w:r>
        <w:t xml:space="preserve">, </w:t>
      </w:r>
      <w:proofErr w:type="spellStart"/>
      <w:r>
        <w:t>EuroMaidan</w:t>
      </w:r>
      <w:proofErr w:type="spellEnd"/>
      <w:r>
        <w:t xml:space="preserve"> and Russia’s annexation of Crimea</w:t>
      </w:r>
    </w:p>
    <w:p w:rsidR="00CD001D" w:rsidRDefault="00D37CFF" w:rsidP="00D37CFF">
      <w:pPr>
        <w:jc w:val="both"/>
      </w:pPr>
      <w:r>
        <w:t xml:space="preserve">The events that came into force in result of </w:t>
      </w:r>
      <w:proofErr w:type="spellStart"/>
      <w:r>
        <w:t>EuroMaidan</w:t>
      </w:r>
      <w:proofErr w:type="spellEnd"/>
      <w:r>
        <w:t xml:space="preserve"> and escape of President Viktor </w:t>
      </w:r>
      <w:proofErr w:type="spellStart"/>
      <w:proofErr w:type="gramStart"/>
      <w:r>
        <w:t>Yanukovich</w:t>
      </w:r>
      <w:proofErr w:type="spellEnd"/>
      <w:r>
        <w:t>,</w:t>
      </w:r>
      <w:proofErr w:type="gramEnd"/>
      <w:r>
        <w:t xml:space="preserve"> overshadowed the processes that lead to the Ukrainian revolution in the first place. This session is specifically focused on the analysis of the Ukrainian troubled path to democracy. Being stuck between two agendas – the European and Russian – the Ukrainian leadership between the two </w:t>
      </w:r>
      <w:proofErr w:type="spellStart"/>
      <w:r>
        <w:t>Maidans</w:t>
      </w:r>
      <w:proofErr w:type="spellEnd"/>
      <w:r>
        <w:t xml:space="preserve"> struggled to make the decisive choice. The seemingly obvious choice of euro-integration was not imminent, as it was coming with losing the privileged trading relationships with Russia – Ukraine’s largest trading partner. As the choice was finally made through the bloodshed confrontation, it came with even higher price of </w:t>
      </w:r>
      <w:r w:rsidR="0025653C">
        <w:t>compromising the territorial integrity of Ukraine. During this seminar we will make an attempt to analyze and justify choices, made by the Ukrainian and Russian leaders and their outcomes for future development of the region.</w:t>
      </w:r>
    </w:p>
    <w:p w:rsidR="00766C1F" w:rsidRPr="00766C1F" w:rsidRDefault="00766C1F" w:rsidP="00766C1F">
      <w:pPr>
        <w:jc w:val="both"/>
        <w:rPr>
          <w:b/>
          <w:i/>
        </w:rPr>
      </w:pPr>
      <w:r w:rsidRPr="00766C1F">
        <w:rPr>
          <w:rFonts w:cstheme="minorHAnsi"/>
          <w:b/>
          <w:i/>
          <w:sz w:val="23"/>
          <w:szCs w:val="23"/>
        </w:rPr>
        <w:t xml:space="preserve">(!!!) </w:t>
      </w:r>
      <w:r>
        <w:rPr>
          <w:rFonts w:cstheme="minorHAnsi"/>
          <w:b/>
          <w:i/>
          <w:sz w:val="23"/>
          <w:szCs w:val="23"/>
        </w:rPr>
        <w:t>2</w:t>
      </w:r>
      <w:r w:rsidRPr="00766C1F">
        <w:rPr>
          <w:rFonts w:cstheme="minorHAnsi"/>
          <w:b/>
          <w:i/>
          <w:sz w:val="23"/>
          <w:szCs w:val="23"/>
          <w:vertAlign w:val="superscript"/>
        </w:rPr>
        <w:t>nd</w:t>
      </w:r>
      <w:r w:rsidRPr="00766C1F">
        <w:rPr>
          <w:rFonts w:cstheme="minorHAnsi"/>
          <w:b/>
          <w:i/>
          <w:sz w:val="23"/>
          <w:szCs w:val="23"/>
        </w:rPr>
        <w:t xml:space="preserve"> media analysis is due</w:t>
      </w:r>
    </w:p>
    <w:p w:rsidR="006F704B" w:rsidRDefault="006F704B" w:rsidP="009C617D">
      <w:pPr>
        <w:spacing w:after="0"/>
        <w:rPr>
          <w:i/>
        </w:rPr>
      </w:pPr>
    </w:p>
    <w:p w:rsidR="009C617D" w:rsidRPr="009206A3" w:rsidRDefault="009C617D" w:rsidP="009C617D">
      <w:pPr>
        <w:spacing w:after="0"/>
        <w:rPr>
          <w:i/>
        </w:rPr>
      </w:pPr>
      <w:r w:rsidRPr="009206A3">
        <w:rPr>
          <w:i/>
        </w:rPr>
        <w:lastRenderedPageBreak/>
        <w:t xml:space="preserve">Required: </w:t>
      </w:r>
    </w:p>
    <w:p w:rsidR="009E75CF" w:rsidRPr="00126E6C" w:rsidRDefault="009E75CF" w:rsidP="009E75CF">
      <w:pPr>
        <w:pStyle w:val="ListParagraph"/>
        <w:numPr>
          <w:ilvl w:val="0"/>
          <w:numId w:val="3"/>
        </w:numPr>
        <w:rPr>
          <w:i/>
        </w:rPr>
      </w:pPr>
      <w:proofErr w:type="spellStart"/>
      <w:r w:rsidRPr="009E75CF">
        <w:t>Åslund</w:t>
      </w:r>
      <w:proofErr w:type="spellEnd"/>
      <w:r>
        <w:t>,</w:t>
      </w:r>
      <w:r w:rsidRPr="009E75CF">
        <w:t xml:space="preserve"> Anders </w:t>
      </w:r>
      <w:r>
        <w:t xml:space="preserve">(2013). “Ukraine’s Choice: European Association Agreement or Eurasian Union?” </w:t>
      </w:r>
      <w:r w:rsidRPr="009E75CF">
        <w:rPr>
          <w:i/>
        </w:rPr>
        <w:t>Policy Brief</w:t>
      </w:r>
      <w:r>
        <w:rPr>
          <w:i/>
        </w:rPr>
        <w:t>.</w:t>
      </w:r>
      <w:r w:rsidRPr="009E75CF">
        <w:t xml:space="preserve"> </w:t>
      </w:r>
      <w:r w:rsidRPr="009E75CF">
        <w:rPr>
          <w:i/>
        </w:rPr>
        <w:t>Peterson Institut</w:t>
      </w:r>
      <w:r>
        <w:rPr>
          <w:i/>
        </w:rPr>
        <w:t xml:space="preserve">e for International Economics. </w:t>
      </w:r>
      <w:r>
        <w:t xml:space="preserve">Available on-line: </w:t>
      </w:r>
      <w:hyperlink r:id="rId10" w:history="1">
        <w:r w:rsidRPr="001F7A85">
          <w:rPr>
            <w:rStyle w:val="Hyperlink"/>
          </w:rPr>
          <w:t>http://wuw.iie.com/publications/pb/pb13-22.pdf</w:t>
        </w:r>
      </w:hyperlink>
      <w:r>
        <w:t xml:space="preserve"> </w:t>
      </w:r>
    </w:p>
    <w:p w:rsidR="00126E6C" w:rsidRDefault="00126E6C" w:rsidP="00126E6C">
      <w:pPr>
        <w:pStyle w:val="ListParagraph"/>
        <w:numPr>
          <w:ilvl w:val="0"/>
          <w:numId w:val="3"/>
        </w:numPr>
      </w:pPr>
      <w:proofErr w:type="spellStart"/>
      <w:r w:rsidRPr="00126E6C">
        <w:t>Biersack</w:t>
      </w:r>
      <w:proofErr w:type="spellEnd"/>
      <w:r w:rsidRPr="00126E6C">
        <w:t xml:space="preserve">, John; </w:t>
      </w:r>
      <w:proofErr w:type="spellStart"/>
      <w:r w:rsidRPr="00126E6C">
        <w:t>O'Lear</w:t>
      </w:r>
      <w:proofErr w:type="spellEnd"/>
      <w:r w:rsidRPr="00126E6C">
        <w:t>, Shannon</w:t>
      </w:r>
      <w:r>
        <w:t xml:space="preserve"> (</w:t>
      </w:r>
      <w:r w:rsidR="007C04B8">
        <w:t>2014</w:t>
      </w:r>
      <w:r>
        <w:t>). “</w:t>
      </w:r>
      <w:r w:rsidRPr="00126E6C">
        <w:t>The geopolitics of Russia's annexation of Crimea: narratives, identity, silences, and energy</w:t>
      </w:r>
      <w:r>
        <w:t xml:space="preserve">”. </w:t>
      </w:r>
      <w:r w:rsidRPr="00126E6C">
        <w:rPr>
          <w:i/>
        </w:rPr>
        <w:t>Eurasian Geography a</w:t>
      </w:r>
      <w:r>
        <w:rPr>
          <w:i/>
        </w:rPr>
        <w:t>nd Economics</w:t>
      </w:r>
      <w:r w:rsidRPr="00126E6C">
        <w:rPr>
          <w:i/>
        </w:rPr>
        <w:t>,</w:t>
      </w:r>
      <w:r w:rsidRPr="00126E6C">
        <w:t xml:space="preserve"> Vol</w:t>
      </w:r>
      <w:r>
        <w:t xml:space="preserve">. </w:t>
      </w:r>
      <w:r w:rsidRPr="00126E6C">
        <w:t xml:space="preserve"> 55</w:t>
      </w:r>
      <w:r>
        <w:t xml:space="preserve"> (</w:t>
      </w:r>
      <w:r w:rsidRPr="00126E6C">
        <w:t>3</w:t>
      </w:r>
      <w:r>
        <w:t>),</w:t>
      </w:r>
      <w:r w:rsidRPr="00126E6C">
        <w:t xml:space="preserve"> </w:t>
      </w:r>
      <w:r>
        <w:t>pp.</w:t>
      </w:r>
      <w:r w:rsidRPr="00126E6C">
        <w:t xml:space="preserve"> 247-269</w:t>
      </w:r>
    </w:p>
    <w:p w:rsidR="009575A7" w:rsidRDefault="009575A7" w:rsidP="009575A7">
      <w:pPr>
        <w:pStyle w:val="ListParagraph"/>
        <w:numPr>
          <w:ilvl w:val="0"/>
          <w:numId w:val="3"/>
        </w:numPr>
      </w:pPr>
      <w:proofErr w:type="spellStart"/>
      <w:r w:rsidRPr="009575A7">
        <w:t>Kudelia</w:t>
      </w:r>
      <w:proofErr w:type="spellEnd"/>
      <w:r>
        <w:t xml:space="preserve">, </w:t>
      </w:r>
      <w:proofErr w:type="spellStart"/>
      <w:r w:rsidRPr="009575A7">
        <w:t>Serhiy</w:t>
      </w:r>
      <w:proofErr w:type="spellEnd"/>
      <w:r w:rsidRPr="009575A7">
        <w:t xml:space="preserve"> </w:t>
      </w:r>
      <w:r>
        <w:t>(2014). “</w:t>
      </w:r>
      <w:r w:rsidRPr="009575A7">
        <w:t>The House That Yanukovych Built</w:t>
      </w:r>
      <w:r>
        <w:t xml:space="preserve">” </w:t>
      </w:r>
      <w:r w:rsidRPr="00B43A77">
        <w:rPr>
          <w:i/>
        </w:rPr>
        <w:t>Journal of Democracy</w:t>
      </w:r>
      <w:r>
        <w:rPr>
          <w:i/>
        </w:rPr>
        <w:t>,</w:t>
      </w:r>
      <w:r>
        <w:t xml:space="preserve"> </w:t>
      </w:r>
      <w:r w:rsidRPr="009575A7">
        <w:t xml:space="preserve"> </w:t>
      </w:r>
      <w:r>
        <w:t>Volume 25, (2)</w:t>
      </w:r>
    </w:p>
    <w:p w:rsidR="007C04B8" w:rsidRDefault="007C04B8" w:rsidP="00720AE2">
      <w:pPr>
        <w:pStyle w:val="ListParagraph"/>
        <w:numPr>
          <w:ilvl w:val="0"/>
          <w:numId w:val="3"/>
        </w:numPr>
        <w:spacing w:after="0"/>
        <w:ind w:left="714" w:hanging="357"/>
      </w:pPr>
      <w:proofErr w:type="spellStart"/>
      <w:r>
        <w:t>Popova</w:t>
      </w:r>
      <w:proofErr w:type="spellEnd"/>
      <w:r>
        <w:t xml:space="preserve">, Maria (2014). “Why the Orange Revolution Was Short and Peaceful and Euromaidan Long and Violent?” </w:t>
      </w:r>
      <w:r w:rsidRPr="007C04B8">
        <w:rPr>
          <w:i/>
        </w:rPr>
        <w:t xml:space="preserve">Problems </w:t>
      </w:r>
      <w:r>
        <w:rPr>
          <w:i/>
        </w:rPr>
        <w:t>o</w:t>
      </w:r>
      <w:r w:rsidRPr="007C04B8">
        <w:rPr>
          <w:i/>
        </w:rPr>
        <w:t>f Post-Communism</w:t>
      </w:r>
      <w:r>
        <w:rPr>
          <w:i/>
        </w:rPr>
        <w:t>,</w:t>
      </w:r>
      <w:r w:rsidRPr="007C04B8">
        <w:rPr>
          <w:i/>
        </w:rPr>
        <w:t xml:space="preserve"> </w:t>
      </w:r>
      <w:r>
        <w:t>Vol.61 (6), pp. 64-70</w:t>
      </w:r>
    </w:p>
    <w:p w:rsidR="00C10B97" w:rsidRDefault="00C10B97" w:rsidP="00C10B97">
      <w:pPr>
        <w:pStyle w:val="ListParagraph"/>
        <w:numPr>
          <w:ilvl w:val="0"/>
          <w:numId w:val="3"/>
        </w:numPr>
        <w:spacing w:after="0"/>
      </w:pPr>
      <w:proofErr w:type="spellStart"/>
      <w:r>
        <w:t>Mankoff</w:t>
      </w:r>
      <w:proofErr w:type="spellEnd"/>
      <w:r>
        <w:t>, Jeffrey (2014).  “</w:t>
      </w:r>
      <w:r w:rsidRPr="00C10B97">
        <w:t>Russia's Latest Land Grab: How Putin Won Crimea and Lost Ukraine</w:t>
      </w:r>
      <w:r>
        <w:t xml:space="preserve">” </w:t>
      </w:r>
      <w:r w:rsidRPr="00C10B97">
        <w:rPr>
          <w:i/>
        </w:rPr>
        <w:t>Foreign Affairs</w:t>
      </w:r>
      <w:proofErr w:type="gramStart"/>
      <w:r w:rsidRPr="00C10B97">
        <w:rPr>
          <w:i/>
        </w:rPr>
        <w:t>,</w:t>
      </w:r>
      <w:r>
        <w:t xml:space="preserve">  Vol</w:t>
      </w:r>
      <w:proofErr w:type="gramEnd"/>
      <w:r>
        <w:t>. 93.</w:t>
      </w:r>
    </w:p>
    <w:p w:rsidR="00720AE2" w:rsidRPr="00720AE2" w:rsidRDefault="00720AE2" w:rsidP="00766C1F">
      <w:pPr>
        <w:spacing w:after="0"/>
        <w:rPr>
          <w:i/>
        </w:rPr>
      </w:pPr>
      <w:r w:rsidRPr="00720AE2">
        <w:rPr>
          <w:i/>
        </w:rPr>
        <w:t>Supplementary:</w:t>
      </w:r>
    </w:p>
    <w:p w:rsidR="007C04B8" w:rsidRDefault="003754EE" w:rsidP="003754EE">
      <w:pPr>
        <w:pStyle w:val="ListParagraph"/>
        <w:numPr>
          <w:ilvl w:val="0"/>
          <w:numId w:val="3"/>
        </w:numPr>
      </w:pPr>
      <w:proofErr w:type="spellStart"/>
      <w:r>
        <w:t>Bartles</w:t>
      </w:r>
      <w:proofErr w:type="spellEnd"/>
      <w:r>
        <w:t xml:space="preserve">, Charles K. (2014). “Russia’s Military Operation in Crimea: Road-Testing Rapid Reaction Capabilities” </w:t>
      </w:r>
      <w:r w:rsidRPr="003754EE">
        <w:rPr>
          <w:i/>
        </w:rPr>
        <w:t>Problems of Post-Communism,</w:t>
      </w:r>
      <w:r w:rsidRPr="003754EE">
        <w:t xml:space="preserve"> Vol</w:t>
      </w:r>
      <w:r>
        <w:t xml:space="preserve">. </w:t>
      </w:r>
      <w:r w:rsidRPr="003754EE">
        <w:t>61</w:t>
      </w:r>
      <w:r>
        <w:t xml:space="preserve"> (</w:t>
      </w:r>
      <w:r w:rsidRPr="003754EE">
        <w:t>6</w:t>
      </w:r>
      <w:r>
        <w:t>)</w:t>
      </w:r>
      <w:proofErr w:type="gramStart"/>
      <w:r>
        <w:t xml:space="preserve">, </w:t>
      </w:r>
      <w:r w:rsidRPr="003754EE">
        <w:t xml:space="preserve"> </w:t>
      </w:r>
      <w:r>
        <w:t>pp</w:t>
      </w:r>
      <w:proofErr w:type="gramEnd"/>
      <w:r>
        <w:t>. 46-63.</w:t>
      </w:r>
    </w:p>
    <w:p w:rsidR="00B43A77" w:rsidRDefault="00B43A77" w:rsidP="00B43A77">
      <w:pPr>
        <w:pStyle w:val="ListParagraph"/>
        <w:numPr>
          <w:ilvl w:val="0"/>
          <w:numId w:val="3"/>
        </w:numPr>
      </w:pPr>
      <w:r>
        <w:t>Way, Lucan (2014). “</w:t>
      </w:r>
      <w:r w:rsidRPr="00B43A77">
        <w:t>Civil Society and Democratization</w:t>
      </w:r>
      <w:r>
        <w:t xml:space="preserve">”.  </w:t>
      </w:r>
      <w:r w:rsidRPr="00B43A77">
        <w:rPr>
          <w:i/>
        </w:rPr>
        <w:t>Journal of Democracy</w:t>
      </w:r>
      <w:r>
        <w:rPr>
          <w:i/>
        </w:rPr>
        <w:t>,</w:t>
      </w:r>
      <w:r>
        <w:t xml:space="preserve"> Vol. 25 (3), pp. 35-43</w:t>
      </w:r>
    </w:p>
    <w:p w:rsidR="00D852C6" w:rsidRDefault="00786DD2" w:rsidP="00786DD2">
      <w:pPr>
        <w:pStyle w:val="Heading2"/>
      </w:pPr>
      <w:r>
        <w:t>Session 1</w:t>
      </w:r>
      <w:r w:rsidR="00C27E8C">
        <w:t>2</w:t>
      </w:r>
      <w:r>
        <w:t xml:space="preserve">. </w:t>
      </w:r>
      <w:r w:rsidR="00D852C6">
        <w:t>(June 15).</w:t>
      </w:r>
    </w:p>
    <w:p w:rsidR="00786DD2" w:rsidRDefault="00786DD2" w:rsidP="00D852C6">
      <w:pPr>
        <w:pStyle w:val="Heading3"/>
      </w:pPr>
      <w:r>
        <w:t>Civil War in Ukraine</w:t>
      </w:r>
      <w:r w:rsidR="00653A26">
        <w:t>: a</w:t>
      </w:r>
      <w:r w:rsidR="00BF5846">
        <w:t>nalyzing conflicting discourses</w:t>
      </w:r>
    </w:p>
    <w:p w:rsidR="00014DFC" w:rsidRDefault="00014DFC" w:rsidP="00014DFC">
      <w:pPr>
        <w:jc w:val="both"/>
      </w:pPr>
      <w:r>
        <w:t xml:space="preserve">This week’s seminar will also focus on a comparative analysis of conflicting media representations of the conflict in Russia, Ukraine and the West. The seminar will delve into the core factors that drive the contemporary propaganda and revive the Cold War rhetoric. </w:t>
      </w:r>
      <w:proofErr w:type="gramStart"/>
      <w:r>
        <w:t>Such media sources as CNN, RT (Russia Today), BBC, as well as official press-releases.</w:t>
      </w:r>
      <w:proofErr w:type="gramEnd"/>
    </w:p>
    <w:p w:rsidR="00766C1F" w:rsidRPr="00766C1F" w:rsidRDefault="00766C1F" w:rsidP="00014DFC">
      <w:pPr>
        <w:jc w:val="both"/>
        <w:rPr>
          <w:b/>
          <w:i/>
        </w:rPr>
      </w:pPr>
      <w:r>
        <w:rPr>
          <w:b/>
          <w:i/>
        </w:rPr>
        <w:t>(!!!) Term-paper is due.</w:t>
      </w:r>
    </w:p>
    <w:p w:rsidR="009C617D" w:rsidRPr="009206A3" w:rsidRDefault="009C617D" w:rsidP="009C617D">
      <w:pPr>
        <w:spacing w:after="0"/>
        <w:rPr>
          <w:i/>
        </w:rPr>
      </w:pPr>
      <w:r w:rsidRPr="009206A3">
        <w:rPr>
          <w:i/>
        </w:rPr>
        <w:t xml:space="preserve">Required: </w:t>
      </w:r>
    </w:p>
    <w:p w:rsidR="00B43A77" w:rsidRDefault="00B43A77" w:rsidP="00B43A77">
      <w:pPr>
        <w:pStyle w:val="ListParagraph"/>
        <w:numPr>
          <w:ilvl w:val="0"/>
          <w:numId w:val="7"/>
        </w:numPr>
      </w:pPr>
      <w:proofErr w:type="spellStart"/>
      <w:r>
        <w:t>Wawrzonek</w:t>
      </w:r>
      <w:proofErr w:type="spellEnd"/>
      <w:r>
        <w:t>, Michal (2014). “Ukraine in the "Gray Zone": Between the "</w:t>
      </w:r>
      <w:proofErr w:type="spellStart"/>
      <w:r>
        <w:t>Russkiy</w:t>
      </w:r>
      <w:proofErr w:type="spellEnd"/>
      <w:r>
        <w:t xml:space="preserve"> Mir" and Europe” </w:t>
      </w:r>
      <w:r w:rsidRPr="00720AE2">
        <w:rPr>
          <w:i/>
        </w:rPr>
        <w:t xml:space="preserve">East European Politics </w:t>
      </w:r>
      <w:r>
        <w:rPr>
          <w:i/>
        </w:rPr>
        <w:t>a</w:t>
      </w:r>
      <w:r w:rsidRPr="00720AE2">
        <w:rPr>
          <w:i/>
        </w:rPr>
        <w:t xml:space="preserve">nd Societies  </w:t>
      </w:r>
      <w:r>
        <w:t>Vol. 28 (4), pp. 758-780</w:t>
      </w:r>
    </w:p>
    <w:p w:rsidR="00B43A77" w:rsidRDefault="00B43A77" w:rsidP="00B43A77">
      <w:pPr>
        <w:pStyle w:val="ListParagraph"/>
        <w:numPr>
          <w:ilvl w:val="0"/>
          <w:numId w:val="7"/>
        </w:numPr>
      </w:pPr>
      <w:r>
        <w:t xml:space="preserve">Allison, Roy (2014). “Russian 'deniable' intervention in Ukraine: how and why Russia broke the rules”. </w:t>
      </w:r>
      <w:r w:rsidRPr="00720AE2">
        <w:rPr>
          <w:i/>
        </w:rPr>
        <w:t>International Affairs</w:t>
      </w:r>
      <w:r>
        <w:rPr>
          <w:i/>
        </w:rPr>
        <w:t xml:space="preserve">, </w:t>
      </w:r>
      <w:r>
        <w:t>Vol. 90 (6), pp.  1255-1297.</w:t>
      </w:r>
    </w:p>
    <w:p w:rsidR="00720AE2" w:rsidRDefault="00720AE2" w:rsidP="00720AE2">
      <w:pPr>
        <w:pStyle w:val="ListParagraph"/>
        <w:numPr>
          <w:ilvl w:val="0"/>
          <w:numId w:val="7"/>
        </w:numPr>
        <w:jc w:val="both"/>
      </w:pPr>
      <w:r>
        <w:t xml:space="preserve">Benn, David Wedgwood (2014). “On re-examining western attitudes to Russia”. </w:t>
      </w:r>
      <w:r w:rsidRPr="00720AE2">
        <w:rPr>
          <w:i/>
        </w:rPr>
        <w:t>International Affairs</w:t>
      </w:r>
      <w:r>
        <w:t>,</w:t>
      </w:r>
      <w:r w:rsidRPr="00720AE2">
        <w:t xml:space="preserve"> </w:t>
      </w:r>
      <w:r>
        <w:t>Vol. 90 (6), pp. 1319-1328</w:t>
      </w:r>
    </w:p>
    <w:p w:rsidR="00720AE2" w:rsidRDefault="00720AE2" w:rsidP="00720AE2">
      <w:pPr>
        <w:pStyle w:val="ListParagraph"/>
        <w:numPr>
          <w:ilvl w:val="0"/>
          <w:numId w:val="7"/>
        </w:numPr>
        <w:spacing w:after="0"/>
        <w:ind w:left="714" w:hanging="357"/>
      </w:pPr>
      <w:r>
        <w:t xml:space="preserve">Lawrence, Freedman (2014). “Ukraine and the Art of Limited War”, </w:t>
      </w:r>
      <w:r w:rsidRPr="00720AE2">
        <w:rPr>
          <w:i/>
        </w:rPr>
        <w:t>Survival: Global Politics and Strategy</w:t>
      </w:r>
      <w:r>
        <w:t>, Vol. 56 (6), pp. 7-38</w:t>
      </w:r>
    </w:p>
    <w:p w:rsidR="00C10B97" w:rsidRDefault="00C10B97" w:rsidP="00C10B97">
      <w:pPr>
        <w:pStyle w:val="ListParagraph"/>
        <w:numPr>
          <w:ilvl w:val="0"/>
          <w:numId w:val="7"/>
        </w:numPr>
        <w:spacing w:after="0"/>
      </w:pPr>
      <w:proofErr w:type="spellStart"/>
      <w:r w:rsidRPr="00C10B97">
        <w:t>Mearsheimer</w:t>
      </w:r>
      <w:proofErr w:type="spellEnd"/>
      <w:r w:rsidRPr="00C10B97">
        <w:t>, John J.</w:t>
      </w:r>
      <w:r>
        <w:t xml:space="preserve"> (2014). “</w:t>
      </w:r>
      <w:r w:rsidRPr="00C10B97">
        <w:t>Why the Ukraine Crisis Is the West's Fault: The Liberal Delusions That Provoked Putin</w:t>
      </w:r>
      <w:r>
        <w:t xml:space="preserve">”. </w:t>
      </w:r>
      <w:r>
        <w:rPr>
          <w:i/>
        </w:rPr>
        <w:t xml:space="preserve">Foreign Affairs, </w:t>
      </w:r>
      <w:r>
        <w:t>Vol. 77</w:t>
      </w:r>
      <w:r w:rsidRPr="00C10B97">
        <w:t xml:space="preserve"> </w:t>
      </w:r>
    </w:p>
    <w:p w:rsidR="006F704B" w:rsidRDefault="006F704B" w:rsidP="00FB15E3">
      <w:pPr>
        <w:pBdr>
          <w:bottom w:val="single" w:sz="4" w:space="1" w:color="auto"/>
        </w:pBdr>
        <w:rPr>
          <w:rFonts w:cs="Arial"/>
          <w:b/>
          <w:bCs/>
          <w:lang w:val="en-GB"/>
        </w:rPr>
      </w:pPr>
    </w:p>
    <w:p w:rsidR="006F704B" w:rsidRDefault="006F704B" w:rsidP="00FB15E3">
      <w:pPr>
        <w:pBdr>
          <w:bottom w:val="single" w:sz="4" w:space="1" w:color="auto"/>
        </w:pBdr>
        <w:rPr>
          <w:rFonts w:cs="Arial"/>
          <w:b/>
          <w:bCs/>
          <w:lang w:val="en-GB"/>
        </w:rPr>
      </w:pPr>
    </w:p>
    <w:p w:rsidR="00FB15E3" w:rsidRPr="007E7A1E" w:rsidRDefault="00FB15E3" w:rsidP="00FB15E3">
      <w:pPr>
        <w:pBdr>
          <w:bottom w:val="single" w:sz="4" w:space="1" w:color="auto"/>
        </w:pBdr>
        <w:rPr>
          <w:rFonts w:cs="Arial"/>
          <w:b/>
          <w:bCs/>
          <w:lang w:val="en-GB"/>
        </w:rPr>
      </w:pPr>
      <w:r w:rsidRPr="007E7A1E">
        <w:rPr>
          <w:rFonts w:cs="Arial"/>
          <w:b/>
          <w:bCs/>
          <w:lang w:val="en-GB"/>
        </w:rPr>
        <w:lastRenderedPageBreak/>
        <w:t>Academic Accommodations</w:t>
      </w:r>
    </w:p>
    <w:p w:rsidR="00FB15E3" w:rsidRPr="007E7A1E" w:rsidRDefault="00FB15E3" w:rsidP="00FB15E3">
      <w:pPr>
        <w:spacing w:before="100" w:beforeAutospacing="1" w:after="100" w:afterAutospacing="1"/>
        <w:rPr>
          <w:rFonts w:cs="Arial"/>
          <w:color w:val="000000"/>
        </w:rPr>
      </w:pPr>
      <w:r w:rsidRPr="007E7A1E">
        <w:rPr>
          <w:rFonts w:cs="Arial"/>
          <w:color w:val="000000"/>
        </w:rPr>
        <w:t xml:space="preserve">The Paul </w:t>
      </w:r>
      <w:proofErr w:type="spellStart"/>
      <w:r w:rsidRPr="007E7A1E">
        <w:rPr>
          <w:rFonts w:cs="Arial"/>
          <w:color w:val="000000"/>
        </w:rPr>
        <w:t>Menton</w:t>
      </w:r>
      <w:proofErr w:type="spellEnd"/>
      <w:r w:rsidRPr="007E7A1E">
        <w:rPr>
          <w:rFonts w:cs="Arial"/>
          <w:color w:val="000000"/>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1" w:history="1">
        <w:r w:rsidRPr="007E7A1E">
          <w:rPr>
            <w:rStyle w:val="Hyperlink"/>
            <w:rFonts w:cs="Arial"/>
            <w:color w:val="000000"/>
          </w:rPr>
          <w:t>pmc@carleton.ca</w:t>
        </w:r>
      </w:hyperlink>
      <w:r w:rsidRPr="007E7A1E">
        <w:rPr>
          <w:rFonts w:cs="Arial"/>
          <w:color w:val="000000"/>
        </w:rPr>
        <w:t xml:space="preserve"> for a formal evaluation. If you are already registered with the PMC, contact your PMC coordinator to send me your </w:t>
      </w:r>
      <w:r w:rsidRPr="007E7A1E">
        <w:rPr>
          <w:rFonts w:cs="Arial"/>
          <w:b/>
          <w:bCs/>
          <w:i/>
          <w:iCs/>
          <w:color w:val="000000"/>
        </w:rPr>
        <w:t>Letter of Accommodation</w:t>
      </w:r>
      <w:r w:rsidRPr="007E7A1E">
        <w:rPr>
          <w:rFonts w:cs="Arial"/>
          <w:color w:val="000000"/>
        </w:rPr>
        <w:t xml:space="preserve"> at the beginning of the term, and no later than two weeks before the first in-class scheduled test or exam requiring accommodation (</w:t>
      </w:r>
      <w:r w:rsidRPr="007E7A1E">
        <w:rPr>
          <w:rFonts w:cs="Arial"/>
          <w:i/>
          <w:iCs/>
          <w:color w:val="000000"/>
        </w:rPr>
        <w:t>if applicable</w:t>
      </w:r>
      <w:r w:rsidRPr="007E7A1E">
        <w:rPr>
          <w:rFonts w:cs="Arial"/>
          <w:color w:val="000000"/>
        </w:rPr>
        <w:t>). After requesting accommodation from PMC, meet with me to ensure accommodation arrangements are made. Please consult the PMC website for the deadline to request accommodations for the formally-scheduled exam (</w:t>
      </w:r>
      <w:r w:rsidRPr="007E7A1E">
        <w:rPr>
          <w:rFonts w:cs="Arial"/>
          <w:i/>
          <w:iCs/>
          <w:color w:val="000000"/>
        </w:rPr>
        <w:t>if applicable</w:t>
      </w:r>
      <w:r w:rsidRPr="007E7A1E">
        <w:rPr>
          <w:rFonts w:cs="Arial"/>
          <w:color w:val="000000"/>
        </w:rPr>
        <w:t xml:space="preserve">). </w:t>
      </w:r>
    </w:p>
    <w:p w:rsidR="00FB15E3" w:rsidRPr="007E7A1E" w:rsidRDefault="00FB15E3" w:rsidP="00FB15E3">
      <w:pPr>
        <w:rPr>
          <w:rFonts w:cs="Arial"/>
          <w:lang w:val="en-GB"/>
        </w:rPr>
      </w:pPr>
      <w:r w:rsidRPr="007E7A1E">
        <w:rPr>
          <w:rFonts w:cs="Arial"/>
          <w:b/>
          <w:lang w:val="en-GB"/>
        </w:rPr>
        <w:t>For Religious Observance:</w:t>
      </w:r>
      <w:r w:rsidRPr="007E7A1E">
        <w:rPr>
          <w:rFonts w:cs="Arial"/>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Equity Services Advisor for assistance (www.carleton.ca/equity).</w:t>
      </w:r>
    </w:p>
    <w:p w:rsidR="00FB15E3" w:rsidRPr="007E7A1E" w:rsidRDefault="00FB15E3" w:rsidP="00FB15E3">
      <w:pPr>
        <w:rPr>
          <w:rFonts w:cs="Arial"/>
          <w:lang w:val="en-GB"/>
        </w:rPr>
      </w:pPr>
      <w:r w:rsidRPr="007E7A1E">
        <w:rPr>
          <w:rFonts w:cs="Arial"/>
          <w:b/>
          <w:lang w:val="en-GB"/>
        </w:rPr>
        <w:t>For Pregnancy:</w:t>
      </w:r>
      <w:r w:rsidRPr="007E7A1E">
        <w:rPr>
          <w:rFonts w:cs="Arial"/>
          <w:lang w:val="en-GB"/>
        </w:rPr>
        <w:t xml:space="preserve"> Pregnant students requiring academic accommodations are encouraged to contact an Equity Advisor in Equity Services to complete a </w:t>
      </w:r>
      <w:r w:rsidRPr="007E7A1E">
        <w:rPr>
          <w:rFonts w:cs="Arial"/>
          <w:i/>
          <w:iCs/>
          <w:lang w:val="en-GB"/>
        </w:rPr>
        <w:t>letter of accommodation</w:t>
      </w:r>
      <w:r w:rsidRPr="007E7A1E">
        <w:rPr>
          <w:rFonts w:cs="Arial"/>
          <w:lang w:val="en-GB"/>
        </w:rPr>
        <w:t>. Then, make an appointment to discuss your needs with the instructor at least two weeks prior to the first academic event in which it is anticipated the accommodation will be required.</w:t>
      </w:r>
    </w:p>
    <w:p w:rsidR="00FB15E3" w:rsidRPr="007E7A1E" w:rsidRDefault="00FB15E3" w:rsidP="00FB15E3">
      <w:pPr>
        <w:rPr>
          <w:rFonts w:cs="Arial"/>
          <w:lang w:val="en-GB"/>
        </w:rPr>
      </w:pPr>
      <w:r w:rsidRPr="007E7A1E">
        <w:rPr>
          <w:rFonts w:cs="Arial"/>
          <w:b/>
          <w:bCs/>
          <w:lang w:val="en-GB"/>
        </w:rPr>
        <w:t>Plagiarism</w:t>
      </w:r>
      <w:r w:rsidRPr="007E7A1E">
        <w:rPr>
          <w:rFonts w:cs="Arial"/>
          <w:b/>
          <w:lang w:val="en-GB"/>
        </w:rPr>
        <w:t xml:space="preserve">: </w:t>
      </w:r>
      <w:r w:rsidRPr="007E7A1E">
        <w:rPr>
          <w:rFonts w:cs="Arial"/>
          <w:lang w:val="en-GB"/>
        </w:rPr>
        <w:t xml:space="preserve">The University Senate defines plagiarism as “presenting, whether intentional or not, the ideas, expression of ideas or work of others as one’s own.”  This can include:  </w:t>
      </w:r>
    </w:p>
    <w:p w:rsidR="00FB15E3" w:rsidRPr="007E7A1E" w:rsidRDefault="00FB15E3" w:rsidP="00FB15E3">
      <w:pPr>
        <w:numPr>
          <w:ilvl w:val="0"/>
          <w:numId w:val="8"/>
        </w:numPr>
        <w:autoSpaceDE w:val="0"/>
        <w:autoSpaceDN w:val="0"/>
        <w:adjustRightInd w:val="0"/>
        <w:spacing w:after="0" w:line="240" w:lineRule="auto"/>
        <w:rPr>
          <w:rFonts w:cs="Arial"/>
          <w:lang w:val="en-GB"/>
        </w:rPr>
      </w:pPr>
      <w:r w:rsidRPr="007E7A1E">
        <w:rPr>
          <w:rFonts w:cs="Arial"/>
          <w:lang w:val="en-GB"/>
        </w:rPr>
        <w:t>reproducing or paraphrasing portions of someone else’s published or unpublished material, regardless of the source, and presenting these as one’s own without proper citation or reference to the original source;</w:t>
      </w:r>
    </w:p>
    <w:p w:rsidR="00FB15E3" w:rsidRPr="007E7A1E" w:rsidRDefault="00FB15E3" w:rsidP="00FB15E3">
      <w:pPr>
        <w:numPr>
          <w:ilvl w:val="0"/>
          <w:numId w:val="8"/>
        </w:numPr>
        <w:autoSpaceDE w:val="0"/>
        <w:autoSpaceDN w:val="0"/>
        <w:adjustRightInd w:val="0"/>
        <w:spacing w:after="0" w:line="240" w:lineRule="auto"/>
        <w:rPr>
          <w:rFonts w:cs="Arial"/>
          <w:lang w:val="en-GB"/>
        </w:rPr>
      </w:pPr>
      <w:r w:rsidRPr="007E7A1E">
        <w:rPr>
          <w:rFonts w:cs="Arial"/>
          <w:lang w:val="en-GB"/>
        </w:rPr>
        <w:t>submitting a take-home examination, essay, laboratory report or other assignment written, in whole or in part, by someone else;</w:t>
      </w:r>
    </w:p>
    <w:p w:rsidR="00FB15E3" w:rsidRPr="007E7A1E" w:rsidRDefault="00FB15E3" w:rsidP="00FB15E3">
      <w:pPr>
        <w:numPr>
          <w:ilvl w:val="0"/>
          <w:numId w:val="8"/>
        </w:numPr>
        <w:autoSpaceDE w:val="0"/>
        <w:autoSpaceDN w:val="0"/>
        <w:adjustRightInd w:val="0"/>
        <w:spacing w:after="0" w:line="240" w:lineRule="auto"/>
        <w:rPr>
          <w:rFonts w:cs="Arial"/>
          <w:lang w:val="en-GB"/>
        </w:rPr>
      </w:pPr>
      <w:r w:rsidRPr="007E7A1E">
        <w:rPr>
          <w:rFonts w:cs="Arial"/>
          <w:lang w:val="en-GB"/>
        </w:rPr>
        <w:t>using ideas or direct, verbatim quotations, or paraphrased material, concepts, or ideas without appropriate acknowledgment in any academic assignment;</w:t>
      </w:r>
    </w:p>
    <w:p w:rsidR="00FB15E3" w:rsidRPr="007E7A1E" w:rsidRDefault="00FB15E3" w:rsidP="00FB15E3">
      <w:pPr>
        <w:numPr>
          <w:ilvl w:val="0"/>
          <w:numId w:val="8"/>
        </w:numPr>
        <w:autoSpaceDE w:val="0"/>
        <w:autoSpaceDN w:val="0"/>
        <w:adjustRightInd w:val="0"/>
        <w:spacing w:after="0" w:line="240" w:lineRule="auto"/>
        <w:rPr>
          <w:rFonts w:cs="Arial"/>
          <w:lang w:val="en-GB"/>
        </w:rPr>
      </w:pPr>
      <w:r w:rsidRPr="007E7A1E">
        <w:rPr>
          <w:rFonts w:cs="Arial"/>
          <w:lang w:val="en-GB"/>
        </w:rPr>
        <w:t>using another’s data or research findings;</w:t>
      </w:r>
    </w:p>
    <w:p w:rsidR="00FB15E3" w:rsidRPr="007E7A1E" w:rsidRDefault="00FB15E3" w:rsidP="00FB15E3">
      <w:pPr>
        <w:numPr>
          <w:ilvl w:val="0"/>
          <w:numId w:val="8"/>
        </w:numPr>
        <w:autoSpaceDE w:val="0"/>
        <w:autoSpaceDN w:val="0"/>
        <w:adjustRightInd w:val="0"/>
        <w:spacing w:after="0" w:line="240" w:lineRule="auto"/>
        <w:rPr>
          <w:rFonts w:cs="Arial"/>
          <w:lang w:val="en-GB"/>
        </w:rPr>
      </w:pPr>
      <w:r w:rsidRPr="007E7A1E">
        <w:rPr>
          <w:rFonts w:cs="Arial"/>
          <w:lang w:val="en-GB"/>
        </w:rPr>
        <w:t>failing to acknowledge sources through the use of proper citations when using another’s works and/or failing to use quotation marks;</w:t>
      </w:r>
    </w:p>
    <w:p w:rsidR="00FB15E3" w:rsidRPr="007E7A1E" w:rsidRDefault="00FB15E3" w:rsidP="00FB15E3">
      <w:pPr>
        <w:numPr>
          <w:ilvl w:val="0"/>
          <w:numId w:val="8"/>
        </w:numPr>
        <w:autoSpaceDE w:val="0"/>
        <w:autoSpaceDN w:val="0"/>
        <w:adjustRightInd w:val="0"/>
        <w:spacing w:after="0" w:line="240" w:lineRule="auto"/>
        <w:rPr>
          <w:rFonts w:cs="Arial"/>
          <w:lang w:val="en-GB"/>
        </w:rPr>
      </w:pPr>
      <w:proofErr w:type="gramStart"/>
      <w:r w:rsidRPr="007E7A1E">
        <w:rPr>
          <w:rFonts w:cs="Arial"/>
          <w:lang w:val="en-GB"/>
        </w:rPr>
        <w:t>handing</w:t>
      </w:r>
      <w:proofErr w:type="gramEnd"/>
      <w:r w:rsidRPr="007E7A1E">
        <w:rPr>
          <w:rFonts w:cs="Arial"/>
          <w:lang w:val="en-GB"/>
        </w:rPr>
        <w:t xml:space="preserve"> in "substantially the same piece of work for academic credit more than once without prior written permission of the course instructor in which the submission occurs.</w:t>
      </w:r>
    </w:p>
    <w:p w:rsidR="00FB15E3" w:rsidRPr="007E7A1E" w:rsidRDefault="00FB15E3" w:rsidP="00FB15E3">
      <w:pPr>
        <w:ind w:left="144"/>
        <w:rPr>
          <w:rFonts w:cs="Arial"/>
          <w:lang w:val="en-GB"/>
        </w:rPr>
      </w:pPr>
    </w:p>
    <w:p w:rsidR="00FB15E3" w:rsidRPr="007E7A1E" w:rsidRDefault="00FB15E3" w:rsidP="00FB15E3">
      <w:pPr>
        <w:rPr>
          <w:rFonts w:cs="Arial"/>
          <w:lang w:val="en-GB"/>
        </w:rPr>
      </w:pPr>
      <w:r w:rsidRPr="007E7A1E">
        <w:rPr>
          <w:rFonts w:cs="Arial"/>
          <w:lang w:val="en-GB"/>
        </w:rPr>
        <w:lastRenderedPageBreak/>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rsidR="00FB15E3" w:rsidRPr="007E7A1E" w:rsidRDefault="00FB15E3" w:rsidP="00FB15E3">
      <w:pPr>
        <w:rPr>
          <w:rFonts w:cs="Arial"/>
          <w:lang w:val="en-GB"/>
        </w:rPr>
      </w:pPr>
      <w:r w:rsidRPr="007E7A1E">
        <w:rPr>
          <w:rFonts w:cs="Arial"/>
          <w:b/>
          <w:bCs/>
          <w:lang w:val="en-GB"/>
        </w:rPr>
        <w:t>Submission and Return of Term Work</w:t>
      </w:r>
      <w:r w:rsidRPr="007E7A1E">
        <w:rPr>
          <w:rFonts w:cs="Arial"/>
          <w:b/>
          <w:lang w:val="en-GB"/>
        </w:rPr>
        <w:t>:</w:t>
      </w:r>
      <w:r w:rsidRPr="007E7A1E">
        <w:rPr>
          <w:rFonts w:cs="Arial"/>
          <w:lang w:val="en-GB"/>
        </w:rPr>
        <w:t xml:space="preserve"> Papers must be submitted directly to the instructor according to the instructions in the course outline and </w:t>
      </w:r>
      <w:r w:rsidRPr="007E7A1E">
        <w:rPr>
          <w:rFonts w:cs="Arial"/>
          <w:u w:val="single"/>
          <w:lang w:val="en-GB"/>
        </w:rPr>
        <w:t>will not</w:t>
      </w:r>
      <w:r w:rsidRPr="007E7A1E">
        <w:rPr>
          <w:rFonts w:cs="Arial"/>
          <w:lang w:val="en-GB"/>
        </w:rPr>
        <w:t xml:space="preserve"> be date-stamped in the departmental office. Late assignments may be submitted to the drop box in the corridor outside B640 Loeb. Assignments will be retrieved every business day at </w:t>
      </w:r>
      <w:r w:rsidRPr="007E7A1E">
        <w:rPr>
          <w:rFonts w:cs="Arial"/>
          <w:b/>
          <w:lang w:val="en-GB"/>
        </w:rPr>
        <w:t>4 p.m.</w:t>
      </w:r>
      <w:r w:rsidRPr="007E7A1E">
        <w:rPr>
          <w:rFonts w:cs="Arial"/>
          <w:lang w:val="en-GB"/>
        </w:rPr>
        <w:t xml:space="preserve">, stamped with that day's date, and then distributed to the instructor.  For essays not returned in class please attach a </w:t>
      </w:r>
      <w:r w:rsidRPr="007E7A1E">
        <w:rPr>
          <w:rFonts w:cs="Arial"/>
          <w:b/>
          <w:bCs/>
          <w:lang w:val="en-GB"/>
        </w:rPr>
        <w:t>stamped, self-addressed envelope</w:t>
      </w:r>
      <w:r w:rsidRPr="007E7A1E">
        <w:rPr>
          <w:rFonts w:cs="Arial"/>
          <w:lang w:val="en-GB"/>
        </w:rPr>
        <w:t xml:space="preserve"> if you wish to have your assignment returned by mail.  Final exams are intended solely for the purpose of evaluation and </w:t>
      </w:r>
      <w:r w:rsidRPr="007E7A1E">
        <w:rPr>
          <w:rFonts w:cs="Arial"/>
          <w:u w:val="single"/>
          <w:lang w:val="en-GB"/>
        </w:rPr>
        <w:t>will not</w:t>
      </w:r>
      <w:r w:rsidRPr="007E7A1E">
        <w:rPr>
          <w:rFonts w:cs="Arial"/>
          <w:lang w:val="en-GB"/>
        </w:rPr>
        <w:t xml:space="preserve"> be returned.</w:t>
      </w:r>
    </w:p>
    <w:p w:rsidR="00FB15E3" w:rsidRDefault="00FB15E3" w:rsidP="00FB15E3">
      <w:pPr>
        <w:spacing w:before="100" w:beforeAutospacing="1" w:after="100" w:afterAutospacing="1"/>
        <w:rPr>
          <w:rFonts w:cs="Arial"/>
        </w:rPr>
      </w:pPr>
      <w:r w:rsidRPr="007E7A1E">
        <w:rPr>
          <w:rFonts w:cs="Arial"/>
          <w:b/>
        </w:rPr>
        <w:t xml:space="preserve">Grading: </w:t>
      </w:r>
      <w:r w:rsidRPr="007E7A1E">
        <w:rPr>
          <w:rFonts w:cs="Arial"/>
        </w:rPr>
        <w:t xml:space="preserve"> Standing in a course is determined by the course instructor, subject to the approval of the faculty Dean. Final standing in courses will be shown by alphabetical grades. The system of grades used, with corresponding grade points is: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FB15E3" w:rsidRPr="0051729A" w:rsidTr="00FA2DF0">
        <w:tc>
          <w:tcPr>
            <w:tcW w:w="1550" w:type="dxa"/>
            <w:tcBorders>
              <w:top w:val="single" w:sz="4" w:space="0" w:color="auto"/>
              <w:left w:val="single" w:sz="4" w:space="0" w:color="auto"/>
              <w:bottom w:val="doub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Percentage</w:t>
            </w:r>
          </w:p>
        </w:tc>
        <w:tc>
          <w:tcPr>
            <w:tcW w:w="1550" w:type="dxa"/>
            <w:tcBorders>
              <w:top w:val="single" w:sz="4" w:space="0" w:color="auto"/>
              <w:left w:val="single" w:sz="4" w:space="0" w:color="auto"/>
              <w:bottom w:val="doub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Letter grade</w:t>
            </w:r>
          </w:p>
        </w:tc>
        <w:tc>
          <w:tcPr>
            <w:tcW w:w="1550" w:type="dxa"/>
            <w:tcBorders>
              <w:top w:val="single" w:sz="4" w:space="0" w:color="auto"/>
              <w:left w:val="single" w:sz="4" w:space="0" w:color="auto"/>
              <w:bottom w:val="doub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12-point scale</w:t>
            </w:r>
          </w:p>
        </w:tc>
        <w:tc>
          <w:tcPr>
            <w:tcW w:w="1550" w:type="dxa"/>
            <w:tcBorders>
              <w:top w:val="single" w:sz="4" w:space="0" w:color="auto"/>
              <w:left w:val="double" w:sz="4" w:space="0" w:color="auto"/>
              <w:bottom w:val="doub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Percentage</w:t>
            </w:r>
          </w:p>
        </w:tc>
        <w:tc>
          <w:tcPr>
            <w:tcW w:w="1550" w:type="dxa"/>
            <w:tcBorders>
              <w:top w:val="single" w:sz="4" w:space="0" w:color="auto"/>
              <w:left w:val="single" w:sz="4" w:space="0" w:color="auto"/>
              <w:bottom w:val="doub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Letter grade</w:t>
            </w:r>
          </w:p>
        </w:tc>
        <w:tc>
          <w:tcPr>
            <w:tcW w:w="1551" w:type="dxa"/>
            <w:tcBorders>
              <w:top w:val="single" w:sz="4" w:space="0" w:color="auto"/>
              <w:left w:val="single" w:sz="4" w:space="0" w:color="auto"/>
              <w:bottom w:val="doub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12-point scale</w:t>
            </w:r>
          </w:p>
        </w:tc>
      </w:tr>
      <w:tr w:rsidR="00FB15E3" w:rsidRPr="0051729A" w:rsidTr="00FA2DF0">
        <w:tc>
          <w:tcPr>
            <w:tcW w:w="1550" w:type="dxa"/>
            <w:tcBorders>
              <w:top w:val="doub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90-100</w:t>
            </w:r>
          </w:p>
        </w:tc>
        <w:tc>
          <w:tcPr>
            <w:tcW w:w="1550" w:type="dxa"/>
            <w:tcBorders>
              <w:top w:val="doub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A+</w:t>
            </w:r>
          </w:p>
        </w:tc>
        <w:tc>
          <w:tcPr>
            <w:tcW w:w="1550" w:type="dxa"/>
            <w:tcBorders>
              <w:top w:val="double" w:sz="4" w:space="0" w:color="auto"/>
              <w:left w:val="single" w:sz="4" w:space="0" w:color="auto"/>
              <w:bottom w:val="sing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12</w:t>
            </w:r>
          </w:p>
        </w:tc>
        <w:tc>
          <w:tcPr>
            <w:tcW w:w="1550" w:type="dxa"/>
            <w:tcBorders>
              <w:top w:val="double" w:sz="4" w:space="0" w:color="auto"/>
              <w:left w:val="doub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67-69</w:t>
            </w:r>
          </w:p>
        </w:tc>
        <w:tc>
          <w:tcPr>
            <w:tcW w:w="1550" w:type="dxa"/>
            <w:tcBorders>
              <w:top w:val="doub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C+</w:t>
            </w:r>
          </w:p>
        </w:tc>
        <w:tc>
          <w:tcPr>
            <w:tcW w:w="1551" w:type="dxa"/>
            <w:tcBorders>
              <w:top w:val="doub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6</w:t>
            </w:r>
          </w:p>
        </w:tc>
      </w:tr>
      <w:tr w:rsidR="00FB15E3" w:rsidRPr="0051729A" w:rsidTr="00FA2DF0">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85-89</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A</w:t>
            </w:r>
          </w:p>
        </w:tc>
        <w:tc>
          <w:tcPr>
            <w:tcW w:w="1550" w:type="dxa"/>
            <w:tcBorders>
              <w:top w:val="single" w:sz="4" w:space="0" w:color="auto"/>
              <w:left w:val="single" w:sz="4" w:space="0" w:color="auto"/>
              <w:bottom w:val="sing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11</w:t>
            </w:r>
          </w:p>
        </w:tc>
        <w:tc>
          <w:tcPr>
            <w:tcW w:w="1550" w:type="dxa"/>
            <w:tcBorders>
              <w:top w:val="single" w:sz="4" w:space="0" w:color="auto"/>
              <w:left w:val="doub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63-66</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C</w:t>
            </w:r>
          </w:p>
        </w:tc>
        <w:tc>
          <w:tcPr>
            <w:tcW w:w="1551"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5</w:t>
            </w:r>
          </w:p>
        </w:tc>
      </w:tr>
      <w:tr w:rsidR="00FB15E3" w:rsidRPr="0051729A" w:rsidTr="00FA2DF0">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80-84</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A-</w:t>
            </w:r>
          </w:p>
        </w:tc>
        <w:tc>
          <w:tcPr>
            <w:tcW w:w="1550" w:type="dxa"/>
            <w:tcBorders>
              <w:top w:val="single" w:sz="4" w:space="0" w:color="auto"/>
              <w:left w:val="single" w:sz="4" w:space="0" w:color="auto"/>
              <w:bottom w:val="sing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10</w:t>
            </w:r>
          </w:p>
        </w:tc>
        <w:tc>
          <w:tcPr>
            <w:tcW w:w="1550" w:type="dxa"/>
            <w:tcBorders>
              <w:top w:val="single" w:sz="4" w:space="0" w:color="auto"/>
              <w:left w:val="doub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60-62</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C-</w:t>
            </w:r>
          </w:p>
        </w:tc>
        <w:tc>
          <w:tcPr>
            <w:tcW w:w="1551"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4</w:t>
            </w:r>
          </w:p>
        </w:tc>
      </w:tr>
      <w:tr w:rsidR="00FB15E3" w:rsidRPr="0051729A" w:rsidTr="00FA2DF0">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77-79</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B+</w:t>
            </w:r>
          </w:p>
        </w:tc>
        <w:tc>
          <w:tcPr>
            <w:tcW w:w="1550" w:type="dxa"/>
            <w:tcBorders>
              <w:top w:val="single" w:sz="4" w:space="0" w:color="auto"/>
              <w:left w:val="single" w:sz="4" w:space="0" w:color="auto"/>
              <w:bottom w:val="sing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9</w:t>
            </w:r>
          </w:p>
        </w:tc>
        <w:tc>
          <w:tcPr>
            <w:tcW w:w="1550" w:type="dxa"/>
            <w:tcBorders>
              <w:top w:val="single" w:sz="4" w:space="0" w:color="auto"/>
              <w:left w:val="doub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57-59</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D+</w:t>
            </w:r>
          </w:p>
        </w:tc>
        <w:tc>
          <w:tcPr>
            <w:tcW w:w="1551"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3</w:t>
            </w:r>
          </w:p>
        </w:tc>
      </w:tr>
      <w:tr w:rsidR="00FB15E3" w:rsidRPr="0051729A" w:rsidTr="00FA2DF0">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73-76</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B</w:t>
            </w:r>
          </w:p>
        </w:tc>
        <w:tc>
          <w:tcPr>
            <w:tcW w:w="1550" w:type="dxa"/>
            <w:tcBorders>
              <w:top w:val="single" w:sz="4" w:space="0" w:color="auto"/>
              <w:left w:val="single" w:sz="4" w:space="0" w:color="auto"/>
              <w:bottom w:val="sing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8</w:t>
            </w:r>
          </w:p>
        </w:tc>
        <w:tc>
          <w:tcPr>
            <w:tcW w:w="1550" w:type="dxa"/>
            <w:tcBorders>
              <w:top w:val="single" w:sz="4" w:space="0" w:color="auto"/>
              <w:left w:val="doub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53-56</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D</w:t>
            </w:r>
          </w:p>
        </w:tc>
        <w:tc>
          <w:tcPr>
            <w:tcW w:w="1551"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2</w:t>
            </w:r>
          </w:p>
        </w:tc>
      </w:tr>
      <w:tr w:rsidR="00FB15E3" w:rsidRPr="0051729A" w:rsidTr="00FA2DF0">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70-72</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B-</w:t>
            </w:r>
          </w:p>
        </w:tc>
        <w:tc>
          <w:tcPr>
            <w:tcW w:w="1550" w:type="dxa"/>
            <w:tcBorders>
              <w:top w:val="single" w:sz="4" w:space="0" w:color="auto"/>
              <w:left w:val="single" w:sz="4" w:space="0" w:color="auto"/>
              <w:bottom w:val="single" w:sz="4" w:space="0" w:color="auto"/>
              <w:right w:val="double" w:sz="4" w:space="0" w:color="auto"/>
            </w:tcBorders>
            <w:hideMark/>
          </w:tcPr>
          <w:p w:rsidR="00FB15E3" w:rsidRPr="007E7A1E" w:rsidRDefault="00FB15E3" w:rsidP="00FA2DF0">
            <w:pPr>
              <w:spacing w:after="0" w:line="240" w:lineRule="auto"/>
              <w:jc w:val="both"/>
              <w:rPr>
                <w:rFonts w:cs="Arial"/>
              </w:rPr>
            </w:pPr>
            <w:r w:rsidRPr="007E7A1E">
              <w:rPr>
                <w:rFonts w:cs="Arial"/>
              </w:rPr>
              <w:t>7</w:t>
            </w:r>
          </w:p>
        </w:tc>
        <w:tc>
          <w:tcPr>
            <w:tcW w:w="1550" w:type="dxa"/>
            <w:tcBorders>
              <w:top w:val="single" w:sz="4" w:space="0" w:color="auto"/>
              <w:left w:val="doub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50-52</w:t>
            </w:r>
          </w:p>
        </w:tc>
        <w:tc>
          <w:tcPr>
            <w:tcW w:w="1550"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D-</w:t>
            </w:r>
          </w:p>
        </w:tc>
        <w:tc>
          <w:tcPr>
            <w:tcW w:w="1551" w:type="dxa"/>
            <w:tcBorders>
              <w:top w:val="single" w:sz="4" w:space="0" w:color="auto"/>
              <w:left w:val="single" w:sz="4" w:space="0" w:color="auto"/>
              <w:bottom w:val="single" w:sz="4" w:space="0" w:color="auto"/>
              <w:right w:val="single" w:sz="4" w:space="0" w:color="auto"/>
            </w:tcBorders>
            <w:hideMark/>
          </w:tcPr>
          <w:p w:rsidR="00FB15E3" w:rsidRPr="007E7A1E" w:rsidRDefault="00FB15E3" w:rsidP="00FA2DF0">
            <w:pPr>
              <w:spacing w:after="0" w:line="240" w:lineRule="auto"/>
              <w:jc w:val="both"/>
              <w:rPr>
                <w:rFonts w:cs="Arial"/>
              </w:rPr>
            </w:pPr>
            <w:r w:rsidRPr="007E7A1E">
              <w:rPr>
                <w:rFonts w:cs="Arial"/>
              </w:rPr>
              <w:t>1</w:t>
            </w:r>
          </w:p>
        </w:tc>
      </w:tr>
    </w:tbl>
    <w:p w:rsidR="00FB15E3" w:rsidRDefault="00FB15E3" w:rsidP="00FB15E3">
      <w:pPr>
        <w:rPr>
          <w:rFonts w:cs="Arial"/>
          <w:b/>
          <w:lang w:val="en-GB"/>
        </w:rPr>
      </w:pPr>
    </w:p>
    <w:p w:rsidR="00FB15E3" w:rsidRPr="007E7A1E" w:rsidRDefault="00FB15E3" w:rsidP="00FB15E3">
      <w:pPr>
        <w:rPr>
          <w:rFonts w:cs="Arial"/>
          <w:b/>
          <w:bCs/>
          <w:lang w:val="en-GB"/>
        </w:rPr>
      </w:pPr>
      <w:r w:rsidRPr="007E7A1E">
        <w:rPr>
          <w:rFonts w:cs="Arial"/>
          <w:b/>
          <w:lang w:val="en-GB"/>
        </w:rPr>
        <w:t>Approval of final grades:</w:t>
      </w:r>
      <w:r w:rsidRPr="007E7A1E">
        <w:rPr>
          <w:rFonts w:cs="Arial"/>
          <w:lang w:val="en-GB"/>
        </w:rPr>
        <w:t xml:space="preserve"> </w:t>
      </w:r>
      <w:r w:rsidRPr="007E7A1E">
        <w:rPr>
          <w:rFonts w:cs="Arial"/>
        </w:rPr>
        <w:t>Standing in a course is determined by the course instructor subject to the approval of the Faculty Dean. This means that grades submitted by an instructor may be subject to revision. No grades are final until they have been approved by the Dean.</w:t>
      </w:r>
    </w:p>
    <w:p w:rsidR="00FB15E3" w:rsidRPr="007E7A1E" w:rsidRDefault="00FB15E3" w:rsidP="00FB15E3">
      <w:pPr>
        <w:rPr>
          <w:rFonts w:cs="Arial"/>
          <w:lang w:val="en-GB"/>
        </w:rPr>
      </w:pPr>
      <w:r w:rsidRPr="007E7A1E">
        <w:rPr>
          <w:rFonts w:cs="Arial"/>
          <w:b/>
          <w:bCs/>
          <w:lang w:val="en-GB"/>
        </w:rPr>
        <w:t>Carleton E-mail Accounts:</w:t>
      </w:r>
      <w:r w:rsidRPr="007E7A1E">
        <w:rPr>
          <w:rFonts w:cs="Arial"/>
          <w:lang w:val="en-GB"/>
        </w:rPr>
        <w:t xml:space="preserve"> All email communication to students from the </w:t>
      </w:r>
      <w:r w:rsidR="00B857B2">
        <w:rPr>
          <w:rFonts w:cs="Arial"/>
          <w:lang w:val="en-GB"/>
        </w:rPr>
        <w:t>Institute of European, Russian and Eurasian Studies</w:t>
      </w:r>
      <w:r w:rsidRPr="007E7A1E">
        <w:rPr>
          <w:rFonts w:cs="Arial"/>
          <w:lang w:val="en-GB"/>
        </w:rPr>
        <w:t xml:space="preserve"> will be via official Carleton university e-mail accounts and/or </w:t>
      </w:r>
      <w:proofErr w:type="spellStart"/>
      <w:r w:rsidRPr="007E7A1E">
        <w:rPr>
          <w:rFonts w:cs="Arial"/>
          <w:lang w:val="en-GB"/>
        </w:rPr>
        <w:t>cuLearn</w:t>
      </w:r>
      <w:proofErr w:type="spellEnd"/>
      <w:r w:rsidRPr="007E7A1E">
        <w:rPr>
          <w:rFonts w:cs="Arial"/>
          <w:lang w:val="en-GB"/>
        </w:rPr>
        <w:t xml:space="preserve">.  As important course and University information is distributed this way, it is the student’s responsibility to monitor their Carleton and </w:t>
      </w:r>
      <w:proofErr w:type="spellStart"/>
      <w:r w:rsidRPr="007E7A1E">
        <w:rPr>
          <w:rFonts w:cs="Arial"/>
          <w:lang w:val="en-GB"/>
        </w:rPr>
        <w:t>cuLearn</w:t>
      </w:r>
      <w:proofErr w:type="spellEnd"/>
      <w:r w:rsidRPr="007E7A1E">
        <w:rPr>
          <w:rFonts w:cs="Arial"/>
          <w:lang w:val="en-GB"/>
        </w:rPr>
        <w:t xml:space="preserve"> accounts. </w:t>
      </w:r>
    </w:p>
    <w:p w:rsidR="00FB15E3" w:rsidRPr="0051729A" w:rsidRDefault="00FB15E3" w:rsidP="00FB15E3">
      <w:pPr>
        <w:autoSpaceDE w:val="0"/>
        <w:autoSpaceDN w:val="0"/>
        <w:adjustRightInd w:val="0"/>
        <w:spacing w:after="0" w:line="240" w:lineRule="auto"/>
      </w:pPr>
      <w:r w:rsidRPr="007E7A1E">
        <w:rPr>
          <w:rFonts w:cs="Arial"/>
          <w:b/>
          <w:lang w:val="en-GB"/>
        </w:rPr>
        <w:t xml:space="preserve">Official Course Outline: </w:t>
      </w:r>
      <w:r w:rsidRPr="007E7A1E">
        <w:rPr>
          <w:rFonts w:cs="Arial"/>
          <w:lang w:val="en-GB"/>
        </w:rPr>
        <w:t xml:space="preserve">The course outline posted to the </w:t>
      </w:r>
      <w:r>
        <w:rPr>
          <w:rFonts w:cs="Arial"/>
          <w:lang w:val="en-GB"/>
        </w:rPr>
        <w:t xml:space="preserve">EURUS </w:t>
      </w:r>
      <w:r w:rsidRPr="007E7A1E">
        <w:rPr>
          <w:rFonts w:cs="Arial"/>
          <w:lang w:val="en-GB"/>
        </w:rPr>
        <w:t>website</w:t>
      </w:r>
      <w:r>
        <w:rPr>
          <w:rFonts w:cs="Arial"/>
          <w:lang w:val="en-GB"/>
        </w:rPr>
        <w:t>s</w:t>
      </w:r>
      <w:r w:rsidRPr="007E7A1E">
        <w:rPr>
          <w:rFonts w:cs="Arial"/>
          <w:lang w:val="en-GB"/>
        </w:rPr>
        <w:t xml:space="preserve"> is the official course outline.</w:t>
      </w:r>
      <w:r w:rsidRPr="0051729A">
        <w:t xml:space="preserve"> </w:t>
      </w:r>
    </w:p>
    <w:p w:rsidR="004F280C" w:rsidRDefault="004F280C"/>
    <w:sectPr w:rsidR="004F280C">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30" w:rsidRDefault="00E90A30" w:rsidP="00FB15E3">
      <w:pPr>
        <w:spacing w:after="0" w:line="240" w:lineRule="auto"/>
      </w:pPr>
      <w:r>
        <w:separator/>
      </w:r>
    </w:p>
  </w:endnote>
  <w:endnote w:type="continuationSeparator" w:id="0">
    <w:p w:rsidR="00E90A30" w:rsidRDefault="00E90A30" w:rsidP="00FB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211523"/>
      <w:docPartObj>
        <w:docPartGallery w:val="Page Numbers (Bottom of Page)"/>
        <w:docPartUnique/>
      </w:docPartObj>
    </w:sdtPr>
    <w:sdtEndPr/>
    <w:sdtContent>
      <w:sdt>
        <w:sdtPr>
          <w:id w:val="-1669238322"/>
          <w:docPartObj>
            <w:docPartGallery w:val="Page Numbers (Top of Page)"/>
            <w:docPartUnique/>
          </w:docPartObj>
        </w:sdtPr>
        <w:sdtEndPr/>
        <w:sdtContent>
          <w:p w:rsidR="00FB15E3" w:rsidRDefault="00FB15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57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57B2">
              <w:rPr>
                <w:b/>
                <w:bCs/>
                <w:noProof/>
              </w:rPr>
              <w:t>12</w:t>
            </w:r>
            <w:r>
              <w:rPr>
                <w:b/>
                <w:bCs/>
                <w:sz w:val="24"/>
                <w:szCs w:val="24"/>
              </w:rPr>
              <w:fldChar w:fldCharType="end"/>
            </w:r>
          </w:p>
        </w:sdtContent>
      </w:sdt>
    </w:sdtContent>
  </w:sdt>
  <w:p w:rsidR="00FB15E3" w:rsidRDefault="00FB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30" w:rsidRDefault="00E90A30" w:rsidP="00FB15E3">
      <w:pPr>
        <w:spacing w:after="0" w:line="240" w:lineRule="auto"/>
      </w:pPr>
      <w:r>
        <w:separator/>
      </w:r>
    </w:p>
  </w:footnote>
  <w:footnote w:type="continuationSeparator" w:id="0">
    <w:p w:rsidR="00E90A30" w:rsidRDefault="00E90A30" w:rsidP="00FB1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6A9"/>
    <w:multiLevelType w:val="hybridMultilevel"/>
    <w:tmpl w:val="6024C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DBD4D5E"/>
    <w:multiLevelType w:val="hybridMultilevel"/>
    <w:tmpl w:val="A882F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41457C"/>
    <w:multiLevelType w:val="hybridMultilevel"/>
    <w:tmpl w:val="CCEE3F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9736E17"/>
    <w:multiLevelType w:val="hybridMultilevel"/>
    <w:tmpl w:val="736205F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327A91"/>
    <w:multiLevelType w:val="hybridMultilevel"/>
    <w:tmpl w:val="BC966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74B5472"/>
    <w:multiLevelType w:val="hybridMultilevel"/>
    <w:tmpl w:val="DB282BE8"/>
    <w:lvl w:ilvl="0" w:tplc="9668B91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155102"/>
    <w:multiLevelType w:val="hybridMultilevel"/>
    <w:tmpl w:val="14BCB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76"/>
    <w:rsid w:val="000130E4"/>
    <w:rsid w:val="00014DFC"/>
    <w:rsid w:val="00025602"/>
    <w:rsid w:val="00035614"/>
    <w:rsid w:val="00040523"/>
    <w:rsid w:val="00075B81"/>
    <w:rsid w:val="00126E6C"/>
    <w:rsid w:val="0013505B"/>
    <w:rsid w:val="001558D2"/>
    <w:rsid w:val="0017307E"/>
    <w:rsid w:val="001B780E"/>
    <w:rsid w:val="001C61E8"/>
    <w:rsid w:val="001D5A76"/>
    <w:rsid w:val="001E36BF"/>
    <w:rsid w:val="001E6A73"/>
    <w:rsid w:val="0025653C"/>
    <w:rsid w:val="0029206E"/>
    <w:rsid w:val="002977E7"/>
    <w:rsid w:val="002D1122"/>
    <w:rsid w:val="002F441A"/>
    <w:rsid w:val="003754EE"/>
    <w:rsid w:val="00400794"/>
    <w:rsid w:val="00460222"/>
    <w:rsid w:val="004C20E3"/>
    <w:rsid w:val="004E02E5"/>
    <w:rsid w:val="004F0B7F"/>
    <w:rsid w:val="004F280C"/>
    <w:rsid w:val="004F3805"/>
    <w:rsid w:val="0051372A"/>
    <w:rsid w:val="005739D4"/>
    <w:rsid w:val="00576812"/>
    <w:rsid w:val="005C5C21"/>
    <w:rsid w:val="00632238"/>
    <w:rsid w:val="006476A7"/>
    <w:rsid w:val="00653A26"/>
    <w:rsid w:val="006913A5"/>
    <w:rsid w:val="006C2A7A"/>
    <w:rsid w:val="006C4AEF"/>
    <w:rsid w:val="006C5871"/>
    <w:rsid w:val="006F704B"/>
    <w:rsid w:val="00720AE2"/>
    <w:rsid w:val="00766C1F"/>
    <w:rsid w:val="00786DD2"/>
    <w:rsid w:val="007C04B8"/>
    <w:rsid w:val="007C5F11"/>
    <w:rsid w:val="00807514"/>
    <w:rsid w:val="008378B3"/>
    <w:rsid w:val="0086698F"/>
    <w:rsid w:val="00867739"/>
    <w:rsid w:val="008907A0"/>
    <w:rsid w:val="00914FC7"/>
    <w:rsid w:val="009204D8"/>
    <w:rsid w:val="009206A3"/>
    <w:rsid w:val="009575A7"/>
    <w:rsid w:val="00960623"/>
    <w:rsid w:val="0099230E"/>
    <w:rsid w:val="00993091"/>
    <w:rsid w:val="009A0949"/>
    <w:rsid w:val="009C617D"/>
    <w:rsid w:val="009E75CF"/>
    <w:rsid w:val="009F2579"/>
    <w:rsid w:val="009F7728"/>
    <w:rsid w:val="00A07C6C"/>
    <w:rsid w:val="00A344C2"/>
    <w:rsid w:val="00A526B0"/>
    <w:rsid w:val="00A571A5"/>
    <w:rsid w:val="00A57CFF"/>
    <w:rsid w:val="00A77921"/>
    <w:rsid w:val="00B37E64"/>
    <w:rsid w:val="00B43A77"/>
    <w:rsid w:val="00B73866"/>
    <w:rsid w:val="00B857B2"/>
    <w:rsid w:val="00B85A17"/>
    <w:rsid w:val="00BF5846"/>
    <w:rsid w:val="00C10B97"/>
    <w:rsid w:val="00C112BF"/>
    <w:rsid w:val="00C11AEE"/>
    <w:rsid w:val="00C128E8"/>
    <w:rsid w:val="00C17DA2"/>
    <w:rsid w:val="00C27E8C"/>
    <w:rsid w:val="00C324B9"/>
    <w:rsid w:val="00C770FE"/>
    <w:rsid w:val="00C868B9"/>
    <w:rsid w:val="00CC3BF7"/>
    <w:rsid w:val="00CD001D"/>
    <w:rsid w:val="00CF1D01"/>
    <w:rsid w:val="00D04DE9"/>
    <w:rsid w:val="00D23948"/>
    <w:rsid w:val="00D36405"/>
    <w:rsid w:val="00D37CFF"/>
    <w:rsid w:val="00D6465B"/>
    <w:rsid w:val="00D82FD3"/>
    <w:rsid w:val="00D852C6"/>
    <w:rsid w:val="00E22541"/>
    <w:rsid w:val="00E56B4C"/>
    <w:rsid w:val="00E90A30"/>
    <w:rsid w:val="00EC3AF6"/>
    <w:rsid w:val="00EE52A1"/>
    <w:rsid w:val="00EE7893"/>
    <w:rsid w:val="00F23EAD"/>
    <w:rsid w:val="00F25FAE"/>
    <w:rsid w:val="00F37D30"/>
    <w:rsid w:val="00F62CEE"/>
    <w:rsid w:val="00F76DDC"/>
    <w:rsid w:val="00FB15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76"/>
  </w:style>
  <w:style w:type="paragraph" w:styleId="Heading1">
    <w:name w:val="heading 1"/>
    <w:basedOn w:val="Normal"/>
    <w:next w:val="Normal"/>
    <w:link w:val="Heading1Char"/>
    <w:uiPriority w:val="9"/>
    <w:qFormat/>
    <w:rsid w:val="004F280C"/>
    <w:pPr>
      <w:keepNext/>
      <w:keepLines/>
      <w:spacing w:before="100" w:beforeAutospacing="1"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2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6A7"/>
    <w:pPr>
      <w:keepNext/>
      <w:keepLines/>
      <w:spacing w:after="0"/>
      <w:outlineLvl w:val="2"/>
    </w:pPr>
    <w:rPr>
      <w:rFonts w:asciiTheme="majorHAnsi" w:eastAsiaTheme="majorEastAsia" w:hAnsiTheme="majorHAnsi" w:cstheme="majorBidi"/>
      <w:b/>
      <w:bCs/>
      <w: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A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A76"/>
    <w:rPr>
      <w:color w:val="0000FF" w:themeColor="hyperlink"/>
      <w:u w:val="single"/>
    </w:rPr>
  </w:style>
  <w:style w:type="paragraph" w:styleId="Title">
    <w:name w:val="Title"/>
    <w:basedOn w:val="Normal"/>
    <w:next w:val="Normal"/>
    <w:link w:val="TitleChar"/>
    <w:uiPriority w:val="10"/>
    <w:qFormat/>
    <w:rsid w:val="001D5A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5A7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F2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28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06A3"/>
    <w:pPr>
      <w:ind w:left="720"/>
      <w:contextualSpacing/>
    </w:pPr>
  </w:style>
  <w:style w:type="character" w:customStyle="1" w:styleId="Heading3Char">
    <w:name w:val="Heading 3 Char"/>
    <w:basedOn w:val="DefaultParagraphFont"/>
    <w:link w:val="Heading3"/>
    <w:uiPriority w:val="9"/>
    <w:rsid w:val="006476A7"/>
    <w:rPr>
      <w:rFonts w:asciiTheme="majorHAnsi" w:eastAsiaTheme="majorEastAsia" w:hAnsiTheme="majorHAnsi" w:cstheme="majorBidi"/>
      <w:b/>
      <w:bCs/>
      <w:i/>
      <w:color w:val="4F81BD" w:themeColor="accent1"/>
      <w:sz w:val="24"/>
      <w:szCs w:val="24"/>
    </w:rPr>
  </w:style>
  <w:style w:type="paragraph" w:styleId="Header">
    <w:name w:val="header"/>
    <w:basedOn w:val="Normal"/>
    <w:link w:val="HeaderChar"/>
    <w:uiPriority w:val="99"/>
    <w:unhideWhenUsed/>
    <w:rsid w:val="00FB1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5E3"/>
  </w:style>
  <w:style w:type="paragraph" w:styleId="Footer">
    <w:name w:val="footer"/>
    <w:basedOn w:val="Normal"/>
    <w:link w:val="FooterChar"/>
    <w:uiPriority w:val="99"/>
    <w:unhideWhenUsed/>
    <w:rsid w:val="00FB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76"/>
  </w:style>
  <w:style w:type="paragraph" w:styleId="Heading1">
    <w:name w:val="heading 1"/>
    <w:basedOn w:val="Normal"/>
    <w:next w:val="Normal"/>
    <w:link w:val="Heading1Char"/>
    <w:uiPriority w:val="9"/>
    <w:qFormat/>
    <w:rsid w:val="004F280C"/>
    <w:pPr>
      <w:keepNext/>
      <w:keepLines/>
      <w:spacing w:before="100" w:beforeAutospacing="1"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2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6A7"/>
    <w:pPr>
      <w:keepNext/>
      <w:keepLines/>
      <w:spacing w:after="0"/>
      <w:outlineLvl w:val="2"/>
    </w:pPr>
    <w:rPr>
      <w:rFonts w:asciiTheme="majorHAnsi" w:eastAsiaTheme="majorEastAsia" w:hAnsiTheme="majorHAnsi" w:cstheme="majorBidi"/>
      <w:b/>
      <w:bCs/>
      <w: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A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A76"/>
    <w:rPr>
      <w:color w:val="0000FF" w:themeColor="hyperlink"/>
      <w:u w:val="single"/>
    </w:rPr>
  </w:style>
  <w:style w:type="paragraph" w:styleId="Title">
    <w:name w:val="Title"/>
    <w:basedOn w:val="Normal"/>
    <w:next w:val="Normal"/>
    <w:link w:val="TitleChar"/>
    <w:uiPriority w:val="10"/>
    <w:qFormat/>
    <w:rsid w:val="001D5A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5A7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F2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28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06A3"/>
    <w:pPr>
      <w:ind w:left="720"/>
      <w:contextualSpacing/>
    </w:pPr>
  </w:style>
  <w:style w:type="character" w:customStyle="1" w:styleId="Heading3Char">
    <w:name w:val="Heading 3 Char"/>
    <w:basedOn w:val="DefaultParagraphFont"/>
    <w:link w:val="Heading3"/>
    <w:uiPriority w:val="9"/>
    <w:rsid w:val="006476A7"/>
    <w:rPr>
      <w:rFonts w:asciiTheme="majorHAnsi" w:eastAsiaTheme="majorEastAsia" w:hAnsiTheme="majorHAnsi" w:cstheme="majorBidi"/>
      <w:b/>
      <w:bCs/>
      <w:i/>
      <w:color w:val="4F81BD" w:themeColor="accent1"/>
      <w:sz w:val="24"/>
      <w:szCs w:val="24"/>
    </w:rPr>
  </w:style>
  <w:style w:type="paragraph" w:styleId="Header">
    <w:name w:val="header"/>
    <w:basedOn w:val="Normal"/>
    <w:link w:val="HeaderChar"/>
    <w:uiPriority w:val="99"/>
    <w:unhideWhenUsed/>
    <w:rsid w:val="00FB1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5E3"/>
  </w:style>
  <w:style w:type="paragraph" w:styleId="Footer">
    <w:name w:val="footer"/>
    <w:basedOn w:val="Normal"/>
    <w:link w:val="FooterChar"/>
    <w:uiPriority w:val="99"/>
    <w:unhideWhenUsed/>
    <w:rsid w:val="00FB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41930">
      <w:bodyDiv w:val="1"/>
      <w:marLeft w:val="0"/>
      <w:marRight w:val="0"/>
      <w:marTop w:val="0"/>
      <w:marBottom w:val="0"/>
      <w:divBdr>
        <w:top w:val="none" w:sz="0" w:space="0" w:color="auto"/>
        <w:left w:val="none" w:sz="0" w:space="0" w:color="auto"/>
        <w:bottom w:val="none" w:sz="0" w:space="0" w:color="auto"/>
        <w:right w:val="none" w:sz="0" w:space="0" w:color="auto"/>
      </w:divBdr>
      <w:divsChild>
        <w:div w:id="678700137">
          <w:marLeft w:val="0"/>
          <w:marRight w:val="0"/>
          <w:marTop w:val="0"/>
          <w:marBottom w:val="0"/>
          <w:divBdr>
            <w:top w:val="none" w:sz="0" w:space="0" w:color="auto"/>
            <w:left w:val="none" w:sz="0" w:space="0" w:color="auto"/>
            <w:bottom w:val="none" w:sz="0" w:space="0" w:color="auto"/>
            <w:right w:val="none" w:sz="0" w:space="0" w:color="auto"/>
          </w:divBdr>
          <w:divsChild>
            <w:div w:id="2012947369">
              <w:marLeft w:val="0"/>
              <w:marRight w:val="0"/>
              <w:marTop w:val="0"/>
              <w:marBottom w:val="0"/>
              <w:divBdr>
                <w:top w:val="none" w:sz="0" w:space="0" w:color="auto"/>
                <w:left w:val="none" w:sz="0" w:space="0" w:color="auto"/>
                <w:bottom w:val="none" w:sz="0" w:space="0" w:color="auto"/>
                <w:right w:val="none" w:sz="0" w:space="0" w:color="auto"/>
              </w:divBdr>
            </w:div>
          </w:divsChild>
        </w:div>
        <w:div w:id="1921870205">
          <w:marLeft w:val="0"/>
          <w:marRight w:val="0"/>
          <w:marTop w:val="0"/>
          <w:marBottom w:val="0"/>
          <w:divBdr>
            <w:top w:val="none" w:sz="0" w:space="0" w:color="auto"/>
            <w:left w:val="none" w:sz="0" w:space="0" w:color="auto"/>
            <w:bottom w:val="none" w:sz="0" w:space="0" w:color="auto"/>
            <w:right w:val="none" w:sz="0" w:space="0" w:color="auto"/>
          </w:divBdr>
        </w:div>
        <w:div w:id="110245142">
          <w:marLeft w:val="0"/>
          <w:marRight w:val="0"/>
          <w:marTop w:val="0"/>
          <w:marBottom w:val="0"/>
          <w:divBdr>
            <w:top w:val="none" w:sz="0" w:space="0" w:color="auto"/>
            <w:left w:val="none" w:sz="0" w:space="0" w:color="auto"/>
            <w:bottom w:val="none" w:sz="0" w:space="0" w:color="auto"/>
            <w:right w:val="none" w:sz="0" w:space="0" w:color="auto"/>
          </w:divBdr>
        </w:div>
      </w:divsChild>
    </w:div>
    <w:div w:id="1461067254">
      <w:bodyDiv w:val="1"/>
      <w:marLeft w:val="0"/>
      <w:marRight w:val="0"/>
      <w:marTop w:val="0"/>
      <w:marBottom w:val="0"/>
      <w:divBdr>
        <w:top w:val="none" w:sz="0" w:space="0" w:color="auto"/>
        <w:left w:val="none" w:sz="0" w:space="0" w:color="auto"/>
        <w:bottom w:val="none" w:sz="0" w:space="0" w:color="auto"/>
        <w:right w:val="none" w:sz="0" w:space="0" w:color="auto"/>
      </w:divBdr>
      <w:divsChild>
        <w:div w:id="1327591726">
          <w:marLeft w:val="0"/>
          <w:marRight w:val="0"/>
          <w:marTop w:val="0"/>
          <w:marBottom w:val="0"/>
          <w:divBdr>
            <w:top w:val="none" w:sz="0" w:space="0" w:color="auto"/>
            <w:left w:val="none" w:sz="0" w:space="0" w:color="auto"/>
            <w:bottom w:val="none" w:sz="0" w:space="0" w:color="auto"/>
            <w:right w:val="none" w:sz="0" w:space="0" w:color="auto"/>
          </w:divBdr>
          <w:divsChild>
            <w:div w:id="1444301975">
              <w:marLeft w:val="0"/>
              <w:marRight w:val="0"/>
              <w:marTop w:val="0"/>
              <w:marBottom w:val="0"/>
              <w:divBdr>
                <w:top w:val="none" w:sz="0" w:space="0" w:color="auto"/>
                <w:left w:val="none" w:sz="0" w:space="0" w:color="auto"/>
                <w:bottom w:val="none" w:sz="0" w:space="0" w:color="auto"/>
                <w:right w:val="none" w:sz="0" w:space="0" w:color="auto"/>
              </w:divBdr>
            </w:div>
          </w:divsChild>
        </w:div>
        <w:div w:id="592782602">
          <w:marLeft w:val="0"/>
          <w:marRight w:val="0"/>
          <w:marTop w:val="0"/>
          <w:marBottom w:val="0"/>
          <w:divBdr>
            <w:top w:val="none" w:sz="0" w:space="0" w:color="auto"/>
            <w:left w:val="none" w:sz="0" w:space="0" w:color="auto"/>
            <w:bottom w:val="none" w:sz="0" w:space="0" w:color="auto"/>
            <w:right w:val="none" w:sz="0" w:space="0" w:color="auto"/>
          </w:divBdr>
        </w:div>
        <w:div w:id="198450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3cdn.net/d294639d029f24c751_ilm6y7pbp.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mc@carleton.ca" TargetMode="External"/><Relationship Id="rId5" Type="http://schemas.openxmlformats.org/officeDocument/2006/relationships/webSettings" Target="webSettings.xml"/><Relationship Id="rId10" Type="http://schemas.openxmlformats.org/officeDocument/2006/relationships/hyperlink" Target="http://wuw.iie.com/publications/pb/pb13-22.pdf" TargetMode="External"/><Relationship Id="rId4" Type="http://schemas.openxmlformats.org/officeDocument/2006/relationships/settings" Target="settings.xml"/><Relationship Id="rId9" Type="http://schemas.openxmlformats.org/officeDocument/2006/relationships/hyperlink" Target="http://europesworld.org/2009/10/01/what-europe-badly-needs-is-a-grand-strate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Zherebtsov</dc:creator>
  <cp:lastModifiedBy>Achim Hurrelmann</cp:lastModifiedBy>
  <cp:revision>4</cp:revision>
  <dcterms:created xsi:type="dcterms:W3CDTF">2015-03-21T18:19:00Z</dcterms:created>
  <dcterms:modified xsi:type="dcterms:W3CDTF">2015-03-21T18:21:00Z</dcterms:modified>
</cp:coreProperties>
</file>