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89" w:rsidRDefault="000B3AEF">
      <w:pPr>
        <w:pStyle w:val="Heading1"/>
      </w:pPr>
      <w:r>
        <w:rPr>
          <w:noProof/>
          <w:sz w:val="16"/>
          <w:lang w:val="en-US"/>
        </w:rPr>
        <w:drawing>
          <wp:anchor distT="0" distB="0" distL="114300" distR="114300" simplePos="0" relativeHeight="251657728" behindDoc="0" locked="0" layoutInCell="1" allowOverlap="1">
            <wp:simplePos x="0" y="0"/>
            <wp:positionH relativeFrom="column">
              <wp:posOffset>-367665</wp:posOffset>
            </wp:positionH>
            <wp:positionV relativeFrom="paragraph">
              <wp:posOffset>40640</wp:posOffset>
            </wp:positionV>
            <wp:extent cx="1994535" cy="786765"/>
            <wp:effectExtent l="19050" t="0" r="5715" b="0"/>
            <wp:wrapSquare wrapText="bothSides"/>
            <wp:docPr id="4" name="Picture 4" descr="cu_C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_Ctag"/>
                    <pic:cNvPicPr>
                      <a:picLocks noChangeAspect="1" noChangeArrowheads="1"/>
                    </pic:cNvPicPr>
                  </pic:nvPicPr>
                  <pic:blipFill>
                    <a:blip r:embed="rId5" cstate="print"/>
                    <a:srcRect/>
                    <a:stretch>
                      <a:fillRect/>
                    </a:stretch>
                  </pic:blipFill>
                  <pic:spPr bwMode="auto">
                    <a:xfrm>
                      <a:off x="0" y="0"/>
                      <a:ext cx="1994535" cy="786765"/>
                    </a:xfrm>
                    <a:prstGeom prst="rect">
                      <a:avLst/>
                    </a:prstGeom>
                    <a:noFill/>
                    <a:ln w="9525">
                      <a:noFill/>
                      <a:miter lim="800000"/>
                      <a:headEnd/>
                      <a:tailEnd/>
                    </a:ln>
                  </pic:spPr>
                </pic:pic>
              </a:graphicData>
            </a:graphic>
          </wp:anchor>
        </w:drawing>
      </w:r>
    </w:p>
    <w:p w:rsidR="00C40089" w:rsidRPr="0037354F" w:rsidRDefault="00C40089" w:rsidP="0037354F">
      <w:pPr>
        <w:pStyle w:val="Heading2"/>
        <w:jc w:val="right"/>
        <w:rPr>
          <w:sz w:val="16"/>
          <w:szCs w:val="16"/>
        </w:rPr>
      </w:pPr>
      <w:r w:rsidRPr="0037354F">
        <w:rPr>
          <w:sz w:val="16"/>
          <w:szCs w:val="16"/>
        </w:rPr>
        <w:t>Institute of European, Russian and Eurasian Studies</w:t>
      </w:r>
    </w:p>
    <w:p w:rsidR="00C40089" w:rsidRPr="0037354F" w:rsidRDefault="00C40089" w:rsidP="0037354F">
      <w:pPr>
        <w:pStyle w:val="Heading2"/>
        <w:jc w:val="right"/>
        <w:rPr>
          <w:sz w:val="16"/>
          <w:szCs w:val="16"/>
        </w:rPr>
      </w:pPr>
      <w:r w:rsidRPr="0037354F">
        <w:rPr>
          <w:sz w:val="16"/>
          <w:szCs w:val="16"/>
        </w:rPr>
        <w:t>1125 Colonel By Drive</w:t>
      </w:r>
    </w:p>
    <w:p w:rsidR="00C40089" w:rsidRPr="0037354F" w:rsidRDefault="0037354F" w:rsidP="0037354F">
      <w:pPr>
        <w:pStyle w:val="Heading2"/>
        <w:jc w:val="right"/>
        <w:rPr>
          <w:sz w:val="16"/>
          <w:szCs w:val="16"/>
        </w:rPr>
      </w:pPr>
      <w:r w:rsidRPr="0037354F">
        <w:rPr>
          <w:sz w:val="16"/>
          <w:szCs w:val="16"/>
        </w:rPr>
        <w:t>River Building, Room 3304</w:t>
      </w:r>
    </w:p>
    <w:p w:rsidR="00C40089" w:rsidRPr="0037354F" w:rsidRDefault="00C40089" w:rsidP="0037354F">
      <w:pPr>
        <w:pStyle w:val="Heading2"/>
        <w:jc w:val="right"/>
        <w:rPr>
          <w:sz w:val="16"/>
          <w:szCs w:val="16"/>
        </w:rPr>
      </w:pPr>
      <w:r w:rsidRPr="0037354F">
        <w:rPr>
          <w:sz w:val="16"/>
          <w:szCs w:val="16"/>
        </w:rPr>
        <w:t>Ottawa  ON  K1S 5B6</w:t>
      </w:r>
    </w:p>
    <w:p w:rsidR="00C40089" w:rsidRPr="0037354F" w:rsidRDefault="00C40089" w:rsidP="0037354F">
      <w:pPr>
        <w:pStyle w:val="Heading2"/>
        <w:jc w:val="right"/>
        <w:rPr>
          <w:sz w:val="16"/>
          <w:szCs w:val="16"/>
        </w:rPr>
      </w:pPr>
      <w:r w:rsidRPr="0037354F">
        <w:rPr>
          <w:sz w:val="16"/>
          <w:szCs w:val="16"/>
        </w:rPr>
        <w:t>Tel:  613 520 2888</w:t>
      </w:r>
    </w:p>
    <w:p w:rsidR="00C40089" w:rsidRPr="0037354F" w:rsidRDefault="00C40089" w:rsidP="0037354F">
      <w:pPr>
        <w:pStyle w:val="Heading2"/>
        <w:jc w:val="right"/>
        <w:rPr>
          <w:sz w:val="16"/>
          <w:szCs w:val="16"/>
        </w:rPr>
      </w:pPr>
      <w:r w:rsidRPr="0037354F">
        <w:rPr>
          <w:sz w:val="16"/>
          <w:szCs w:val="16"/>
        </w:rPr>
        <w:t>Fax: 613 520 7501</w:t>
      </w:r>
    </w:p>
    <w:p w:rsidR="00C40089" w:rsidRDefault="00C40089">
      <w:pPr>
        <w:pStyle w:val="Heading1"/>
      </w:pPr>
    </w:p>
    <w:p w:rsidR="00C40089" w:rsidRDefault="00C40089" w:rsidP="00CE359A">
      <w:pPr>
        <w:rPr>
          <w:lang w:val="en-GB"/>
        </w:rPr>
      </w:pPr>
    </w:p>
    <w:p w:rsidR="00CE359A" w:rsidRPr="00E661D1" w:rsidRDefault="00CE359A" w:rsidP="00CE359A">
      <w:pPr>
        <w:rPr>
          <w:rFonts w:ascii="Calibri" w:hAnsi="Calibri"/>
          <w:sz w:val="22"/>
          <w:szCs w:val="22"/>
          <w:lang w:val="en-GB"/>
        </w:rPr>
      </w:pPr>
      <w:bookmarkStart w:id="0" w:name="OLE_LINK1"/>
      <w:bookmarkStart w:id="1" w:name="OLE_LINK2"/>
    </w:p>
    <w:p w:rsidR="00CE359A" w:rsidRPr="00E661D1" w:rsidRDefault="00CE359A">
      <w:pPr>
        <w:widowControl/>
        <w:jc w:val="center"/>
        <w:rPr>
          <w:rFonts w:ascii="Calibri" w:hAnsi="Calibri" w:cs="Arial"/>
          <w:b/>
          <w:bCs/>
          <w:sz w:val="22"/>
          <w:szCs w:val="22"/>
        </w:rPr>
      </w:pPr>
    </w:p>
    <w:p w:rsidR="00CE359A" w:rsidRPr="00E661D1" w:rsidRDefault="00CE359A">
      <w:pPr>
        <w:widowControl/>
        <w:jc w:val="center"/>
        <w:rPr>
          <w:rFonts w:ascii="Calibri" w:hAnsi="Calibri" w:cs="Arial"/>
          <w:b/>
          <w:bCs/>
          <w:sz w:val="22"/>
          <w:szCs w:val="22"/>
        </w:rPr>
      </w:pPr>
    </w:p>
    <w:p w:rsidR="00CE359A" w:rsidRPr="00E661D1" w:rsidRDefault="00136F5F">
      <w:pPr>
        <w:widowControl/>
        <w:jc w:val="center"/>
        <w:rPr>
          <w:rFonts w:ascii="Calibri" w:hAnsi="Calibri" w:cs="Arial"/>
          <w:b/>
          <w:bCs/>
          <w:sz w:val="22"/>
          <w:szCs w:val="22"/>
        </w:rPr>
      </w:pPr>
      <w:bookmarkStart w:id="2" w:name="OLE_LINK3"/>
      <w:bookmarkStart w:id="3" w:name="OLE_LINK4"/>
      <w:r w:rsidRPr="00E661D1">
        <w:rPr>
          <w:rFonts w:ascii="Calibri" w:hAnsi="Calibri" w:cs="Arial"/>
          <w:b/>
          <w:bCs/>
          <w:sz w:val="22"/>
          <w:szCs w:val="22"/>
        </w:rPr>
        <w:t>CONTRACT INSTRUCTOR POSITION</w:t>
      </w:r>
    </w:p>
    <w:p w:rsidR="00CE359A" w:rsidRPr="00E661D1" w:rsidRDefault="00CE359A">
      <w:pPr>
        <w:widowControl/>
        <w:jc w:val="center"/>
        <w:rPr>
          <w:rFonts w:ascii="Calibri" w:hAnsi="Calibri" w:cs="Arial"/>
          <w:b/>
          <w:bCs/>
          <w:sz w:val="22"/>
          <w:szCs w:val="22"/>
        </w:rPr>
      </w:pPr>
      <w:r w:rsidRPr="00E661D1">
        <w:rPr>
          <w:rFonts w:ascii="Calibri" w:hAnsi="Calibri" w:cs="Arial"/>
          <w:b/>
          <w:bCs/>
          <w:sz w:val="22"/>
          <w:szCs w:val="22"/>
        </w:rPr>
        <w:t>Institute of European, Russ</w:t>
      </w:r>
      <w:r w:rsidR="0014110A" w:rsidRPr="00E661D1">
        <w:rPr>
          <w:rFonts w:ascii="Calibri" w:hAnsi="Calibri" w:cs="Arial"/>
          <w:b/>
          <w:bCs/>
          <w:sz w:val="22"/>
          <w:szCs w:val="22"/>
        </w:rPr>
        <w:t>ian and Eurasian Studies</w:t>
      </w:r>
      <w:r w:rsidRPr="00E661D1">
        <w:rPr>
          <w:rFonts w:ascii="Calibri" w:hAnsi="Calibri" w:cs="Arial"/>
          <w:b/>
          <w:bCs/>
          <w:sz w:val="22"/>
          <w:szCs w:val="22"/>
        </w:rPr>
        <w:t xml:space="preserve"> </w:t>
      </w:r>
    </w:p>
    <w:p w:rsidR="0037354F" w:rsidRPr="00E661D1" w:rsidRDefault="0037354F">
      <w:pPr>
        <w:widowControl/>
        <w:jc w:val="center"/>
        <w:rPr>
          <w:rFonts w:ascii="Calibri" w:hAnsi="Calibri" w:cs="Arial"/>
          <w:b/>
          <w:bCs/>
          <w:sz w:val="22"/>
          <w:szCs w:val="22"/>
        </w:rPr>
      </w:pPr>
    </w:p>
    <w:p w:rsidR="00CE359A" w:rsidRPr="00E661D1" w:rsidRDefault="0037354F">
      <w:pPr>
        <w:widowControl/>
        <w:jc w:val="center"/>
        <w:rPr>
          <w:rFonts w:ascii="Calibri" w:hAnsi="Calibri" w:cs="Arial"/>
          <w:b/>
          <w:bCs/>
          <w:sz w:val="22"/>
          <w:szCs w:val="22"/>
        </w:rPr>
      </w:pPr>
      <w:r w:rsidRPr="00E661D1">
        <w:rPr>
          <w:rFonts w:ascii="Calibri" w:hAnsi="Calibri" w:cs="Arial"/>
          <w:b/>
          <w:bCs/>
          <w:sz w:val="22"/>
          <w:szCs w:val="22"/>
        </w:rPr>
        <w:t>Winter 2014</w:t>
      </w:r>
    </w:p>
    <w:p w:rsidR="00CE359A" w:rsidRPr="00E661D1" w:rsidRDefault="00CE359A">
      <w:pPr>
        <w:widowControl/>
        <w:rPr>
          <w:rFonts w:ascii="Calibri" w:hAnsi="Calibri" w:cs="Arial"/>
          <w:b/>
          <w:bCs/>
          <w:sz w:val="22"/>
          <w:szCs w:val="22"/>
        </w:rPr>
      </w:pPr>
    </w:p>
    <w:p w:rsidR="0037354F" w:rsidRPr="00E661D1" w:rsidRDefault="0037354F" w:rsidP="0037354F">
      <w:pPr>
        <w:pStyle w:val="BodyText"/>
        <w:rPr>
          <w:rFonts w:ascii="Calibri" w:hAnsi="Calibri" w:cs="Arial"/>
          <w:sz w:val="22"/>
          <w:szCs w:val="22"/>
        </w:rPr>
      </w:pPr>
      <w:r w:rsidRPr="00E661D1">
        <w:rPr>
          <w:rFonts w:ascii="Calibri" w:hAnsi="Calibri" w:cs="Arial"/>
          <w:sz w:val="22"/>
          <w:szCs w:val="22"/>
        </w:rPr>
        <w:t>Pursuant to Article 16 of the CUPE 4600 (unit 2) Agreement, and subject to budgetary approval, the following course is open for competition:</w:t>
      </w:r>
    </w:p>
    <w:p w:rsidR="0037354F" w:rsidRPr="00E661D1" w:rsidRDefault="0037354F" w:rsidP="0037354F">
      <w:pPr>
        <w:widowControl/>
        <w:rPr>
          <w:rFonts w:ascii="Calibri" w:hAnsi="Calibri" w:cs="Arial"/>
          <w:sz w:val="22"/>
          <w:szCs w:val="22"/>
        </w:rPr>
      </w:pPr>
    </w:p>
    <w:p w:rsidR="00136F5F" w:rsidRPr="00E661D1" w:rsidRDefault="00136F5F" w:rsidP="00136F5F">
      <w:pPr>
        <w:rPr>
          <w:rFonts w:ascii="Calibri" w:hAnsi="Calibri"/>
          <w:color w:val="000000"/>
          <w:sz w:val="22"/>
          <w:szCs w:val="22"/>
        </w:rPr>
      </w:pPr>
    </w:p>
    <w:p w:rsidR="00136F5F" w:rsidRPr="00E661D1" w:rsidRDefault="00136F5F" w:rsidP="00136F5F">
      <w:pPr>
        <w:rPr>
          <w:rFonts w:ascii="Calibri" w:hAnsi="Calibri"/>
          <w:color w:val="000000"/>
          <w:sz w:val="22"/>
          <w:szCs w:val="22"/>
        </w:rPr>
      </w:pPr>
    </w:p>
    <w:p w:rsidR="00136F5F" w:rsidRPr="00E661D1" w:rsidRDefault="00136F5F" w:rsidP="00136F5F">
      <w:pPr>
        <w:rPr>
          <w:rFonts w:ascii="Calibri" w:eastAsia="Calibri" w:hAnsi="Calibri"/>
          <w:color w:val="000000"/>
          <w:sz w:val="22"/>
          <w:szCs w:val="22"/>
          <w:lang w:val="en-CA"/>
        </w:rPr>
      </w:pPr>
      <w:r w:rsidRPr="00E661D1">
        <w:rPr>
          <w:rFonts w:ascii="Calibri" w:hAnsi="Calibri"/>
          <w:b/>
          <w:bCs/>
          <w:color w:val="080000"/>
          <w:sz w:val="22"/>
          <w:szCs w:val="22"/>
          <w:lang w:val="en-CA"/>
        </w:rPr>
        <w:t>EURR 4202/5202</w:t>
      </w:r>
    </w:p>
    <w:p w:rsidR="00136F5F" w:rsidRPr="00E661D1" w:rsidRDefault="00136F5F" w:rsidP="00136F5F">
      <w:pPr>
        <w:rPr>
          <w:rFonts w:ascii="Calibri" w:hAnsi="Calibri"/>
          <w:color w:val="000000"/>
          <w:sz w:val="22"/>
          <w:szCs w:val="22"/>
          <w:lang w:val="en-CA"/>
        </w:rPr>
      </w:pPr>
      <w:r w:rsidRPr="00E661D1">
        <w:rPr>
          <w:rFonts w:ascii="Calibri" w:hAnsi="Calibri"/>
          <w:b/>
          <w:bCs/>
          <w:color w:val="080000"/>
          <w:sz w:val="22"/>
          <w:szCs w:val="22"/>
          <w:lang w:val="en-CA"/>
        </w:rPr>
        <w:t> </w:t>
      </w:r>
    </w:p>
    <w:p w:rsidR="00136F5F" w:rsidRPr="00E661D1" w:rsidRDefault="00136F5F" w:rsidP="00136F5F">
      <w:pPr>
        <w:rPr>
          <w:rFonts w:ascii="Calibri" w:eastAsia="Calibri" w:hAnsi="Calibri"/>
          <w:color w:val="000000"/>
          <w:sz w:val="22"/>
          <w:szCs w:val="22"/>
          <w:lang w:val="en-CA"/>
        </w:rPr>
      </w:pPr>
      <w:r w:rsidRPr="00E661D1">
        <w:rPr>
          <w:rFonts w:ascii="Calibri" w:hAnsi="Calibri"/>
          <w:b/>
          <w:bCs/>
          <w:color w:val="080000"/>
          <w:sz w:val="22"/>
          <w:szCs w:val="22"/>
          <w:lang w:val="en-CA"/>
        </w:rPr>
        <w:t>Culture and Politics in the Cold War: The Soviet Perspective and Relations with the United States and Europe, 1945-1991</w:t>
      </w:r>
    </w:p>
    <w:p w:rsidR="00136F5F" w:rsidRPr="00E661D1" w:rsidRDefault="00136F5F" w:rsidP="00136F5F">
      <w:pPr>
        <w:rPr>
          <w:rFonts w:ascii="Calibri" w:hAnsi="Calibri"/>
          <w:color w:val="000000"/>
          <w:sz w:val="22"/>
          <w:szCs w:val="22"/>
          <w:lang w:val="en-CA"/>
        </w:rPr>
      </w:pPr>
    </w:p>
    <w:p w:rsidR="00136F5F" w:rsidRPr="00E661D1" w:rsidRDefault="00136F5F" w:rsidP="00136F5F">
      <w:pPr>
        <w:rPr>
          <w:rFonts w:ascii="Calibri" w:hAnsi="Calibri"/>
          <w:color w:val="000000"/>
          <w:sz w:val="22"/>
          <w:szCs w:val="22"/>
          <w:lang w:val="en-CA"/>
        </w:rPr>
      </w:pPr>
      <w:r w:rsidRPr="00E661D1">
        <w:rPr>
          <w:rFonts w:ascii="Calibri" w:hAnsi="Calibri"/>
          <w:color w:val="080000"/>
          <w:sz w:val="22"/>
          <w:szCs w:val="22"/>
          <w:lang w:val="en-CA"/>
        </w:rPr>
        <w:t>The Cold War shaped two generations in the Soviet Union, as well as the entire continent of Europe and the United States.  State-driven narratives of allies and enemies penetrated deeply into popular culture and individual identities in both the USSR and the US, and continue to shape the way that Soviet citizens look at the world and the way the world relates to contemporary Russia.  This course will examine the evolution of the Cold War from the remaking of the European continent to the famous “kitchen debate” between Nikita Khrushchev and Richard Nixon, from 1970s détente and Soviet </w:t>
      </w:r>
      <w:r w:rsidRPr="00E661D1">
        <w:rPr>
          <w:rFonts w:ascii="Calibri" w:hAnsi="Calibri"/>
          <w:i/>
          <w:iCs/>
          <w:color w:val="080000"/>
          <w:sz w:val="22"/>
          <w:szCs w:val="22"/>
          <w:lang w:val="en-CA"/>
        </w:rPr>
        <w:t>samizdat</w:t>
      </w:r>
      <w:r w:rsidRPr="00E661D1">
        <w:rPr>
          <w:rFonts w:ascii="Calibri" w:hAnsi="Calibri"/>
          <w:color w:val="080000"/>
          <w:sz w:val="22"/>
          <w:szCs w:val="22"/>
          <w:lang w:val="en-CA"/>
        </w:rPr>
        <w:t> to the end of the USSR.  Topics included will be political culture, geopolitics, ideology, gender, and popular culture.</w:t>
      </w:r>
    </w:p>
    <w:p w:rsidR="00136F5F" w:rsidRPr="00E661D1" w:rsidRDefault="00136F5F" w:rsidP="00136F5F">
      <w:pPr>
        <w:rPr>
          <w:rFonts w:ascii="Calibri" w:hAnsi="Calibri"/>
          <w:color w:val="000000"/>
          <w:sz w:val="22"/>
          <w:szCs w:val="22"/>
          <w:lang w:val="en-CA"/>
        </w:rPr>
      </w:pPr>
      <w:r w:rsidRPr="00E661D1">
        <w:rPr>
          <w:rFonts w:ascii="Calibri" w:hAnsi="Calibri"/>
          <w:b/>
          <w:bCs/>
          <w:color w:val="080000"/>
          <w:sz w:val="22"/>
          <w:szCs w:val="22"/>
          <w:lang w:val="en-CA"/>
        </w:rPr>
        <w:t> </w:t>
      </w:r>
    </w:p>
    <w:p w:rsidR="00136F5F" w:rsidRPr="00E661D1" w:rsidRDefault="00136F5F" w:rsidP="00136F5F">
      <w:pPr>
        <w:rPr>
          <w:rFonts w:ascii="Calibri" w:hAnsi="Calibri"/>
          <w:color w:val="000000"/>
          <w:sz w:val="22"/>
          <w:szCs w:val="22"/>
          <w:lang w:val="en-CA"/>
        </w:rPr>
      </w:pPr>
      <w:r w:rsidRPr="00E661D1">
        <w:rPr>
          <w:rFonts w:ascii="Calibri" w:hAnsi="Calibri"/>
          <w:color w:val="080000"/>
          <w:sz w:val="22"/>
          <w:szCs w:val="22"/>
          <w:lang w:val="en-CA"/>
        </w:rPr>
        <w:t>The qualifications required for the position include a PhD in Soviet History and related teaching experience. Candidates must additionally have a background in American History and/or professional experience in the United States.  All applicants must apply to EURUS director Jeff Sahadeo at </w:t>
      </w:r>
      <w:hyperlink r:id="rId6" w:history="1">
        <w:r w:rsidRPr="00E661D1">
          <w:rPr>
            <w:rStyle w:val="Hyperlink"/>
            <w:rFonts w:ascii="Calibri" w:hAnsi="Calibri"/>
            <w:color w:val="800080"/>
            <w:sz w:val="22"/>
            <w:szCs w:val="22"/>
            <w:lang w:val="en-CA"/>
          </w:rPr>
          <w:t>jeff_sahadeo@carleton.ca</w:t>
        </w:r>
      </w:hyperlink>
      <w:r w:rsidRPr="00E661D1">
        <w:rPr>
          <w:rFonts w:ascii="Calibri" w:hAnsi="Calibri"/>
          <w:color w:val="080000"/>
          <w:sz w:val="22"/>
          <w:szCs w:val="22"/>
          <w:lang w:val="en-CA"/>
        </w:rPr>
        <w:t> or EURUS, Carleton University, 1125 Colonel By Drive, Ottawa, Ont. K1S 5B6, no later than </w:t>
      </w:r>
      <w:r w:rsidRPr="00E661D1">
        <w:rPr>
          <w:rFonts w:ascii="Calibri" w:hAnsi="Calibri"/>
          <w:b/>
          <w:bCs/>
          <w:color w:val="080000"/>
          <w:sz w:val="22"/>
          <w:szCs w:val="22"/>
          <w:lang w:val="en-CA"/>
        </w:rPr>
        <w:t>August 15, 2013</w:t>
      </w:r>
      <w:r w:rsidRPr="00E661D1">
        <w:rPr>
          <w:rFonts w:ascii="Calibri" w:hAnsi="Calibri"/>
          <w:color w:val="080000"/>
          <w:sz w:val="22"/>
          <w:szCs w:val="22"/>
          <w:lang w:val="en-CA"/>
        </w:rPr>
        <w:t>.  Applications must be in writing, and must include an up to date CV with a complete listing of all courses taught within the CUPE 4600-2 bargaining unit at Carleton University, where applicable.  </w:t>
      </w:r>
    </w:p>
    <w:p w:rsidR="00136F5F" w:rsidRPr="00E661D1" w:rsidRDefault="00136F5F" w:rsidP="00136F5F">
      <w:pPr>
        <w:rPr>
          <w:rFonts w:ascii="Calibri" w:hAnsi="Calibri"/>
          <w:color w:val="000000"/>
          <w:sz w:val="22"/>
          <w:szCs w:val="22"/>
          <w:lang w:val="en-CA"/>
        </w:rPr>
      </w:pPr>
      <w:r w:rsidRPr="00E661D1">
        <w:rPr>
          <w:rFonts w:ascii="Calibri" w:hAnsi="Calibri"/>
          <w:color w:val="080000"/>
          <w:sz w:val="22"/>
          <w:szCs w:val="22"/>
          <w:lang w:val="en-CA"/>
        </w:rPr>
        <w:t> </w:t>
      </w:r>
    </w:p>
    <w:p w:rsidR="00136F5F" w:rsidRPr="00E661D1" w:rsidRDefault="00136F5F" w:rsidP="00136F5F">
      <w:pPr>
        <w:rPr>
          <w:rFonts w:ascii="Calibri" w:hAnsi="Calibri"/>
          <w:color w:val="000000"/>
          <w:sz w:val="22"/>
          <w:szCs w:val="22"/>
          <w:lang w:val="en-CA"/>
        </w:rPr>
      </w:pPr>
      <w:r w:rsidRPr="00E661D1">
        <w:rPr>
          <w:rFonts w:ascii="Calibri" w:hAnsi="Calibri"/>
          <w:color w:val="080000"/>
          <w:sz w:val="22"/>
          <w:szCs w:val="22"/>
          <w:lang w:val="en-CA"/>
        </w:rPr>
        <w:t>Carleton University is strongly committed to fostering diversity within its community as a source of excellence, cultural enrichment, and social strength. We welcome those who would contribute to the diversification of our faculty and scholarship including but not limited to women, Aboriginal peoples, visible minorities, and persons with disabilities. In accordance with Canadian immigration requirements, priority will be given to Canadian citizens and permanent residents.</w:t>
      </w:r>
    </w:p>
    <w:p w:rsidR="00CE359A" w:rsidRPr="00E661D1" w:rsidRDefault="00CE359A">
      <w:pPr>
        <w:widowControl/>
        <w:rPr>
          <w:rFonts w:ascii="Calibri" w:hAnsi="Calibri" w:cs="Arial"/>
          <w:sz w:val="22"/>
          <w:szCs w:val="22"/>
        </w:rPr>
      </w:pPr>
    </w:p>
    <w:bookmarkEnd w:id="0"/>
    <w:bookmarkEnd w:id="1"/>
    <w:bookmarkEnd w:id="2"/>
    <w:bookmarkEnd w:id="3"/>
    <w:p w:rsidR="00CE359A" w:rsidRPr="00E661D1" w:rsidRDefault="00CE359A">
      <w:pPr>
        <w:widowControl/>
        <w:ind w:left="-432" w:right="-432"/>
        <w:jc w:val="both"/>
        <w:rPr>
          <w:rFonts w:ascii="Calibri" w:hAnsi="Calibri"/>
          <w:sz w:val="22"/>
          <w:szCs w:val="22"/>
          <w:lang w:val="en-GB"/>
        </w:rPr>
      </w:pPr>
    </w:p>
    <w:sectPr w:rsidR="00CE359A" w:rsidRPr="00E661D1">
      <w:endnotePr>
        <w:numFmt w:val="decimal"/>
      </w:endnotePr>
      <w:pgSz w:w="12240" w:h="15840"/>
      <w:pgMar w:top="840" w:right="1440" w:bottom="1020" w:left="1440" w:header="720" w:footer="810" w:gutter="0"/>
      <w:cols w:space="720"/>
      <w:noEndnote/>
    </w:sectPr>
  </w:body>
</w:document>
</file>

<file path=word/fontTable.xml><?xml version="1.0" encoding="utf-8"?>
<w:fonts xmlns:r="http://schemas.openxmlformats.org/officeDocument/2006/relationships" xmlns:w="http://schemas.openxmlformats.org/wordprocessingml/2006/main">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Zurich BlkEx B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C5A70FE"/>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684FB2"/>
    <w:rsid w:val="000B3AEF"/>
    <w:rsid w:val="00136F5F"/>
    <w:rsid w:val="0014110A"/>
    <w:rsid w:val="0037354F"/>
    <w:rsid w:val="004D7FEC"/>
    <w:rsid w:val="00C40089"/>
    <w:rsid w:val="00CE359A"/>
    <w:rsid w:val="00E66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widowControl/>
      <w:ind w:left="-360"/>
      <w:jc w:val="both"/>
      <w:outlineLvl w:val="0"/>
    </w:pPr>
    <w:rPr>
      <w:rFonts w:ascii="Gautami" w:hAnsi="Gautami"/>
      <w:b/>
      <w:bCs/>
      <w:color w:val="FF0000"/>
      <w:sz w:val="18"/>
      <w:szCs w:val="21"/>
      <w:lang w:val="en-GB"/>
    </w:rPr>
  </w:style>
  <w:style w:type="paragraph" w:styleId="Heading2">
    <w:name w:val="heading 2"/>
    <w:basedOn w:val="Normal"/>
    <w:next w:val="Normal"/>
    <w:qFormat/>
    <w:pPr>
      <w:keepNext/>
      <w:widowControl/>
      <w:outlineLvl w:val="1"/>
    </w:pPr>
    <w:rPr>
      <w:rFonts w:cs="Arial"/>
      <w:b/>
      <w:bCs/>
      <w:sz w:val="28"/>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jc w:val="both"/>
    </w:pPr>
    <w:rPr>
      <w:rFonts w:ascii="Zurich BlkEx BT" w:hAnsi="Zurich BlkEx BT"/>
      <w:b/>
      <w:bCs/>
      <w:sz w:val="22"/>
      <w:szCs w:val="22"/>
    </w:rPr>
  </w:style>
  <w:style w:type="paragraph" w:styleId="BodyText">
    <w:name w:val="Body Text"/>
    <w:basedOn w:val="Normal"/>
    <w:link w:val="BodyTextChar"/>
    <w:rPr>
      <w:rFonts w:ascii="Courier New" w:hAnsi="Courier New" w:cs="Courier New"/>
    </w:rPr>
  </w:style>
  <w:style w:type="character" w:styleId="Hyperlink">
    <w:name w:val="Hyperlink"/>
    <w:rPr>
      <w:color w:val="0000FF"/>
      <w:u w:val="single"/>
    </w:rPr>
  </w:style>
  <w:style w:type="paragraph" w:customStyle="1" w:styleId="Level1">
    <w:name w:val="Level 1"/>
    <w:basedOn w:val="Normal"/>
    <w:pPr>
      <w:ind w:left="720" w:hanging="720"/>
    </w:pPr>
  </w:style>
  <w:style w:type="paragraph" w:styleId="BlockText">
    <w:name w:val="Block Text"/>
    <w:basedOn w:val="Normal"/>
    <w:pPr>
      <w:widowControl/>
      <w:ind w:left="-432" w:right="-360"/>
      <w:jc w:val="both"/>
    </w:pPr>
    <w:rPr>
      <w:rFonts w:ascii="Gautami" w:hAnsi="Gautami"/>
      <w:szCs w:val="21"/>
      <w:lang w:val="en-GB"/>
    </w:rPr>
  </w:style>
  <w:style w:type="paragraph" w:customStyle="1" w:styleId="coursename">
    <w:name w:val="course name"/>
    <w:basedOn w:val="Normal"/>
    <w:pPr>
      <w:keepLines/>
      <w:autoSpaceDE/>
      <w:autoSpaceDN/>
      <w:adjustRightInd/>
      <w:spacing w:line="150" w:lineRule="atLeast"/>
    </w:pPr>
    <w:rPr>
      <w:b/>
      <w:snapToGrid w:val="0"/>
      <w:color w:val="000000"/>
      <w:szCs w:val="20"/>
      <w:lang w:val="en-GB"/>
    </w:rPr>
  </w:style>
  <w:style w:type="paragraph" w:styleId="BodyText2">
    <w:name w:val="Body Text 2"/>
    <w:basedOn w:val="Normal"/>
    <w:pPr>
      <w:widowControl/>
    </w:pPr>
    <w:rPr>
      <w:sz w:val="22"/>
      <w:szCs w:val="22"/>
    </w:r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37354F"/>
    <w:rPr>
      <w:rFonts w:ascii="Courier New" w:hAnsi="Courier New" w:cs="Courier New"/>
      <w:szCs w:val="24"/>
    </w:rPr>
  </w:style>
</w:styles>
</file>

<file path=word/webSettings.xml><?xml version="1.0" encoding="utf-8"?>
<w:webSettings xmlns:r="http://schemas.openxmlformats.org/officeDocument/2006/relationships" xmlns:w="http://schemas.openxmlformats.org/wordprocessingml/2006/main">
  <w:divs>
    <w:div w:id="10181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_sahadeo@carleton.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Message from the Director of the Institute of European and Russian Studies</vt:lpstr>
    </vt:vector>
  </TitlesOfParts>
  <Company>Carleton University</Company>
  <LinksUpToDate>false</LinksUpToDate>
  <CharactersWithSpaces>2410</CharactersWithSpaces>
  <SharedDoc>false</SharedDoc>
  <HLinks>
    <vt:vector size="6" baseType="variant">
      <vt:variant>
        <vt:i4>6291564</vt:i4>
      </vt:variant>
      <vt:variant>
        <vt:i4>0</vt:i4>
      </vt:variant>
      <vt:variant>
        <vt:i4>0</vt:i4>
      </vt:variant>
      <vt:variant>
        <vt:i4>5</vt:i4>
      </vt:variant>
      <vt:variant>
        <vt:lpwstr>mailto:jeff_sahadeo@carleton.ca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 the Director of the Institute of European and Russian Studies</dc:title>
  <dc:creator>GinetteLafleur</dc:creator>
  <cp:lastModifiedBy>JOHNLAVI</cp:lastModifiedBy>
  <cp:revision>2</cp:revision>
  <cp:lastPrinted>2010-07-07T11:45:00Z</cp:lastPrinted>
  <dcterms:created xsi:type="dcterms:W3CDTF">2013-07-28T18:00:00Z</dcterms:created>
  <dcterms:modified xsi:type="dcterms:W3CDTF">2013-07-28T18:00:00Z</dcterms:modified>
</cp:coreProperties>
</file>