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5DE" w:rsidRDefault="00F84CB0" w:rsidP="003F37C2">
      <w:pPr>
        <w:jc w:val="both"/>
        <w:rPr>
          <w:rFonts w:cs="Times New Roman"/>
          <w:b/>
          <w:color w:val="000000"/>
          <w:sz w:val="28"/>
          <w:szCs w:val="24"/>
        </w:rPr>
      </w:pPr>
      <w:r>
        <w:rPr>
          <w:b/>
        </w:rPr>
        <w:fldChar w:fldCharType="begin"/>
      </w:r>
      <w:r w:rsidR="00BF25DE">
        <w:rPr>
          <w:b/>
        </w:rPr>
        <w:instrText xml:space="preserve"> MACROBUTTON MTEditEquationSection2 </w:instrText>
      </w:r>
      <w:r w:rsidR="00BF25DE" w:rsidRPr="00073327">
        <w:rPr>
          <w:rStyle w:val="MTEquationSection"/>
        </w:rPr>
        <w:instrText>Equation Chapter 1 Section 1</w:instrText>
      </w:r>
      <w:r>
        <w:rPr>
          <w:b/>
        </w:rPr>
        <w:fldChar w:fldCharType="end"/>
      </w:r>
      <w:r w:rsidR="00BF25DE" w:rsidRPr="0008100A">
        <w:rPr>
          <w:b/>
          <w:sz w:val="26"/>
          <w:szCs w:val="26"/>
        </w:rPr>
        <w:t xml:space="preserve">Implementation and comparison of existing occupant behaviour models in </w:t>
      </w:r>
      <w:proofErr w:type="spellStart"/>
      <w:r w:rsidR="00BF25DE" w:rsidRPr="0008100A">
        <w:rPr>
          <w:b/>
          <w:sz w:val="26"/>
          <w:szCs w:val="26"/>
        </w:rPr>
        <w:t>EnergyPlus</w:t>
      </w:r>
      <w:proofErr w:type="spellEnd"/>
      <w:r w:rsidR="00BF25DE" w:rsidRPr="0008100A" w:rsidDel="004C0A32">
        <w:rPr>
          <w:rFonts w:cs="Times New Roman"/>
          <w:b/>
          <w:color w:val="000000"/>
          <w:sz w:val="28"/>
          <w:szCs w:val="24"/>
        </w:rPr>
        <w:t xml:space="preserve"> </w:t>
      </w:r>
    </w:p>
    <w:p w:rsidR="00CA2052" w:rsidRPr="00DF740B" w:rsidRDefault="00CA2052" w:rsidP="00CA2052">
      <w:pPr>
        <w:pStyle w:val="Heading1"/>
        <w:rPr>
          <w:b w:val="0"/>
          <w:sz w:val="24"/>
          <w:szCs w:val="24"/>
        </w:rPr>
      </w:pPr>
      <w:r w:rsidRPr="00DF740B">
        <w:rPr>
          <w:b w:val="0"/>
          <w:sz w:val="24"/>
          <w:szCs w:val="24"/>
        </w:rPr>
        <w:t>H. Burak Gunay</w:t>
      </w:r>
      <w:r w:rsidRPr="00DF740B">
        <w:rPr>
          <w:b w:val="0"/>
          <w:sz w:val="24"/>
          <w:szCs w:val="24"/>
          <w:vertAlign w:val="superscript"/>
        </w:rPr>
        <w:t>1</w:t>
      </w:r>
      <w:r w:rsidRPr="00DF740B">
        <w:rPr>
          <w:b w:val="0"/>
          <w:sz w:val="24"/>
          <w:szCs w:val="24"/>
        </w:rPr>
        <w:t>, William O'Brien</w:t>
      </w:r>
      <w:r w:rsidRPr="00DF740B">
        <w:rPr>
          <w:b w:val="0"/>
          <w:sz w:val="24"/>
          <w:szCs w:val="24"/>
          <w:vertAlign w:val="superscript"/>
        </w:rPr>
        <w:t>1</w:t>
      </w:r>
      <w:r w:rsidRPr="00DF740B">
        <w:rPr>
          <w:b w:val="0"/>
          <w:sz w:val="24"/>
          <w:szCs w:val="24"/>
        </w:rPr>
        <w:t>, Ian Beausoleil-Morrison</w:t>
      </w:r>
      <w:r w:rsidRPr="00DF740B">
        <w:rPr>
          <w:b w:val="0"/>
          <w:sz w:val="24"/>
          <w:szCs w:val="24"/>
          <w:vertAlign w:val="superscript"/>
        </w:rPr>
        <w:t>2</w:t>
      </w:r>
    </w:p>
    <w:p w:rsidR="00CA2052" w:rsidRPr="00DF740B" w:rsidRDefault="00CA2052" w:rsidP="00CA2052">
      <w:pPr>
        <w:spacing w:line="240" w:lineRule="auto"/>
        <w:contextualSpacing/>
        <w:rPr>
          <w:rFonts w:cs="Times New Roman"/>
          <w:bCs/>
          <w:szCs w:val="24"/>
        </w:rPr>
      </w:pPr>
      <w:r w:rsidRPr="00DF740B">
        <w:rPr>
          <w:rFonts w:cs="Times New Roman"/>
          <w:bCs/>
          <w:szCs w:val="24"/>
          <w:vertAlign w:val="superscript"/>
        </w:rPr>
        <w:t>1</w:t>
      </w:r>
      <w:r w:rsidRPr="00DF740B">
        <w:rPr>
          <w:rFonts w:cs="Times New Roman"/>
          <w:bCs/>
          <w:szCs w:val="24"/>
        </w:rPr>
        <w:t>Department of Civil and Environmental Engineering, Carleton University</w:t>
      </w:r>
    </w:p>
    <w:p w:rsidR="00CA2052" w:rsidRDefault="00CA2052" w:rsidP="00CA2052">
      <w:pPr>
        <w:spacing w:line="480" w:lineRule="auto"/>
        <w:contextualSpacing/>
        <w:rPr>
          <w:rFonts w:cs="Times New Roman"/>
          <w:bCs/>
          <w:szCs w:val="24"/>
        </w:rPr>
      </w:pPr>
      <w:r w:rsidRPr="00DF740B">
        <w:rPr>
          <w:rFonts w:cs="Times New Roman"/>
          <w:bCs/>
          <w:szCs w:val="24"/>
          <w:vertAlign w:val="superscript"/>
        </w:rPr>
        <w:t>2</w:t>
      </w:r>
      <w:r w:rsidRPr="00DF740B">
        <w:rPr>
          <w:rFonts w:cs="Times New Roman"/>
          <w:bCs/>
          <w:szCs w:val="24"/>
        </w:rPr>
        <w:t>Department of Mechanical and Aerospace Engineering, Carleton University</w:t>
      </w:r>
    </w:p>
    <w:p w:rsidR="00BF25DE" w:rsidRPr="00CA2052" w:rsidRDefault="00BF25DE" w:rsidP="00CA2052">
      <w:pPr>
        <w:spacing w:after="0"/>
        <w:contextualSpacing/>
        <w:rPr>
          <w:rFonts w:cs="Times New Roman"/>
          <w:bCs/>
          <w:szCs w:val="24"/>
        </w:rPr>
      </w:pPr>
      <w:r>
        <w:rPr>
          <w:rFonts w:cs="Times New Roman"/>
          <w:b/>
          <w:color w:val="000000"/>
          <w:szCs w:val="24"/>
        </w:rPr>
        <w:t>Abstract:</w:t>
      </w:r>
    </w:p>
    <w:p w:rsidR="00BF25DE" w:rsidRDefault="00BF25DE" w:rsidP="00CA2052">
      <w:pPr>
        <w:autoSpaceDE w:val="0"/>
        <w:autoSpaceDN w:val="0"/>
        <w:adjustRightInd w:val="0"/>
        <w:spacing w:after="0"/>
        <w:jc w:val="both"/>
        <w:rPr>
          <w:rFonts w:cs="Times New Roman"/>
          <w:color w:val="000000"/>
          <w:szCs w:val="24"/>
        </w:rPr>
      </w:pPr>
      <w:r>
        <w:rPr>
          <w:rFonts w:cs="Times New Roman"/>
          <w:color w:val="000000"/>
          <w:szCs w:val="24"/>
        </w:rPr>
        <w:t xml:space="preserve">To incorporate occupant behaviour in building performance simulation (BPS), researchers have developed a number of occupant behaviour and presence models based on long-term field observations. This paper describes the implementation of models from the literature for predicting occupancy and use of operable windows, blinds, lighting, and clothing for offices in the BPS tool </w:t>
      </w:r>
      <w:proofErr w:type="spellStart"/>
      <w:r>
        <w:rPr>
          <w:rFonts w:cs="Times New Roman"/>
          <w:color w:val="000000"/>
          <w:szCs w:val="24"/>
        </w:rPr>
        <w:t>EnergyPlus</w:t>
      </w:r>
      <w:proofErr w:type="spellEnd"/>
      <w:r>
        <w:rPr>
          <w:rFonts w:cs="Times New Roman"/>
          <w:color w:val="000000"/>
          <w:szCs w:val="24"/>
        </w:rPr>
        <w:t xml:space="preserve">. </w:t>
      </w:r>
      <w:r w:rsidRPr="00B27967">
        <w:rPr>
          <w:rFonts w:cs="Times New Roman"/>
          <w:szCs w:val="24"/>
        </w:rPr>
        <w:t>In order to make the occupan</w:t>
      </w:r>
      <w:r>
        <w:rPr>
          <w:rFonts w:cs="Times New Roman"/>
          <w:szCs w:val="24"/>
        </w:rPr>
        <w:t>t</w:t>
      </w:r>
      <w:r w:rsidRPr="00B27967">
        <w:rPr>
          <w:rFonts w:cs="Times New Roman"/>
          <w:szCs w:val="24"/>
        </w:rPr>
        <w:t xml:space="preserve"> models from the literature more widely available to researchers and practitioners, </w:t>
      </w:r>
      <w:r>
        <w:rPr>
          <w:rFonts w:cs="Times New Roman"/>
          <w:szCs w:val="24"/>
        </w:rPr>
        <w:t xml:space="preserve">the </w:t>
      </w:r>
      <w:proofErr w:type="spellStart"/>
      <w:r w:rsidRPr="00B27967">
        <w:rPr>
          <w:rFonts w:cs="Times New Roman"/>
          <w:szCs w:val="24"/>
        </w:rPr>
        <w:t>EnergyPlus</w:t>
      </w:r>
      <w:proofErr w:type="spellEnd"/>
      <w:r w:rsidRPr="00B27967">
        <w:rPr>
          <w:rFonts w:cs="Times New Roman"/>
          <w:szCs w:val="24"/>
        </w:rPr>
        <w:t xml:space="preserve"> EMS scripts are made publicly available.</w:t>
      </w:r>
      <w:r>
        <w:rPr>
          <w:rFonts w:cs="Times New Roman"/>
          <w:szCs w:val="24"/>
        </w:rPr>
        <w:t xml:space="preserve"> </w:t>
      </w:r>
      <w:r>
        <w:rPr>
          <w:rFonts w:cs="Times New Roman"/>
          <w:color w:val="000000"/>
          <w:szCs w:val="24"/>
        </w:rPr>
        <w:t xml:space="preserve">The paper then presents a comparison of the model predictions based on a typical office and demonstrates how differences in these models influence BPS results. </w:t>
      </w:r>
      <w:r>
        <w:rPr>
          <w:rFonts w:cs="Times New Roman"/>
          <w:szCs w:val="24"/>
        </w:rPr>
        <w:t>In general, the window, blinds, and lighting use model predictions vary significantly from model to another. Despite these significant variations, the BPS models with different occupant behaviour model combinations provided consistent load reduction predictions in response to design changes.</w:t>
      </w:r>
      <w:r>
        <w:rPr>
          <w:rFonts w:cs="Times New Roman"/>
          <w:color w:val="000000"/>
          <w:szCs w:val="24"/>
        </w:rPr>
        <w:t xml:space="preserve"> </w:t>
      </w:r>
    </w:p>
    <w:p w:rsidR="00BF25DE" w:rsidRDefault="00BF25DE" w:rsidP="00051A6E">
      <w:pPr>
        <w:autoSpaceDE w:val="0"/>
        <w:autoSpaceDN w:val="0"/>
        <w:adjustRightInd w:val="0"/>
        <w:spacing w:after="0"/>
        <w:jc w:val="both"/>
        <w:rPr>
          <w:rFonts w:cs="Times New Roman"/>
          <w:szCs w:val="24"/>
        </w:rPr>
      </w:pPr>
      <w:r w:rsidRPr="00073327">
        <w:rPr>
          <w:rFonts w:cs="Times New Roman"/>
          <w:b/>
          <w:szCs w:val="24"/>
        </w:rPr>
        <w:t>Keywords:</w:t>
      </w:r>
      <w:r>
        <w:rPr>
          <w:rFonts w:cs="Times New Roman"/>
          <w:szCs w:val="24"/>
        </w:rPr>
        <w:t xml:space="preserve"> Occupant behaviour, occupant behaviour models, building performance simulation, window use models, light use models, blinds use models</w:t>
      </w:r>
    </w:p>
    <w:p w:rsidR="00BF25DE" w:rsidRDefault="00BF25DE">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Pr="00F27FE9" w:rsidRDefault="00CA2052" w:rsidP="00CA2052">
      <w:pPr>
        <w:spacing w:after="0" w:line="480" w:lineRule="auto"/>
        <w:contextualSpacing/>
        <w:jc w:val="both"/>
        <w:rPr>
          <w:rFonts w:cs="Times New Roman"/>
          <w:b/>
          <w:bCs/>
          <w:szCs w:val="24"/>
        </w:rPr>
      </w:pPr>
      <w:r w:rsidRPr="00F27FE9">
        <w:rPr>
          <w:rFonts w:cs="Times New Roman"/>
          <w:b/>
          <w:bCs/>
          <w:szCs w:val="24"/>
        </w:rPr>
        <w:lastRenderedPageBreak/>
        <w:t>Corresponding Author:</w:t>
      </w:r>
      <w:r w:rsidRPr="00F27FE9">
        <w:rPr>
          <w:rFonts w:cs="Times New Roman"/>
          <w:b/>
          <w:bCs/>
          <w:szCs w:val="24"/>
        </w:rPr>
        <w:tab/>
      </w:r>
      <w:r w:rsidRPr="00F27FE9">
        <w:rPr>
          <w:rFonts w:cs="Times New Roman"/>
          <w:bCs/>
          <w:szCs w:val="24"/>
        </w:rPr>
        <w:t>William O'Brien</w:t>
      </w:r>
    </w:p>
    <w:p w:rsidR="00CA2052" w:rsidRPr="00F27FE9" w:rsidRDefault="00CA2052" w:rsidP="00CA2052">
      <w:pPr>
        <w:spacing w:after="0" w:line="480" w:lineRule="auto"/>
        <w:ind w:left="2160" w:firstLine="720"/>
        <w:contextualSpacing/>
        <w:jc w:val="both"/>
        <w:rPr>
          <w:rFonts w:cs="Times New Roman"/>
          <w:bCs/>
          <w:szCs w:val="24"/>
        </w:rPr>
      </w:pPr>
    </w:p>
    <w:p w:rsidR="00CA2052" w:rsidRPr="00F27FE9" w:rsidRDefault="00CA2052" w:rsidP="00CA2052">
      <w:pPr>
        <w:spacing w:after="0"/>
        <w:ind w:left="2160" w:firstLine="720"/>
        <w:contextualSpacing/>
        <w:jc w:val="both"/>
        <w:rPr>
          <w:rFonts w:cs="Times New Roman"/>
          <w:b/>
          <w:bCs/>
          <w:szCs w:val="24"/>
        </w:rPr>
      </w:pPr>
      <w:r w:rsidRPr="00F27FE9">
        <w:rPr>
          <w:rFonts w:cs="Times New Roman"/>
          <w:b/>
          <w:bCs/>
          <w:szCs w:val="24"/>
        </w:rPr>
        <w:t>Main Address:</w:t>
      </w:r>
    </w:p>
    <w:p w:rsidR="00CA2052" w:rsidRPr="00F27FE9" w:rsidRDefault="00CA2052" w:rsidP="00CA2052">
      <w:pPr>
        <w:spacing w:after="0"/>
        <w:ind w:left="2160" w:firstLine="720"/>
        <w:contextualSpacing/>
        <w:jc w:val="both"/>
        <w:rPr>
          <w:rFonts w:cs="Times New Roman"/>
          <w:bCs/>
          <w:szCs w:val="24"/>
        </w:rPr>
      </w:pPr>
      <w:r w:rsidRPr="00F27FE9">
        <w:rPr>
          <w:rFonts w:cs="Times New Roman"/>
          <w:bCs/>
          <w:szCs w:val="24"/>
        </w:rPr>
        <w:t>Carleton University</w:t>
      </w:r>
    </w:p>
    <w:p w:rsidR="00CA2052" w:rsidRPr="00F27FE9" w:rsidRDefault="00CA2052" w:rsidP="00CA2052">
      <w:pPr>
        <w:spacing w:after="0"/>
        <w:ind w:left="2160" w:firstLine="720"/>
        <w:contextualSpacing/>
        <w:jc w:val="both"/>
        <w:rPr>
          <w:rFonts w:cs="Times New Roman"/>
          <w:bCs/>
          <w:szCs w:val="24"/>
        </w:rPr>
      </w:pPr>
      <w:r w:rsidRPr="00F27FE9">
        <w:rPr>
          <w:rFonts w:cs="Times New Roman"/>
          <w:bCs/>
          <w:szCs w:val="24"/>
        </w:rPr>
        <w:t>Department of Civil and Environmental Engineering</w:t>
      </w:r>
    </w:p>
    <w:p w:rsidR="00CA2052" w:rsidRPr="00F27FE9" w:rsidRDefault="00CA2052" w:rsidP="00CA2052">
      <w:pPr>
        <w:spacing w:after="0"/>
        <w:ind w:left="2160" w:firstLine="720"/>
        <w:contextualSpacing/>
        <w:jc w:val="both"/>
        <w:rPr>
          <w:rFonts w:cs="Times New Roman"/>
          <w:bCs/>
          <w:szCs w:val="24"/>
        </w:rPr>
      </w:pPr>
      <w:r w:rsidRPr="00F27FE9">
        <w:rPr>
          <w:rFonts w:cs="Times New Roman"/>
          <w:bCs/>
          <w:szCs w:val="24"/>
        </w:rPr>
        <w:t>1125 Colonel by Drive</w:t>
      </w:r>
    </w:p>
    <w:p w:rsidR="00CA2052" w:rsidRPr="00F27FE9" w:rsidRDefault="00CA2052" w:rsidP="00CA2052">
      <w:pPr>
        <w:spacing w:after="0"/>
        <w:ind w:left="2160" w:firstLine="720"/>
        <w:contextualSpacing/>
        <w:jc w:val="both"/>
        <w:rPr>
          <w:rFonts w:cs="Times New Roman"/>
          <w:bCs/>
          <w:szCs w:val="24"/>
        </w:rPr>
      </w:pPr>
      <w:r w:rsidRPr="00F27FE9">
        <w:rPr>
          <w:rFonts w:cs="Times New Roman"/>
          <w:bCs/>
          <w:szCs w:val="24"/>
        </w:rPr>
        <w:t>Ottawa, Ontario, Canada K1S 5B6</w:t>
      </w:r>
    </w:p>
    <w:p w:rsidR="00CA2052" w:rsidRPr="00F27FE9" w:rsidRDefault="00CA2052" w:rsidP="00CA2052">
      <w:pPr>
        <w:spacing w:after="0"/>
        <w:ind w:left="2160" w:firstLine="720"/>
        <w:contextualSpacing/>
        <w:jc w:val="both"/>
        <w:rPr>
          <w:rFonts w:cs="Times New Roman"/>
          <w:bCs/>
          <w:szCs w:val="24"/>
          <w:lang w:val="fr-CA"/>
        </w:rPr>
      </w:pPr>
      <w:r w:rsidRPr="00F27FE9">
        <w:rPr>
          <w:rFonts w:cs="Times New Roman"/>
          <w:bCs/>
          <w:szCs w:val="24"/>
          <w:lang w:val="fr-CA"/>
        </w:rPr>
        <w:t>Email: Liam_OBrien@carleton.ca</w:t>
      </w:r>
    </w:p>
    <w:p w:rsidR="00CA2052" w:rsidRPr="00F27FE9" w:rsidRDefault="00CA2052" w:rsidP="00CA2052">
      <w:pPr>
        <w:spacing w:after="0"/>
        <w:jc w:val="both"/>
        <w:rPr>
          <w:rFonts w:cs="Times New Roman"/>
          <w:szCs w:val="24"/>
          <w:lang w:val="fr-CA"/>
        </w:rPr>
      </w:pPr>
      <w:r w:rsidRPr="00F27FE9">
        <w:rPr>
          <w:rFonts w:cs="Times New Roman"/>
          <w:szCs w:val="24"/>
          <w:lang w:val="fr-CA"/>
        </w:rPr>
        <w:tab/>
      </w:r>
      <w:r w:rsidRPr="00F27FE9">
        <w:rPr>
          <w:rFonts w:cs="Times New Roman"/>
          <w:szCs w:val="24"/>
          <w:lang w:val="fr-CA"/>
        </w:rPr>
        <w:tab/>
      </w:r>
      <w:r w:rsidRPr="00F27FE9">
        <w:rPr>
          <w:rFonts w:cs="Times New Roman"/>
          <w:szCs w:val="24"/>
          <w:lang w:val="fr-CA"/>
        </w:rPr>
        <w:tab/>
      </w:r>
      <w:r w:rsidRPr="00F27FE9">
        <w:rPr>
          <w:rFonts w:cs="Times New Roman"/>
          <w:szCs w:val="24"/>
          <w:lang w:val="fr-CA"/>
        </w:rPr>
        <w:tab/>
        <w:t>Tel: +1 613 520 2600 x 8037</w:t>
      </w:r>
    </w:p>
    <w:p w:rsidR="00CA2052" w:rsidRPr="00F27FE9" w:rsidRDefault="00CA2052" w:rsidP="00CA2052">
      <w:pPr>
        <w:spacing w:after="0"/>
        <w:ind w:left="2160" w:firstLine="720"/>
        <w:jc w:val="both"/>
        <w:rPr>
          <w:rFonts w:cs="Times New Roman"/>
          <w:szCs w:val="24"/>
          <w:lang w:val="fr-CA"/>
        </w:rPr>
      </w:pPr>
      <w:r w:rsidRPr="00F27FE9">
        <w:rPr>
          <w:rFonts w:cs="Times New Roman"/>
          <w:szCs w:val="24"/>
          <w:lang w:val="fr-CA"/>
        </w:rPr>
        <w:t>Fax: +1 613 520 3951</w:t>
      </w: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CA2052" w:rsidRDefault="00CA2052">
      <w:pPr>
        <w:spacing w:after="0" w:line="360" w:lineRule="auto"/>
        <w:rPr>
          <w:rFonts w:cs="Times New Roman"/>
          <w:szCs w:val="24"/>
        </w:rPr>
      </w:pPr>
    </w:p>
    <w:p w:rsidR="00BF25DE" w:rsidRDefault="00BF25DE">
      <w:pPr>
        <w:pStyle w:val="Heading1"/>
        <w:numPr>
          <w:ilvl w:val="0"/>
          <w:numId w:val="1"/>
        </w:numPr>
        <w:spacing w:before="0" w:line="360" w:lineRule="auto"/>
        <w:rPr>
          <w:rFonts w:cs="Times New Roman"/>
          <w:sz w:val="24"/>
          <w:szCs w:val="24"/>
        </w:rPr>
      </w:pPr>
      <w:r w:rsidRPr="007116D6">
        <w:rPr>
          <w:rFonts w:cs="Times New Roman"/>
          <w:sz w:val="24"/>
          <w:szCs w:val="24"/>
        </w:rPr>
        <w:lastRenderedPageBreak/>
        <w:t>Introduction</w:t>
      </w:r>
    </w:p>
    <w:p w:rsidR="00BF25DE" w:rsidRDefault="00BF25DE" w:rsidP="00051A6E">
      <w:pPr>
        <w:spacing w:after="0" w:line="360" w:lineRule="auto"/>
        <w:jc w:val="both"/>
        <w:rPr>
          <w:rFonts w:cs="Times New Roman"/>
          <w:szCs w:val="24"/>
        </w:rPr>
      </w:pPr>
      <w:r w:rsidRPr="007116D6">
        <w:rPr>
          <w:rFonts w:cs="Times New Roman"/>
          <w:szCs w:val="24"/>
        </w:rPr>
        <w:t>Office occupants</w:t>
      </w:r>
      <w:r>
        <w:rPr>
          <w:rFonts w:cs="Times New Roman"/>
          <w:szCs w:val="24"/>
        </w:rPr>
        <w:t>,</w:t>
      </w:r>
      <w:r w:rsidRPr="007116D6">
        <w:rPr>
          <w:rFonts w:cs="Times New Roman"/>
          <w:szCs w:val="24"/>
        </w:rPr>
        <w:t xml:space="preserve"> by interacting with just a few building components —</w:t>
      </w:r>
      <w:r>
        <w:rPr>
          <w:rFonts w:cs="Times New Roman"/>
          <w:szCs w:val="24"/>
        </w:rPr>
        <w:t xml:space="preserve"> </w:t>
      </w:r>
      <w:r w:rsidRPr="007116D6">
        <w:rPr>
          <w:rFonts w:cs="Times New Roman"/>
          <w:szCs w:val="24"/>
        </w:rPr>
        <w:t>such as windows, window blinds and lighting</w:t>
      </w:r>
      <w:r>
        <w:rPr>
          <w:rFonts w:cs="Times New Roman"/>
          <w:szCs w:val="24"/>
        </w:rPr>
        <w:t xml:space="preserve"> </w:t>
      </w:r>
      <w:r>
        <w:rPr>
          <w:rFonts w:cs="Times New Roman"/>
          <w:szCs w:val="24"/>
        </w:rPr>
        <w:softHyphen/>
      </w:r>
      <w:r>
        <w:rPr>
          <w:rFonts w:cs="Times New Roman"/>
          <w:szCs w:val="24"/>
        </w:rPr>
        <w:softHyphen/>
      </w:r>
      <w:r w:rsidRPr="007116D6">
        <w:rPr>
          <w:rFonts w:cs="Times New Roman"/>
          <w:szCs w:val="24"/>
        </w:rPr>
        <w:t>— account for great uncertainty over a building</w:t>
      </w:r>
      <w:r>
        <w:rPr>
          <w:rFonts w:cs="Times New Roman"/>
          <w:szCs w:val="24"/>
        </w:rPr>
        <w:t xml:space="preserve">'s </w:t>
      </w:r>
      <w:r w:rsidRPr="007116D6">
        <w:rPr>
          <w:rFonts w:cs="Times New Roman"/>
          <w:szCs w:val="24"/>
        </w:rPr>
        <w:t>performance</w:t>
      </w:r>
      <w:r>
        <w:rPr>
          <w:rFonts w:cs="Times New Roman"/>
          <w:szCs w:val="24"/>
        </w:rPr>
        <w:t xml:space="preserve">. It has been reported that </w:t>
      </w:r>
      <w:r w:rsidRPr="00FC5206">
        <w:rPr>
          <w:rFonts w:cs="Times New Roman"/>
          <w:szCs w:val="24"/>
        </w:rPr>
        <w:t>occupant behavior</w:t>
      </w:r>
      <w:r>
        <w:rPr>
          <w:rFonts w:cs="Times New Roman"/>
          <w:szCs w:val="24"/>
        </w:rPr>
        <w:t xml:space="preserve"> </w:t>
      </w:r>
      <w:r w:rsidRPr="00FC5206">
        <w:rPr>
          <w:rFonts w:cs="Times New Roman"/>
          <w:szCs w:val="24"/>
        </w:rPr>
        <w:t>can impact energy performance of of</w:t>
      </w:r>
      <w:r>
        <w:rPr>
          <w:rFonts w:cs="Times New Roman"/>
          <w:szCs w:val="24"/>
        </w:rPr>
        <w:t>fices by a factor of two or more</w:t>
      </w:r>
      <w:r w:rsidRPr="00FC5206">
        <w:rPr>
          <w:rFonts w:cs="Times New Roman"/>
          <w:szCs w:val="24"/>
        </w:rPr>
        <w:t xml:space="preserve"> </w:t>
      </w:r>
      <w:r>
        <w:rPr>
          <w:rFonts w:cs="Times New Roman"/>
          <w:noProof/>
          <w:szCs w:val="24"/>
        </w:rPr>
        <w:t>(Norford et al. 1994; Reinhart 2004; Haldi and Robinson 2011; D'Oca and Hong 2014; Feng et al. 2015)</w:t>
      </w:r>
      <w:r>
        <w:rPr>
          <w:rFonts w:cs="Times New Roman"/>
          <w:szCs w:val="24"/>
        </w:rPr>
        <w:t xml:space="preserve">. The occupant interactions with these building components also influence commonly used comfort metrics in building performance simulation (BPS). For example, </w:t>
      </w:r>
      <w:r>
        <w:rPr>
          <w:rFonts w:cs="Times New Roman"/>
          <w:noProof/>
          <w:szCs w:val="24"/>
        </w:rPr>
        <w:t>Reinhart et al. (2006)</w:t>
      </w:r>
      <w:r>
        <w:rPr>
          <w:rFonts w:cs="Times New Roman"/>
          <w:szCs w:val="24"/>
        </w:rPr>
        <w:t xml:space="preserve"> reported that the daylight autonomy 2.5 m away from the window in an office located in Vancouver, Canada can be as low as 30% and as high as 80% depending on the internal blinds position. A major challenge in making building designs robust against this uncertainty, as stated by </w:t>
      </w:r>
      <w:r>
        <w:rPr>
          <w:rFonts w:cs="Times New Roman"/>
          <w:noProof/>
          <w:szCs w:val="24"/>
        </w:rPr>
        <w:t>Hong (2012)</w:t>
      </w:r>
      <w:r>
        <w:rPr>
          <w:rFonts w:cs="Times New Roman"/>
          <w:szCs w:val="24"/>
        </w:rPr>
        <w:t xml:space="preserve">, is to incorporate occupants' behaviour and presence realistically in the building performance simulation (BPS) tools. </w:t>
      </w:r>
    </w:p>
    <w:p w:rsidR="00BF25DE" w:rsidRDefault="00BF25DE">
      <w:pPr>
        <w:pStyle w:val="Heading1"/>
        <w:numPr>
          <w:ilvl w:val="1"/>
          <w:numId w:val="1"/>
        </w:numPr>
        <w:spacing w:before="0" w:line="360" w:lineRule="auto"/>
        <w:rPr>
          <w:rFonts w:cs="Times New Roman"/>
          <w:szCs w:val="24"/>
        </w:rPr>
      </w:pPr>
      <w:r w:rsidRPr="00073327">
        <w:rPr>
          <w:rFonts w:cs="Times New Roman"/>
          <w:sz w:val="24"/>
          <w:szCs w:val="24"/>
        </w:rPr>
        <w:t>Problem definition</w:t>
      </w:r>
    </w:p>
    <w:p w:rsidR="00BF25DE" w:rsidRDefault="00BF25DE" w:rsidP="00051A6E">
      <w:pPr>
        <w:spacing w:after="0" w:line="360" w:lineRule="auto"/>
        <w:jc w:val="both"/>
        <w:rPr>
          <w:rFonts w:cs="Times New Roman"/>
          <w:szCs w:val="24"/>
        </w:rPr>
      </w:pPr>
      <w:r>
        <w:rPr>
          <w:rFonts w:cs="Times New Roman"/>
          <w:szCs w:val="24"/>
        </w:rPr>
        <w:t xml:space="preserve">Occupant interacting components in BPS tools are currently represented in terms of static schedules </w:t>
      </w:r>
      <w:r w:rsidRPr="007116D6">
        <w:rPr>
          <w:rFonts w:cs="Times New Roman"/>
          <w:szCs w:val="24"/>
        </w:rPr>
        <w:t>—</w:t>
      </w:r>
      <w:r>
        <w:rPr>
          <w:rFonts w:cs="Times New Roman"/>
          <w:szCs w:val="24"/>
        </w:rPr>
        <w:t xml:space="preserve"> meaning that these schedules do not change from design to design nor do they from individual to individual </w:t>
      </w:r>
      <w:r>
        <w:rPr>
          <w:rFonts w:cs="Times New Roman"/>
          <w:noProof/>
          <w:szCs w:val="24"/>
        </w:rPr>
        <w:t>(Hoes et al. 2009)</w:t>
      </w:r>
      <w:r>
        <w:rPr>
          <w:rFonts w:cs="Times New Roman"/>
          <w:szCs w:val="24"/>
        </w:rPr>
        <w:t xml:space="preserve">. For example, a BPS model with a poor fenestration design would input the identical lighting and blinds schedules as any other fenestration design </w:t>
      </w:r>
      <w:r>
        <w:rPr>
          <w:rFonts w:cs="Times New Roman"/>
          <w:noProof/>
          <w:szCs w:val="24"/>
        </w:rPr>
        <w:t>(Deru et al. 2011)</w:t>
      </w:r>
      <w:r>
        <w:rPr>
          <w:rFonts w:cs="Times New Roman"/>
          <w:szCs w:val="24"/>
        </w:rPr>
        <w:t xml:space="preserve">. This implies that occupants are passive recipients of the indoor climate. </w:t>
      </w:r>
    </w:p>
    <w:p w:rsidR="00BF25DE" w:rsidRDefault="00BF25DE" w:rsidP="00051A6E">
      <w:pPr>
        <w:spacing w:after="0" w:line="360" w:lineRule="auto"/>
        <w:jc w:val="both"/>
        <w:rPr>
          <w:rFonts w:cs="Times New Roman"/>
          <w:szCs w:val="24"/>
        </w:rPr>
      </w:pPr>
      <w:r>
        <w:rPr>
          <w:rFonts w:cs="Times New Roman"/>
          <w:szCs w:val="24"/>
        </w:rPr>
        <w:t xml:space="preserve">In reality, there should be a dynamic interaction between a building and its occupants. </w:t>
      </w:r>
      <w:r w:rsidRPr="00A45A41">
        <w:rPr>
          <w:rFonts w:cs="Times New Roman"/>
          <w:szCs w:val="24"/>
        </w:rPr>
        <w:t xml:space="preserve">The construct of </w:t>
      </w:r>
      <w:r w:rsidRPr="00073327">
        <w:rPr>
          <w:rFonts w:cs="Times New Roman"/>
          <w:szCs w:val="24"/>
        </w:rPr>
        <w:t>comfort</w:t>
      </w:r>
      <w:r w:rsidRPr="00A45A41">
        <w:rPr>
          <w:rFonts w:cs="Times New Roman"/>
          <w:szCs w:val="24"/>
        </w:rPr>
        <w:t xml:space="preserve"> affects the </w:t>
      </w:r>
      <w:r w:rsidRPr="00073327">
        <w:rPr>
          <w:rFonts w:cs="Times New Roman"/>
          <w:szCs w:val="24"/>
        </w:rPr>
        <w:t>occupants' behaviour</w:t>
      </w:r>
      <w:r>
        <w:rPr>
          <w:rFonts w:cs="Times New Roman"/>
          <w:szCs w:val="24"/>
        </w:rPr>
        <w:t>,</w:t>
      </w:r>
      <w:r w:rsidRPr="00A45A41">
        <w:rPr>
          <w:rFonts w:cs="Times New Roman"/>
          <w:szCs w:val="24"/>
        </w:rPr>
        <w:t xml:space="preserve"> and the occupants' behaviour affects the </w:t>
      </w:r>
      <w:r>
        <w:rPr>
          <w:rFonts w:cs="Times New Roman"/>
          <w:szCs w:val="24"/>
        </w:rPr>
        <w:t xml:space="preserve">performance of </w:t>
      </w:r>
      <w:r w:rsidRPr="00073327">
        <w:rPr>
          <w:rFonts w:cs="Times New Roman"/>
          <w:szCs w:val="24"/>
        </w:rPr>
        <w:t>buildings</w:t>
      </w:r>
      <w:r w:rsidRPr="00A45A41">
        <w:rPr>
          <w:rFonts w:cs="Times New Roman"/>
          <w:szCs w:val="24"/>
        </w:rPr>
        <w:t>.</w:t>
      </w:r>
      <w:r>
        <w:rPr>
          <w:rFonts w:cs="Times New Roman"/>
          <w:szCs w:val="24"/>
        </w:rPr>
        <w:t xml:space="preserve"> Occupants often can adapt their indoor climate by interacting with lights, blinds, windows, and thermostats or they can adapt to the indoor climate by changing their clothing assembly or the type of activity </w:t>
      </w:r>
      <w:r>
        <w:rPr>
          <w:rFonts w:cs="Times New Roman"/>
          <w:noProof/>
          <w:szCs w:val="24"/>
        </w:rPr>
        <w:t>(Haldi and Robinson 2008)</w:t>
      </w:r>
      <w:r>
        <w:rPr>
          <w:rFonts w:cs="Times New Roman"/>
          <w:szCs w:val="24"/>
        </w:rPr>
        <w:t>. In other words, different design and control alternatives studied in BPS models should result in unique schedules for lighting, blinds, window, thermostat, clothing and activity schedules. Because the static schedules fail to reflect these dynamic interactions between a building and its users, they do not necessarily promote better design alternatives.</w:t>
      </w:r>
    </w:p>
    <w:p w:rsidR="00BF25DE" w:rsidRDefault="00BF25DE" w:rsidP="00051A6E">
      <w:pPr>
        <w:pStyle w:val="Heading1"/>
        <w:numPr>
          <w:ilvl w:val="1"/>
          <w:numId w:val="1"/>
        </w:numPr>
        <w:spacing w:before="0" w:line="360" w:lineRule="auto"/>
        <w:rPr>
          <w:rFonts w:cs="Times New Roman"/>
          <w:sz w:val="24"/>
          <w:szCs w:val="24"/>
        </w:rPr>
      </w:pPr>
      <w:r w:rsidRPr="00073327">
        <w:rPr>
          <w:rFonts w:cs="Times New Roman"/>
          <w:sz w:val="24"/>
          <w:szCs w:val="24"/>
        </w:rPr>
        <w:t xml:space="preserve">Background </w:t>
      </w:r>
      <w:r>
        <w:rPr>
          <w:rFonts w:cs="Times New Roman"/>
          <w:sz w:val="24"/>
          <w:szCs w:val="24"/>
        </w:rPr>
        <w:t>on occupant behaviour and presence modelling</w:t>
      </w:r>
    </w:p>
    <w:p w:rsidR="00BF25DE" w:rsidRDefault="00BF25DE" w:rsidP="00051A6E">
      <w:pPr>
        <w:spacing w:after="0" w:line="360" w:lineRule="auto"/>
        <w:jc w:val="both"/>
        <w:rPr>
          <w:rFonts w:cs="Times New Roman"/>
          <w:szCs w:val="24"/>
        </w:rPr>
      </w:pPr>
      <w:r>
        <w:rPr>
          <w:rFonts w:cs="Times New Roman"/>
          <w:szCs w:val="24"/>
        </w:rPr>
        <w:t xml:space="preserve">Occupant models can mimic occupants' interactions with zone level building components (e.g., lights, blinds, windows) and with themselves (e.g., clothing insulation) </w:t>
      </w:r>
      <w:r w:rsidR="00051A6E">
        <w:rPr>
          <w:rFonts w:cs="Times New Roman"/>
          <w:noProof/>
          <w:szCs w:val="24"/>
        </w:rPr>
        <w:t>(Clarke</w:t>
      </w:r>
      <w:r>
        <w:rPr>
          <w:rFonts w:cs="Times New Roman"/>
          <w:noProof/>
          <w:szCs w:val="24"/>
        </w:rPr>
        <w:t xml:space="preserve"> et al. 2006)</w:t>
      </w:r>
      <w:r>
        <w:rPr>
          <w:rFonts w:cs="Times New Roman"/>
          <w:szCs w:val="24"/>
        </w:rPr>
        <w:t xml:space="preserve">. They have been typically developed upon long-term observational studies. </w:t>
      </w:r>
      <w:r>
        <w:t>These models are high-</w:t>
      </w:r>
      <w:r>
        <w:lastRenderedPageBreak/>
        <w:t>level simplified renditions of the cause and predicted effect of different environmental conditions rather than cognitive models.</w:t>
      </w:r>
      <w:r>
        <w:rPr>
          <w:rFonts w:cs="Times New Roman"/>
          <w:szCs w:val="24"/>
        </w:rPr>
        <w:t xml:space="preserve"> There are several broad categories of modelling and simulation methods that exist in the literature. </w:t>
      </w:r>
    </w:p>
    <w:p w:rsidR="00BF25DE" w:rsidRDefault="00BF25DE" w:rsidP="00051A6E">
      <w:pPr>
        <w:spacing w:after="0" w:line="360" w:lineRule="auto"/>
        <w:jc w:val="both"/>
        <w:rPr>
          <w:rFonts w:cs="Times New Roman"/>
          <w:szCs w:val="24"/>
        </w:rPr>
      </w:pPr>
      <w:r>
        <w:rPr>
          <w:rFonts w:cs="Times New Roman"/>
          <w:szCs w:val="24"/>
        </w:rPr>
        <w:t xml:space="preserve">The majority of the models have (or use) input explanatory variables to predict the likelihood of a state change. For example, </w:t>
      </w:r>
      <w:r>
        <w:rPr>
          <w:rFonts w:cs="Times New Roman"/>
          <w:noProof/>
          <w:szCs w:val="24"/>
        </w:rPr>
        <w:t>Reinhart (2004)</w:t>
      </w:r>
      <w:r>
        <w:rPr>
          <w:rFonts w:cs="Times New Roman"/>
          <w:szCs w:val="24"/>
        </w:rPr>
        <w:t xml:space="preserve">'s model predicts the likelihood of a light switch action and </w:t>
      </w:r>
      <w:r>
        <w:rPr>
          <w:rFonts w:cs="Times New Roman"/>
          <w:noProof/>
          <w:szCs w:val="24"/>
        </w:rPr>
        <w:t>Haldi and Robinson (2010)</w:t>
      </w:r>
      <w:r>
        <w:rPr>
          <w:rFonts w:cs="Times New Roman"/>
          <w:szCs w:val="24"/>
        </w:rPr>
        <w:t xml:space="preserve">'s model predicts the likelihood of a blinds opening or a blinds closing action. Because occupants in an office (as individuals or collective entities) are modelled as autonomous agents undertaking actions, these models are also known as agent-based models. </w:t>
      </w:r>
    </w:p>
    <w:p w:rsidR="00BF25DE" w:rsidRDefault="00BF25DE" w:rsidP="00051A6E">
      <w:pPr>
        <w:spacing w:after="0" w:line="360" w:lineRule="auto"/>
        <w:jc w:val="both"/>
        <w:rPr>
          <w:rFonts w:cs="Times New Roman"/>
          <w:szCs w:val="24"/>
        </w:rPr>
      </w:pPr>
      <w:r>
        <w:rPr>
          <w:rFonts w:cs="Times New Roman"/>
          <w:szCs w:val="24"/>
        </w:rPr>
        <w:t xml:space="preserve">In general, the agent-based occupant models have been derived from a </w:t>
      </w:r>
      <w:proofErr w:type="spellStart"/>
      <w:r>
        <w:rPr>
          <w:rFonts w:cs="Times New Roman"/>
          <w:szCs w:val="24"/>
        </w:rPr>
        <w:t>Markovian</w:t>
      </w:r>
      <w:proofErr w:type="spellEnd"/>
      <w:r>
        <w:rPr>
          <w:rFonts w:cs="Times New Roman"/>
          <w:szCs w:val="24"/>
        </w:rPr>
        <w:t xml:space="preserve"> perspective; meaning that the state-transition probability depends on the current state only </w:t>
      </w:r>
      <w:r w:rsidR="00051A6E">
        <w:rPr>
          <w:rFonts w:cs="Times New Roman"/>
          <w:noProof/>
          <w:szCs w:val="24"/>
        </w:rPr>
        <w:t>(Parys</w:t>
      </w:r>
      <w:r>
        <w:rPr>
          <w:rFonts w:cs="Times New Roman"/>
          <w:noProof/>
          <w:szCs w:val="24"/>
        </w:rPr>
        <w:t xml:space="preserve"> et al. 2011)</w:t>
      </w:r>
      <w:r>
        <w:rPr>
          <w:rFonts w:cs="Times New Roman"/>
          <w:szCs w:val="24"/>
        </w:rPr>
        <w:t xml:space="preserve">. When a </w:t>
      </w:r>
      <w:proofErr w:type="spellStart"/>
      <w:r>
        <w:rPr>
          <w:rFonts w:cs="Times New Roman"/>
          <w:szCs w:val="24"/>
        </w:rPr>
        <w:t>Markovian</w:t>
      </w:r>
      <w:proofErr w:type="spellEnd"/>
      <w:r>
        <w:rPr>
          <w:rFonts w:cs="Times New Roman"/>
          <w:szCs w:val="24"/>
        </w:rPr>
        <w:t xml:space="preserve"> occupant model is simulated as a discrete-time random process, it inputs the explanatory variables to provide the likelihood of a state-transition in the next time-step. For example, </w:t>
      </w:r>
      <w:r>
        <w:rPr>
          <w:rFonts w:cs="Times New Roman"/>
          <w:noProof/>
          <w:szCs w:val="24"/>
        </w:rPr>
        <w:t>Haldi and Robinson (2010)</w:t>
      </w:r>
      <w:r>
        <w:rPr>
          <w:rFonts w:cs="Times New Roman"/>
          <w:szCs w:val="24"/>
        </w:rPr>
        <w:t xml:space="preserve">'s blinds use model predicts the likelihood of an blinds closing action in the next five minutes by looking at the </w:t>
      </w:r>
      <w:proofErr w:type="spellStart"/>
      <w:r>
        <w:rPr>
          <w:rFonts w:cs="Times New Roman"/>
          <w:szCs w:val="24"/>
        </w:rPr>
        <w:t>workplane</w:t>
      </w:r>
      <w:proofErr w:type="spellEnd"/>
      <w:r>
        <w:rPr>
          <w:rFonts w:cs="Times New Roman"/>
          <w:szCs w:val="24"/>
        </w:rPr>
        <w:t xml:space="preserve"> </w:t>
      </w:r>
      <w:proofErr w:type="spellStart"/>
      <w:r>
        <w:rPr>
          <w:rFonts w:cs="Times New Roman"/>
          <w:szCs w:val="24"/>
        </w:rPr>
        <w:t>illuminance</w:t>
      </w:r>
      <w:proofErr w:type="spellEnd"/>
      <w:r>
        <w:rPr>
          <w:rFonts w:cs="Times New Roman"/>
          <w:szCs w:val="24"/>
        </w:rPr>
        <w:t xml:space="preserve"> and </w:t>
      </w:r>
      <w:proofErr w:type="spellStart"/>
      <w:r>
        <w:rPr>
          <w:rFonts w:cs="Times New Roman"/>
          <w:szCs w:val="24"/>
        </w:rPr>
        <w:t>unshaded</w:t>
      </w:r>
      <w:proofErr w:type="spellEnd"/>
      <w:r>
        <w:rPr>
          <w:rFonts w:cs="Times New Roman"/>
          <w:szCs w:val="24"/>
        </w:rPr>
        <w:t xml:space="preserve"> window fraction. Similarly, </w:t>
      </w:r>
      <w:r>
        <w:rPr>
          <w:rFonts w:cs="Times New Roman"/>
          <w:noProof/>
          <w:szCs w:val="24"/>
        </w:rPr>
        <w:t>Haldi and Robinson (2009)</w:t>
      </w:r>
      <w:r>
        <w:rPr>
          <w:rFonts w:cs="Times New Roman"/>
          <w:szCs w:val="24"/>
        </w:rPr>
        <w:t xml:space="preserve">'s window use model inputs the indoor and outdoor temperature to predict the likelihood of a window opening action in the next five minutes. However, limitations may arise due to the fact that this simulation approach requires a fixed and prescribed time-step </w:t>
      </w:r>
      <w:r w:rsidR="00051A6E">
        <w:rPr>
          <w:rFonts w:cs="Times New Roman"/>
          <w:noProof/>
          <w:szCs w:val="24"/>
        </w:rPr>
        <w:t>(Gunay</w:t>
      </w:r>
      <w:r>
        <w:rPr>
          <w:rFonts w:cs="Times New Roman"/>
          <w:noProof/>
          <w:szCs w:val="24"/>
        </w:rPr>
        <w:t xml:space="preserve"> et al. 2014)</w:t>
      </w:r>
      <w:r>
        <w:rPr>
          <w:rFonts w:cs="Times New Roman"/>
          <w:szCs w:val="24"/>
        </w:rPr>
        <w:t>.</w:t>
      </w:r>
      <w:r w:rsidRPr="00DD13AE">
        <w:rPr>
          <w:rFonts w:cs="Times New Roman"/>
          <w:szCs w:val="24"/>
        </w:rPr>
        <w:t xml:space="preserve"> </w:t>
      </w:r>
      <w:r>
        <w:rPr>
          <w:rFonts w:cs="Times New Roman"/>
          <w:szCs w:val="24"/>
        </w:rPr>
        <w:t>Because a time-step is prescribed for each model, the time-step cannot change between simulations. Consequently,</w:t>
      </w:r>
      <w:r w:rsidRPr="00681117">
        <w:rPr>
          <w:rFonts w:cs="Times New Roman"/>
          <w:szCs w:val="24"/>
        </w:rPr>
        <w:t xml:space="preserve"> </w:t>
      </w:r>
      <w:r w:rsidRPr="00DD13AE">
        <w:rPr>
          <w:rFonts w:cs="Times New Roman"/>
          <w:szCs w:val="24"/>
        </w:rPr>
        <w:t>occupant models can become incompatible with each other or with building and HVAC component models which require different temporal resolutions.</w:t>
      </w:r>
      <w:r>
        <w:rPr>
          <w:rFonts w:cs="Times New Roman"/>
          <w:szCs w:val="24"/>
        </w:rPr>
        <w:t xml:space="preserve"> </w:t>
      </w:r>
    </w:p>
    <w:p w:rsidR="00BF25DE" w:rsidRDefault="00BF25DE" w:rsidP="00051A6E">
      <w:pPr>
        <w:spacing w:after="0" w:line="360" w:lineRule="auto"/>
        <w:jc w:val="both"/>
        <w:rPr>
          <w:rFonts w:cs="Times New Roman"/>
          <w:szCs w:val="24"/>
        </w:rPr>
      </w:pPr>
      <w:r>
        <w:rPr>
          <w:rFonts w:cs="Times New Roman"/>
          <w:szCs w:val="24"/>
        </w:rPr>
        <w:t xml:space="preserve">When a </w:t>
      </w:r>
      <w:proofErr w:type="spellStart"/>
      <w:r>
        <w:rPr>
          <w:rFonts w:cs="Times New Roman"/>
          <w:szCs w:val="24"/>
        </w:rPr>
        <w:t>Markovian</w:t>
      </w:r>
      <w:proofErr w:type="spellEnd"/>
      <w:r>
        <w:rPr>
          <w:rFonts w:cs="Times New Roman"/>
          <w:szCs w:val="24"/>
        </w:rPr>
        <w:t xml:space="preserve"> occupant model is simulated as a discrete-event random process, it provides the likelihood of a state-transition in the next event-step. Often, the events were tied to an occupancy state change </w:t>
      </w:r>
      <w:r w:rsidR="00051A6E">
        <w:rPr>
          <w:rFonts w:cs="Times New Roman"/>
          <w:noProof/>
          <w:szCs w:val="24"/>
        </w:rPr>
        <w:t xml:space="preserve">(Newsham 1994; Rijal </w:t>
      </w:r>
      <w:r>
        <w:rPr>
          <w:rFonts w:cs="Times New Roman"/>
          <w:noProof/>
          <w:szCs w:val="24"/>
        </w:rPr>
        <w:t>et al. 2008; Haldi and Robinson 2011)</w:t>
      </w:r>
      <w:r>
        <w:rPr>
          <w:rFonts w:cs="Times New Roman"/>
          <w:szCs w:val="24"/>
        </w:rPr>
        <w:t xml:space="preserve">; i.e., time-step after arrival or time-step prior to departure. For example, </w:t>
      </w:r>
      <w:r>
        <w:rPr>
          <w:rFonts w:cs="Times New Roman"/>
          <w:noProof/>
          <w:szCs w:val="24"/>
        </w:rPr>
        <w:t>Reinhart (2004)</w:t>
      </w:r>
      <w:r>
        <w:rPr>
          <w:rFonts w:cs="Times New Roman"/>
          <w:szCs w:val="24"/>
        </w:rPr>
        <w:t xml:space="preserve">'s light switch model inputs </w:t>
      </w:r>
      <w:proofErr w:type="spellStart"/>
      <w:r>
        <w:rPr>
          <w:rFonts w:cs="Times New Roman"/>
          <w:szCs w:val="24"/>
        </w:rPr>
        <w:t>workplane</w:t>
      </w:r>
      <w:proofErr w:type="spellEnd"/>
      <w:r>
        <w:rPr>
          <w:rFonts w:cs="Times New Roman"/>
          <w:szCs w:val="24"/>
        </w:rPr>
        <w:t xml:space="preserve"> </w:t>
      </w:r>
      <w:proofErr w:type="spellStart"/>
      <w:r>
        <w:rPr>
          <w:rFonts w:cs="Times New Roman"/>
          <w:szCs w:val="24"/>
        </w:rPr>
        <w:t>illuminance</w:t>
      </w:r>
      <w:proofErr w:type="spellEnd"/>
      <w:r>
        <w:rPr>
          <w:rFonts w:cs="Times New Roman"/>
          <w:szCs w:val="24"/>
        </w:rPr>
        <w:t xml:space="preserve"> to predict the likelihood of a light switch action at arrival. Alternatively, the next event time can also be sampled from a survival function </w:t>
      </w:r>
      <w:r>
        <w:rPr>
          <w:rFonts w:cs="Times New Roman"/>
          <w:noProof/>
          <w:szCs w:val="24"/>
        </w:rPr>
        <w:t>(Haldi and Robinson 2011)</w:t>
      </w:r>
      <w:r>
        <w:rPr>
          <w:rFonts w:cs="Times New Roman"/>
          <w:szCs w:val="24"/>
        </w:rPr>
        <w:t xml:space="preserve">. For example, </w:t>
      </w:r>
      <w:r w:rsidR="00051A6E">
        <w:rPr>
          <w:rFonts w:cs="Times New Roman"/>
          <w:noProof/>
          <w:szCs w:val="24"/>
        </w:rPr>
        <w:t>Wang</w:t>
      </w:r>
      <w:r>
        <w:rPr>
          <w:rFonts w:cs="Times New Roman"/>
          <w:noProof/>
          <w:szCs w:val="24"/>
        </w:rPr>
        <w:t xml:space="preserve"> et al. (2005)</w:t>
      </w:r>
      <w:r>
        <w:rPr>
          <w:rFonts w:cs="Times New Roman"/>
          <w:szCs w:val="24"/>
        </w:rPr>
        <w:t xml:space="preserve"> computed the duration of an intermediate vacancy period (e.g., lunch break) from an exponential distribution. Similarly, </w:t>
      </w:r>
      <w:r>
        <w:rPr>
          <w:rFonts w:cs="Times New Roman"/>
          <w:noProof/>
          <w:szCs w:val="24"/>
        </w:rPr>
        <w:t xml:space="preserve">Haldi and </w:t>
      </w:r>
      <w:r>
        <w:rPr>
          <w:rFonts w:cs="Times New Roman"/>
          <w:noProof/>
          <w:szCs w:val="24"/>
        </w:rPr>
        <w:lastRenderedPageBreak/>
        <w:t>Robinson (2009)</w:t>
      </w:r>
      <w:r>
        <w:rPr>
          <w:rFonts w:cs="Times New Roman"/>
          <w:szCs w:val="24"/>
        </w:rPr>
        <w:t xml:space="preserve"> determined the duration that windows remain open based on a survival analysis. </w:t>
      </w:r>
    </w:p>
    <w:p w:rsidR="00BF25DE" w:rsidRDefault="00BF25DE" w:rsidP="00051A6E">
      <w:pPr>
        <w:spacing w:after="0" w:line="360" w:lineRule="auto"/>
        <w:jc w:val="both"/>
        <w:rPr>
          <w:rFonts w:cs="Times New Roman"/>
          <w:szCs w:val="24"/>
        </w:rPr>
      </w:pPr>
      <w:r>
        <w:rPr>
          <w:rFonts w:cs="Times New Roman"/>
          <w:szCs w:val="24"/>
        </w:rPr>
        <w:t xml:space="preserve">As an alternative for the agent-based models, in a few cases occupant behaviour was represented as Bernoulli random processes. These models predict the probability of finding a zone level building component at a certain position. For example, </w:t>
      </w:r>
      <w:r>
        <w:rPr>
          <w:rFonts w:cs="Times New Roman"/>
          <w:noProof/>
          <w:szCs w:val="24"/>
        </w:rPr>
        <w:t>Haldi and Robinson (2008)</w:t>
      </w:r>
      <w:r>
        <w:rPr>
          <w:rFonts w:cs="Times New Roman"/>
          <w:szCs w:val="24"/>
        </w:rPr>
        <w:t>'s model provide the probability of finding a window open by looking at the indoor temperature.</w:t>
      </w:r>
    </w:p>
    <w:p w:rsidR="00BF25DE" w:rsidRDefault="00BF25DE" w:rsidP="00051A6E">
      <w:pPr>
        <w:pStyle w:val="Heading1"/>
        <w:numPr>
          <w:ilvl w:val="1"/>
          <w:numId w:val="1"/>
        </w:numPr>
        <w:spacing w:before="0" w:line="360" w:lineRule="auto"/>
        <w:rPr>
          <w:rFonts w:cs="Times New Roman"/>
          <w:sz w:val="24"/>
          <w:szCs w:val="24"/>
        </w:rPr>
      </w:pPr>
      <w:r>
        <w:rPr>
          <w:rFonts w:cs="Times New Roman"/>
          <w:sz w:val="24"/>
          <w:szCs w:val="24"/>
        </w:rPr>
        <w:t>Motivation</w:t>
      </w:r>
    </w:p>
    <w:p w:rsidR="00BF25DE" w:rsidRDefault="00BF25DE" w:rsidP="00051A6E">
      <w:pPr>
        <w:spacing w:after="0" w:line="360" w:lineRule="auto"/>
        <w:jc w:val="both"/>
        <w:rPr>
          <w:rFonts w:cs="Times New Roman"/>
          <w:szCs w:val="24"/>
        </w:rPr>
      </w:pPr>
      <w:r w:rsidRPr="00050C53">
        <w:rPr>
          <w:rFonts w:cs="Times New Roman"/>
          <w:szCs w:val="24"/>
        </w:rPr>
        <w:t xml:space="preserve">If </w:t>
      </w:r>
      <w:r>
        <w:rPr>
          <w:rFonts w:cs="Times New Roman"/>
          <w:szCs w:val="24"/>
        </w:rPr>
        <w:t xml:space="preserve">we could confidently and easily employ </w:t>
      </w:r>
      <w:r w:rsidRPr="00050C53">
        <w:rPr>
          <w:rFonts w:cs="Times New Roman"/>
          <w:szCs w:val="24"/>
        </w:rPr>
        <w:t>existing occupant models in the BPS-based design</w:t>
      </w:r>
      <w:r>
        <w:rPr>
          <w:rFonts w:cs="Times New Roman"/>
          <w:szCs w:val="24"/>
        </w:rPr>
        <w:t xml:space="preserve"> process, they could address the aforementioned issues arising from simple static scheduled behaviours. However, i</w:t>
      </w:r>
      <w:r w:rsidRPr="007116D6">
        <w:rPr>
          <w:rFonts w:cs="Times New Roman"/>
          <w:szCs w:val="24"/>
        </w:rPr>
        <w:t xml:space="preserve">n </w:t>
      </w:r>
      <w:r>
        <w:rPr>
          <w:rFonts w:cs="Times New Roman"/>
          <w:szCs w:val="24"/>
        </w:rPr>
        <w:t xml:space="preserve">only a </w:t>
      </w:r>
      <w:r w:rsidRPr="007116D6">
        <w:rPr>
          <w:rFonts w:cs="Times New Roman"/>
          <w:szCs w:val="24"/>
        </w:rPr>
        <w:t>fe</w:t>
      </w:r>
      <w:r>
        <w:rPr>
          <w:rFonts w:cs="Times New Roman"/>
          <w:szCs w:val="24"/>
        </w:rPr>
        <w:t>w cases</w:t>
      </w:r>
      <w:r w:rsidRPr="007116D6">
        <w:rPr>
          <w:rFonts w:cs="Times New Roman"/>
          <w:szCs w:val="24"/>
        </w:rPr>
        <w:t xml:space="preserve"> these occupant models ha</w:t>
      </w:r>
      <w:r>
        <w:rPr>
          <w:rFonts w:cs="Times New Roman"/>
          <w:szCs w:val="24"/>
        </w:rPr>
        <w:t xml:space="preserve">ve been implemented in BPS tools. Occupant presence and behaviour models are seldom used for compliance with building standards and code (e.g., </w:t>
      </w:r>
      <w:r>
        <w:t>ASHRAE Standard 90.1-2013</w:t>
      </w:r>
      <w:r>
        <w:rPr>
          <w:rFonts w:cs="Times New Roman"/>
          <w:szCs w:val="24"/>
        </w:rPr>
        <w:t xml:space="preserve"> </w:t>
      </w:r>
      <w:r>
        <w:rPr>
          <w:rFonts w:cs="Times New Roman"/>
          <w:noProof/>
          <w:szCs w:val="24"/>
        </w:rPr>
        <w:t>(ASHRAE 2013)</w:t>
      </w:r>
      <w:r>
        <w:rPr>
          <w:rFonts w:cs="Times New Roman"/>
          <w:szCs w:val="24"/>
        </w:rPr>
        <w:t xml:space="preserve">). The literature points out two underlying reasons to explain the slow adoption of the occupant models by the BPS modellers. </w:t>
      </w:r>
    </w:p>
    <w:p w:rsidR="00BF25DE" w:rsidRDefault="00BF25DE" w:rsidP="00051A6E">
      <w:pPr>
        <w:spacing w:after="0" w:line="360" w:lineRule="auto"/>
        <w:jc w:val="both"/>
        <w:rPr>
          <w:rFonts w:cs="Times New Roman"/>
          <w:szCs w:val="24"/>
        </w:rPr>
      </w:pPr>
      <w:r>
        <w:rPr>
          <w:rFonts w:cs="Times New Roman"/>
          <w:szCs w:val="24"/>
        </w:rPr>
        <w:t>(1) Questions about the accuracy and transferability of the occupant models:</w:t>
      </w:r>
    </w:p>
    <w:p w:rsidR="00BF25DE" w:rsidRDefault="00BF25DE" w:rsidP="00051A6E">
      <w:pPr>
        <w:spacing w:after="0" w:line="360" w:lineRule="auto"/>
        <w:jc w:val="both"/>
        <w:rPr>
          <w:rFonts w:cs="Times New Roman"/>
          <w:szCs w:val="24"/>
        </w:rPr>
      </w:pPr>
      <w:r>
        <w:rPr>
          <w:rFonts w:cs="Times New Roman"/>
          <w:szCs w:val="24"/>
        </w:rPr>
        <w:t>A</w:t>
      </w:r>
      <w:r w:rsidRPr="007116D6">
        <w:rPr>
          <w:rFonts w:cs="Times New Roman"/>
          <w:szCs w:val="24"/>
        </w:rPr>
        <w:t xml:space="preserve"> recent review paper </w:t>
      </w:r>
      <w:r>
        <w:rPr>
          <w:rFonts w:cs="Times New Roman"/>
          <w:noProof/>
          <w:szCs w:val="24"/>
        </w:rPr>
        <w:t>(O'Brien and Gunay 2014)</w:t>
      </w:r>
      <w:r w:rsidRPr="007116D6">
        <w:rPr>
          <w:rFonts w:cs="Times New Roman"/>
          <w:szCs w:val="24"/>
        </w:rPr>
        <w:t xml:space="preserve"> pointed out that the existing </w:t>
      </w:r>
      <w:r>
        <w:rPr>
          <w:rFonts w:cs="Times New Roman"/>
          <w:szCs w:val="24"/>
        </w:rPr>
        <w:t>modelling</w:t>
      </w:r>
      <w:r w:rsidRPr="007116D6">
        <w:rPr>
          <w:rFonts w:cs="Times New Roman"/>
          <w:szCs w:val="24"/>
        </w:rPr>
        <w:t xml:space="preserve"> methodologies are vastly fragmented such that their validity </w:t>
      </w:r>
      <w:r>
        <w:rPr>
          <w:rFonts w:cs="Times New Roman"/>
          <w:szCs w:val="24"/>
        </w:rPr>
        <w:t>is uncertain depending on</w:t>
      </w:r>
      <w:r w:rsidRPr="007116D6">
        <w:rPr>
          <w:rFonts w:cs="Times New Roman"/>
          <w:szCs w:val="24"/>
        </w:rPr>
        <w:t xml:space="preserve"> a </w:t>
      </w:r>
      <w:r>
        <w:rPr>
          <w:rFonts w:cs="Times New Roman"/>
          <w:szCs w:val="24"/>
        </w:rPr>
        <w:t xml:space="preserve">significant </w:t>
      </w:r>
      <w:r w:rsidRPr="007116D6">
        <w:rPr>
          <w:rFonts w:cs="Times New Roman"/>
          <w:szCs w:val="24"/>
        </w:rPr>
        <w:t xml:space="preserve">number of </w:t>
      </w:r>
      <w:r>
        <w:rPr>
          <w:rFonts w:cs="Times New Roman"/>
          <w:szCs w:val="24"/>
        </w:rPr>
        <w:t>contextual factors (e.g.,</w:t>
      </w:r>
      <w:r w:rsidRPr="007116D6">
        <w:rPr>
          <w:rFonts w:cs="Times New Roman"/>
          <w:szCs w:val="24"/>
        </w:rPr>
        <w:t xml:space="preserve"> differences in the use of shading devices and electrical lighting between shared and private office spaces</w:t>
      </w:r>
      <w:r>
        <w:rPr>
          <w:rFonts w:cs="Times New Roman"/>
          <w:szCs w:val="24"/>
        </w:rPr>
        <w:t xml:space="preserve"> </w:t>
      </w:r>
      <w:r>
        <w:rPr>
          <w:rFonts w:cs="Times New Roman"/>
          <w:noProof/>
          <w:szCs w:val="24"/>
        </w:rPr>
        <w:t>(Newsham 1997; Reinhart and Voss 2003; Haldi and Robinson 2010)</w:t>
      </w:r>
      <w:r>
        <w:rPr>
          <w:rFonts w:cs="Times New Roman"/>
          <w:szCs w:val="24"/>
        </w:rPr>
        <w:t xml:space="preserve"> or the ease of using the control interfaces (e.g., motorized vs. manual blinds </w:t>
      </w:r>
      <w:r w:rsidR="00051A6E">
        <w:rPr>
          <w:rFonts w:cs="Times New Roman"/>
          <w:noProof/>
          <w:szCs w:val="24"/>
        </w:rPr>
        <w:t>(Sutter</w:t>
      </w:r>
      <w:r>
        <w:rPr>
          <w:rFonts w:cs="Times New Roman"/>
          <w:noProof/>
          <w:szCs w:val="24"/>
        </w:rPr>
        <w:t xml:space="preserve"> et al. 2006)</w:t>
      </w:r>
      <w:r>
        <w:rPr>
          <w:rFonts w:cs="Times New Roman"/>
          <w:szCs w:val="24"/>
        </w:rPr>
        <w:t xml:space="preserve">)). </w:t>
      </w:r>
      <w:r w:rsidRPr="007116D6">
        <w:rPr>
          <w:rFonts w:cs="Times New Roman"/>
          <w:szCs w:val="24"/>
        </w:rPr>
        <w:t xml:space="preserve">However, perhaps due to the limited size of observed populations, these contextual factors have not been </w:t>
      </w:r>
      <w:r>
        <w:rPr>
          <w:rFonts w:cs="Times New Roman"/>
          <w:szCs w:val="24"/>
        </w:rPr>
        <w:t>documented or acknowledged</w:t>
      </w:r>
      <w:r w:rsidRPr="007116D6">
        <w:rPr>
          <w:rFonts w:cs="Times New Roman"/>
          <w:szCs w:val="24"/>
        </w:rPr>
        <w:t xml:space="preserve"> in </w:t>
      </w:r>
      <w:r>
        <w:rPr>
          <w:rFonts w:cs="Times New Roman"/>
          <w:szCs w:val="24"/>
        </w:rPr>
        <w:t>many</w:t>
      </w:r>
      <w:r w:rsidRPr="007116D6">
        <w:rPr>
          <w:rFonts w:cs="Times New Roman"/>
          <w:szCs w:val="24"/>
        </w:rPr>
        <w:t xml:space="preserve"> existing occupant models. As a consequence, the transferability </w:t>
      </w:r>
      <w:r>
        <w:rPr>
          <w:rFonts w:cs="Times New Roman"/>
          <w:szCs w:val="24"/>
        </w:rPr>
        <w:t xml:space="preserve">of </w:t>
      </w:r>
      <w:r w:rsidRPr="007116D6">
        <w:rPr>
          <w:rFonts w:cs="Times New Roman"/>
          <w:szCs w:val="24"/>
        </w:rPr>
        <w:t>occupant model</w:t>
      </w:r>
      <w:r>
        <w:rPr>
          <w:rFonts w:cs="Times New Roman"/>
          <w:szCs w:val="24"/>
        </w:rPr>
        <w:t>s</w:t>
      </w:r>
      <w:r w:rsidRPr="007116D6">
        <w:rPr>
          <w:rFonts w:cs="Times New Roman"/>
          <w:szCs w:val="24"/>
        </w:rPr>
        <w:t xml:space="preserve"> in other buildings have been questioned </w:t>
      </w:r>
      <w:r>
        <w:rPr>
          <w:rFonts w:cs="Times New Roman"/>
          <w:noProof/>
          <w:szCs w:val="24"/>
        </w:rPr>
        <w:t>(O'Brien and Gunay 2014)</w:t>
      </w:r>
      <w:r w:rsidRPr="007116D6">
        <w:rPr>
          <w:rFonts w:cs="Times New Roman"/>
          <w:szCs w:val="24"/>
        </w:rPr>
        <w:t>.</w:t>
      </w:r>
    </w:p>
    <w:p w:rsidR="00BF25DE" w:rsidRDefault="00BF25DE" w:rsidP="00051A6E">
      <w:pPr>
        <w:spacing w:after="0" w:line="360" w:lineRule="auto"/>
        <w:jc w:val="both"/>
        <w:rPr>
          <w:rFonts w:cs="Times New Roman"/>
          <w:szCs w:val="24"/>
        </w:rPr>
      </w:pPr>
      <w:r>
        <w:rPr>
          <w:rFonts w:cs="Times New Roman"/>
          <w:szCs w:val="24"/>
        </w:rPr>
        <w:t xml:space="preserve">(2) </w:t>
      </w:r>
      <w:r w:rsidRPr="00096BFA">
        <w:rPr>
          <w:rFonts w:cs="Times New Roman"/>
          <w:szCs w:val="24"/>
        </w:rPr>
        <w:t xml:space="preserve">Models are not accessible in </w:t>
      </w:r>
      <w:r>
        <w:rPr>
          <w:rFonts w:cs="Times New Roman"/>
          <w:szCs w:val="24"/>
        </w:rPr>
        <w:t xml:space="preserve">BPS </w:t>
      </w:r>
      <w:r w:rsidRPr="00096BFA">
        <w:rPr>
          <w:rFonts w:cs="Times New Roman"/>
          <w:szCs w:val="24"/>
        </w:rPr>
        <w:t>tools used for design and compliance checking</w:t>
      </w:r>
      <w:r>
        <w:rPr>
          <w:rFonts w:cs="Times New Roman"/>
          <w:szCs w:val="24"/>
        </w:rPr>
        <w:t>:</w:t>
      </w:r>
    </w:p>
    <w:p w:rsidR="00BF25DE" w:rsidRDefault="00BF25DE" w:rsidP="00051A6E">
      <w:pPr>
        <w:spacing w:after="0" w:line="360" w:lineRule="auto"/>
        <w:jc w:val="both"/>
        <w:rPr>
          <w:rFonts w:cs="Times New Roman"/>
          <w:szCs w:val="24"/>
        </w:rPr>
      </w:pPr>
      <w:r>
        <w:rPr>
          <w:rFonts w:cs="Times New Roman"/>
          <w:szCs w:val="24"/>
        </w:rPr>
        <w:t xml:space="preserve">Many of the occupant models in widely used BPS tools (e.g., </w:t>
      </w:r>
      <w:proofErr w:type="spellStart"/>
      <w:r>
        <w:rPr>
          <w:rFonts w:cs="Times New Roman"/>
          <w:szCs w:val="24"/>
        </w:rPr>
        <w:t>EnergyPlus</w:t>
      </w:r>
      <w:proofErr w:type="spellEnd"/>
      <w:r>
        <w:rPr>
          <w:rFonts w:cs="Times New Roman"/>
          <w:szCs w:val="24"/>
        </w:rPr>
        <w:t xml:space="preserve">, ESP-r, and </w:t>
      </w:r>
      <w:r w:rsidRPr="00096BFA">
        <w:rPr>
          <w:rFonts w:cs="Times New Roman"/>
          <w:szCs w:val="24"/>
        </w:rPr>
        <w:t>TRNSYS</w:t>
      </w:r>
      <w:r>
        <w:rPr>
          <w:rFonts w:cs="Times New Roman"/>
          <w:szCs w:val="24"/>
        </w:rPr>
        <w:t xml:space="preserve">) are not available. Furthermore, the simulation platforms that permit the incorporation of custom component models (e.g., occupant models) in BPS tools are not mature enough to provide a standardized and user-friendly interface for the rapid implementation. For example, there is no debugging environment in the EMS application of </w:t>
      </w:r>
      <w:proofErr w:type="spellStart"/>
      <w:r>
        <w:rPr>
          <w:rFonts w:cs="Times New Roman"/>
          <w:szCs w:val="24"/>
        </w:rPr>
        <w:t>EnergyPlus</w:t>
      </w:r>
      <w:proofErr w:type="spellEnd"/>
      <w:r>
        <w:rPr>
          <w:rFonts w:cs="Times New Roman"/>
          <w:szCs w:val="24"/>
        </w:rPr>
        <w:t xml:space="preserve"> </w:t>
      </w:r>
      <w:r>
        <w:rPr>
          <w:rFonts w:cs="Times New Roman"/>
          <w:noProof/>
          <w:szCs w:val="24"/>
        </w:rPr>
        <w:t>(LBNL 2013)</w:t>
      </w:r>
      <w:r>
        <w:rPr>
          <w:rFonts w:cs="Times New Roman"/>
          <w:szCs w:val="24"/>
        </w:rPr>
        <w:t xml:space="preserve">. The modellers need to go through a rudimentary trial and error procedure to identify even minor issues in their </w:t>
      </w:r>
      <w:r>
        <w:rPr>
          <w:rFonts w:cs="Times New Roman"/>
          <w:szCs w:val="24"/>
        </w:rPr>
        <w:lastRenderedPageBreak/>
        <w:t xml:space="preserve">programs. Should the user wish to implement the occupant models in some other programming environment (e.g., </w:t>
      </w:r>
      <w:proofErr w:type="spellStart"/>
      <w:r>
        <w:rPr>
          <w:rFonts w:cs="Times New Roman"/>
          <w:szCs w:val="24"/>
        </w:rPr>
        <w:t>Matlab</w:t>
      </w:r>
      <w:proofErr w:type="spellEnd"/>
      <w:r>
        <w:rPr>
          <w:rFonts w:cs="Times New Roman"/>
          <w:szCs w:val="24"/>
        </w:rPr>
        <w:t xml:space="preserve">), s/he would need to use a co-simulator such as MLE+ </w:t>
      </w:r>
      <w:r>
        <w:rPr>
          <w:rFonts w:cs="Times New Roman"/>
          <w:noProof/>
          <w:szCs w:val="24"/>
        </w:rPr>
        <w:t>(Nghiem 2010)</w:t>
      </w:r>
      <w:r>
        <w:rPr>
          <w:rFonts w:cs="Times New Roman"/>
          <w:szCs w:val="24"/>
        </w:rPr>
        <w:t xml:space="preserve"> or </w:t>
      </w:r>
      <w:r w:rsidRPr="007116D6">
        <w:rPr>
          <w:rFonts w:cs="Times New Roman"/>
          <w:szCs w:val="24"/>
        </w:rPr>
        <w:t xml:space="preserve">Building Controls Virtual Test Bed </w:t>
      </w:r>
      <w:r>
        <w:rPr>
          <w:rFonts w:cs="Times New Roman"/>
          <w:noProof/>
          <w:szCs w:val="24"/>
        </w:rPr>
        <w:t>(Wetter 2008)</w:t>
      </w:r>
      <w:r w:rsidRPr="00C56186">
        <w:t xml:space="preserve"> </w:t>
      </w:r>
      <w:r w:rsidRPr="00C56186">
        <w:rPr>
          <w:rFonts w:cs="Times New Roman"/>
          <w:szCs w:val="24"/>
        </w:rPr>
        <w:t>—</w:t>
      </w:r>
      <w:r>
        <w:rPr>
          <w:rFonts w:cs="Times New Roman"/>
          <w:szCs w:val="24"/>
        </w:rPr>
        <w:t xml:space="preserve"> at the very least this implies tackling issues arising due to version compatibilities with the BPS tool. Alternatively, the BPS users could incorporate the occupant models through source-code alterations in the BPS tools. </w:t>
      </w:r>
    </w:p>
    <w:p w:rsidR="00BF25DE" w:rsidRDefault="00BF25DE" w:rsidP="00051A6E">
      <w:pPr>
        <w:spacing w:after="0" w:line="360" w:lineRule="auto"/>
        <w:jc w:val="both"/>
        <w:rPr>
          <w:rFonts w:cs="Times New Roman"/>
          <w:szCs w:val="24"/>
        </w:rPr>
      </w:pPr>
      <w:r w:rsidRPr="00A52100">
        <w:rPr>
          <w:rFonts w:cs="Times New Roman"/>
          <w:szCs w:val="24"/>
        </w:rPr>
        <w:t xml:space="preserve">The contribution of this paper is </w:t>
      </w:r>
      <w:r>
        <w:rPr>
          <w:rFonts w:cs="Times New Roman"/>
          <w:szCs w:val="24"/>
        </w:rPr>
        <w:t>to</w:t>
      </w:r>
      <w:r w:rsidRPr="00A52100">
        <w:rPr>
          <w:rFonts w:cs="Times New Roman"/>
          <w:szCs w:val="24"/>
        </w:rPr>
        <w:t xml:space="preserve"> implement </w:t>
      </w:r>
      <w:r>
        <w:rPr>
          <w:rFonts w:cs="Times New Roman"/>
          <w:szCs w:val="24"/>
        </w:rPr>
        <w:t xml:space="preserve">and compare </w:t>
      </w:r>
      <w:r w:rsidRPr="00A52100">
        <w:rPr>
          <w:rFonts w:cs="Times New Roman"/>
          <w:szCs w:val="24"/>
        </w:rPr>
        <w:t>existing occupan</w:t>
      </w:r>
      <w:r>
        <w:rPr>
          <w:rFonts w:cs="Times New Roman"/>
          <w:szCs w:val="24"/>
        </w:rPr>
        <w:t>t</w:t>
      </w:r>
      <w:r w:rsidRPr="00A52100">
        <w:rPr>
          <w:rFonts w:cs="Times New Roman"/>
          <w:szCs w:val="24"/>
        </w:rPr>
        <w:t xml:space="preserve"> models</w:t>
      </w:r>
      <w:r>
        <w:rPr>
          <w:rFonts w:cs="Times New Roman"/>
          <w:szCs w:val="24"/>
        </w:rPr>
        <w:t xml:space="preserve"> using a generic shoebox model in </w:t>
      </w:r>
      <w:proofErr w:type="spellStart"/>
      <w:r>
        <w:rPr>
          <w:rFonts w:cs="Times New Roman"/>
          <w:szCs w:val="24"/>
        </w:rPr>
        <w:t>EnergyPlus</w:t>
      </w:r>
      <w:proofErr w:type="spellEnd"/>
      <w:r w:rsidRPr="00A52100">
        <w:rPr>
          <w:rFonts w:cs="Times New Roman"/>
          <w:szCs w:val="24"/>
        </w:rPr>
        <w:t xml:space="preserve">. </w:t>
      </w:r>
      <w:r>
        <w:rPr>
          <w:rFonts w:cs="Times New Roman"/>
          <w:szCs w:val="24"/>
        </w:rPr>
        <w:t>A</w:t>
      </w:r>
      <w:r w:rsidRPr="007116D6">
        <w:rPr>
          <w:rFonts w:cs="Times New Roman"/>
          <w:szCs w:val="24"/>
        </w:rPr>
        <w:t xml:space="preserve"> number of </w:t>
      </w:r>
      <w:r>
        <w:rPr>
          <w:rFonts w:cs="Times New Roman"/>
          <w:szCs w:val="24"/>
        </w:rPr>
        <w:t xml:space="preserve">models predicting occupants' presence and behaviours in offices </w:t>
      </w:r>
      <w:r w:rsidRPr="007116D6">
        <w:rPr>
          <w:rFonts w:cs="Times New Roman"/>
          <w:szCs w:val="24"/>
        </w:rPr>
        <w:t xml:space="preserve">were selected </w:t>
      </w:r>
      <w:r>
        <w:rPr>
          <w:rFonts w:cs="Times New Roman"/>
          <w:szCs w:val="24"/>
        </w:rPr>
        <w:t xml:space="preserve">from several review articles </w:t>
      </w:r>
      <w:r w:rsidR="00051A6E">
        <w:rPr>
          <w:rFonts w:cs="Times New Roman"/>
          <w:noProof/>
          <w:szCs w:val="24"/>
        </w:rPr>
        <w:t>(Parys et al. 2011; Fabi et al. 2012; Gunay</w:t>
      </w:r>
      <w:r>
        <w:rPr>
          <w:rFonts w:cs="Times New Roman"/>
          <w:noProof/>
          <w:szCs w:val="24"/>
        </w:rPr>
        <w:t xml:space="preserve"> et al. 2013)</w:t>
      </w:r>
      <w:r w:rsidRPr="007116D6">
        <w:rPr>
          <w:rFonts w:cs="Times New Roman"/>
          <w:szCs w:val="24"/>
        </w:rPr>
        <w:t xml:space="preserve">. </w:t>
      </w:r>
      <w:r>
        <w:rPr>
          <w:rFonts w:cs="Times New Roman"/>
          <w:szCs w:val="24"/>
        </w:rPr>
        <w:t>S</w:t>
      </w:r>
      <w:r w:rsidRPr="007116D6">
        <w:rPr>
          <w:rFonts w:cs="Times New Roman"/>
          <w:szCs w:val="24"/>
        </w:rPr>
        <w:t xml:space="preserve">elected models were </w:t>
      </w:r>
      <w:r>
        <w:rPr>
          <w:rFonts w:cs="Times New Roman"/>
          <w:szCs w:val="24"/>
        </w:rPr>
        <w:t xml:space="preserve">then </w:t>
      </w:r>
      <w:r w:rsidRPr="007116D6">
        <w:rPr>
          <w:rFonts w:cs="Times New Roman"/>
          <w:szCs w:val="24"/>
        </w:rPr>
        <w:t>transformed into a common simulation framework</w:t>
      </w:r>
      <w:r>
        <w:rPr>
          <w:rFonts w:cs="Times New Roman"/>
          <w:szCs w:val="24"/>
        </w:rPr>
        <w:t xml:space="preserve"> and t</w:t>
      </w:r>
      <w:r w:rsidRPr="007116D6">
        <w:rPr>
          <w:rFonts w:cs="Times New Roman"/>
          <w:szCs w:val="24"/>
        </w:rPr>
        <w:t xml:space="preserve">hey were implemented in the </w:t>
      </w:r>
      <w:r>
        <w:rPr>
          <w:rFonts w:cs="Times New Roman"/>
          <w:szCs w:val="24"/>
        </w:rPr>
        <w:t xml:space="preserve">EMS </w:t>
      </w:r>
      <w:r w:rsidRPr="007116D6">
        <w:rPr>
          <w:rFonts w:cs="Times New Roman"/>
          <w:szCs w:val="24"/>
        </w:rPr>
        <w:t xml:space="preserve">application of the BPS tool </w:t>
      </w:r>
      <w:proofErr w:type="spellStart"/>
      <w:r w:rsidRPr="007116D6">
        <w:rPr>
          <w:rFonts w:cs="Times New Roman"/>
          <w:szCs w:val="24"/>
        </w:rPr>
        <w:t>EnergyPlus</w:t>
      </w:r>
      <w:proofErr w:type="spellEnd"/>
      <w:r w:rsidRPr="007116D6">
        <w:rPr>
          <w:rFonts w:cs="Times New Roman"/>
          <w:szCs w:val="24"/>
        </w:rPr>
        <w:t xml:space="preserve">. </w:t>
      </w:r>
      <w:r>
        <w:rPr>
          <w:rFonts w:cs="Times New Roman"/>
          <w:szCs w:val="24"/>
        </w:rPr>
        <w:t xml:space="preserve">We chose the EMS application because it was easier to implement than changing the </w:t>
      </w:r>
      <w:proofErr w:type="spellStart"/>
      <w:r>
        <w:rPr>
          <w:rFonts w:cs="Times New Roman"/>
          <w:szCs w:val="24"/>
        </w:rPr>
        <w:t>EnergyPlus</w:t>
      </w:r>
      <w:proofErr w:type="spellEnd"/>
      <w:r>
        <w:rPr>
          <w:rFonts w:cs="Times New Roman"/>
          <w:szCs w:val="24"/>
        </w:rPr>
        <w:t xml:space="preserve"> source-code, the code structure was transparent to the users, and the model library could be easily expanded or modified by the users. We undertook the code validation procedures described in </w:t>
      </w:r>
      <w:r>
        <w:rPr>
          <w:rFonts w:cs="Times New Roman"/>
          <w:noProof/>
          <w:szCs w:val="24"/>
        </w:rPr>
        <w:t>ASHRAE Standard 140 (2011)</w:t>
      </w:r>
      <w:r>
        <w:rPr>
          <w:rFonts w:cs="Times New Roman"/>
          <w:szCs w:val="24"/>
        </w:rPr>
        <w:t xml:space="preserve">: (1) </w:t>
      </w:r>
      <w:r w:rsidRPr="001C3CC6">
        <w:rPr>
          <w:rFonts w:cs="Times New Roman"/>
          <w:szCs w:val="24"/>
        </w:rPr>
        <w:t>by checking the models against a previous version of themselves after making changes in a subroutine to ensure that only inten</w:t>
      </w:r>
      <w:r>
        <w:rPr>
          <w:rFonts w:cs="Times New Roman"/>
          <w:szCs w:val="24"/>
        </w:rPr>
        <w:t xml:space="preserve">ded changes actually resulted; </w:t>
      </w:r>
      <w:r w:rsidRPr="001C3CC6">
        <w:rPr>
          <w:rFonts w:cs="Times New Roman"/>
          <w:szCs w:val="24"/>
        </w:rPr>
        <w:t xml:space="preserve">(2) by checking the models against themselves after a single algorithmic change to reveal the </w:t>
      </w:r>
      <w:r>
        <w:rPr>
          <w:rFonts w:cs="Times New Roman"/>
          <w:szCs w:val="24"/>
        </w:rPr>
        <w:t xml:space="preserve">sensitivity between runs; </w:t>
      </w:r>
      <w:r w:rsidRPr="001C3CC6">
        <w:rPr>
          <w:rFonts w:cs="Times New Roman"/>
          <w:szCs w:val="24"/>
        </w:rPr>
        <w:t>(3) by diagnosing the algorithmic sources of prediction differences and by leaving internal dummy variables inside each if-then-else statement to analyze their response during the simulation.</w:t>
      </w:r>
      <w:r>
        <w:rPr>
          <w:rFonts w:cs="Times New Roman"/>
          <w:szCs w:val="24"/>
        </w:rPr>
        <w:t xml:space="preserve"> Selected models include light switch models </w:t>
      </w:r>
      <w:r>
        <w:rPr>
          <w:rFonts w:cs="Times New Roman"/>
          <w:noProof/>
          <w:szCs w:val="24"/>
        </w:rPr>
        <w:t>(Hunt 19</w:t>
      </w:r>
      <w:r w:rsidR="00051A6E">
        <w:rPr>
          <w:rFonts w:cs="Times New Roman"/>
          <w:noProof/>
          <w:szCs w:val="24"/>
        </w:rPr>
        <w:t>79; Reinhart 2004; Boyce</w:t>
      </w:r>
      <w:r>
        <w:rPr>
          <w:rFonts w:cs="Times New Roman"/>
          <w:noProof/>
          <w:szCs w:val="24"/>
        </w:rPr>
        <w:t xml:space="preserve"> et al. 2006)</w:t>
      </w:r>
      <w:r>
        <w:rPr>
          <w:rFonts w:cs="Times New Roman"/>
          <w:szCs w:val="24"/>
        </w:rPr>
        <w:t>, window use models</w:t>
      </w:r>
      <w:r w:rsidRPr="007116D6">
        <w:rPr>
          <w:rFonts w:cs="Times New Roman"/>
          <w:szCs w:val="24"/>
        </w:rPr>
        <w:t xml:space="preserve"> </w:t>
      </w:r>
      <w:r>
        <w:rPr>
          <w:rFonts w:cs="Times New Roman"/>
          <w:noProof/>
          <w:szCs w:val="24"/>
        </w:rPr>
        <w:t>(Haldi</w:t>
      </w:r>
      <w:r w:rsidR="00051A6E">
        <w:rPr>
          <w:rFonts w:cs="Times New Roman"/>
          <w:noProof/>
          <w:szCs w:val="24"/>
        </w:rPr>
        <w:t xml:space="preserve"> and Robinson 2008; Rijal</w:t>
      </w:r>
      <w:r>
        <w:rPr>
          <w:rFonts w:cs="Times New Roman"/>
          <w:noProof/>
          <w:szCs w:val="24"/>
        </w:rPr>
        <w:t xml:space="preserve"> et al. 2008; Yun and Steemers 2008; Haldi and Robinson 2009)</w:t>
      </w:r>
      <w:r>
        <w:rPr>
          <w:rFonts w:cs="Times New Roman"/>
          <w:szCs w:val="24"/>
        </w:rPr>
        <w:t>, window blind use models</w:t>
      </w:r>
      <w:r w:rsidRPr="007116D6">
        <w:rPr>
          <w:rFonts w:cs="Times New Roman"/>
          <w:szCs w:val="24"/>
        </w:rPr>
        <w:t xml:space="preserve"> </w:t>
      </w:r>
      <w:r>
        <w:rPr>
          <w:rFonts w:cs="Times New Roman"/>
          <w:noProof/>
          <w:szCs w:val="24"/>
        </w:rPr>
        <w:t>(Newsham 1994; Reinhart 2004; Haldi and Robinson 2010)</w:t>
      </w:r>
      <w:r w:rsidRPr="007116D6">
        <w:rPr>
          <w:rFonts w:cs="Times New Roman"/>
          <w:szCs w:val="24"/>
        </w:rPr>
        <w:t xml:space="preserve">, </w:t>
      </w:r>
      <w:r>
        <w:rPr>
          <w:rFonts w:cs="Times New Roman"/>
          <w:szCs w:val="24"/>
        </w:rPr>
        <w:t>a clothing insulation level model</w:t>
      </w:r>
      <w:r w:rsidRPr="007116D6">
        <w:rPr>
          <w:rFonts w:cs="Times New Roman"/>
          <w:szCs w:val="24"/>
        </w:rPr>
        <w:t xml:space="preserve"> </w:t>
      </w:r>
      <w:r>
        <w:rPr>
          <w:rFonts w:cs="Times New Roman"/>
          <w:noProof/>
          <w:szCs w:val="24"/>
        </w:rPr>
        <w:t>(Schiavon and Lee 2013)</w:t>
      </w:r>
      <w:r w:rsidRPr="007116D6">
        <w:rPr>
          <w:rFonts w:cs="Times New Roman"/>
          <w:szCs w:val="24"/>
        </w:rPr>
        <w:t xml:space="preserve"> and </w:t>
      </w:r>
      <w:r>
        <w:rPr>
          <w:rFonts w:cs="Times New Roman"/>
          <w:szCs w:val="24"/>
        </w:rPr>
        <w:t>occupant presence models</w:t>
      </w:r>
      <w:r w:rsidRPr="007116D6">
        <w:rPr>
          <w:rFonts w:cs="Times New Roman"/>
          <w:szCs w:val="24"/>
        </w:rPr>
        <w:t xml:space="preserve"> </w:t>
      </w:r>
      <w:r w:rsidR="00051A6E">
        <w:rPr>
          <w:rFonts w:cs="Times New Roman"/>
          <w:noProof/>
          <w:szCs w:val="24"/>
        </w:rPr>
        <w:t xml:space="preserve">(Reinhart 2004; Wang et al. 2005; Page </w:t>
      </w:r>
      <w:r>
        <w:rPr>
          <w:rFonts w:cs="Times New Roman"/>
          <w:noProof/>
          <w:szCs w:val="24"/>
        </w:rPr>
        <w:t>et al. 2008)</w:t>
      </w:r>
      <w:r w:rsidRPr="007116D6">
        <w:rPr>
          <w:rFonts w:cs="Times New Roman"/>
          <w:szCs w:val="24"/>
        </w:rPr>
        <w:t xml:space="preserve">. The EMS scripts (in </w:t>
      </w:r>
      <w:r>
        <w:rPr>
          <w:rFonts w:cs="Times New Roman"/>
          <w:szCs w:val="24"/>
        </w:rPr>
        <w:t xml:space="preserve">the </w:t>
      </w:r>
      <w:proofErr w:type="spellStart"/>
      <w:r w:rsidRPr="007116D6">
        <w:rPr>
          <w:rFonts w:cs="Times New Roman"/>
          <w:szCs w:val="24"/>
        </w:rPr>
        <w:t>EnergyPlus</w:t>
      </w:r>
      <w:proofErr w:type="spellEnd"/>
      <w:r w:rsidRPr="007116D6">
        <w:rPr>
          <w:rFonts w:cs="Times New Roman"/>
          <w:szCs w:val="24"/>
        </w:rPr>
        <w:t xml:space="preserve"> Runtime Language ERL) </w:t>
      </w:r>
      <w:r w:rsidRPr="0046015C">
        <w:rPr>
          <w:rFonts w:cs="Times New Roman"/>
          <w:szCs w:val="24"/>
        </w:rPr>
        <w:t>—</w:t>
      </w:r>
      <w:r>
        <w:rPr>
          <w:rFonts w:cs="Times New Roman"/>
          <w:szCs w:val="24"/>
        </w:rPr>
        <w:t xml:space="preserve"> with comments explaining how to use the models in an </w:t>
      </w:r>
      <w:proofErr w:type="spellStart"/>
      <w:r>
        <w:rPr>
          <w:rFonts w:cs="Times New Roman"/>
          <w:szCs w:val="24"/>
        </w:rPr>
        <w:t>EnergyPlus</w:t>
      </w:r>
      <w:proofErr w:type="spellEnd"/>
      <w:r>
        <w:rPr>
          <w:rFonts w:cs="Times New Roman"/>
          <w:szCs w:val="24"/>
        </w:rPr>
        <w:t xml:space="preserve"> model </w:t>
      </w:r>
      <w:r w:rsidRPr="0046015C">
        <w:rPr>
          <w:rFonts w:cs="Times New Roman"/>
          <w:szCs w:val="24"/>
        </w:rPr>
        <w:t>—</w:t>
      </w:r>
      <w:r>
        <w:rPr>
          <w:rFonts w:cs="Times New Roman"/>
          <w:szCs w:val="24"/>
        </w:rPr>
        <w:t xml:space="preserve"> are</w:t>
      </w:r>
      <w:r w:rsidRPr="007116D6">
        <w:rPr>
          <w:rFonts w:cs="Times New Roman"/>
          <w:szCs w:val="24"/>
        </w:rPr>
        <w:t xml:space="preserve"> also made available in the public domain</w:t>
      </w:r>
      <w:r>
        <w:rPr>
          <w:rFonts w:cs="Times New Roman"/>
          <w:szCs w:val="24"/>
        </w:rPr>
        <w:t xml:space="preserve"> as supplemental files.</w:t>
      </w:r>
      <w:r w:rsidRPr="00CD231A">
        <w:rPr>
          <w:rFonts w:cs="Times New Roman"/>
          <w:szCs w:val="24"/>
        </w:rPr>
        <w:t xml:space="preserve"> </w:t>
      </w:r>
    </w:p>
    <w:p w:rsidR="00BF25DE" w:rsidRDefault="00BF25DE" w:rsidP="00051A6E">
      <w:pPr>
        <w:spacing w:after="0" w:line="360" w:lineRule="auto"/>
        <w:jc w:val="both"/>
        <w:rPr>
          <w:rFonts w:cs="Times New Roman"/>
          <w:szCs w:val="24"/>
        </w:rPr>
      </w:pPr>
      <w:r>
        <w:t xml:space="preserve">In order to discuss the transferability of occupant models to other contexts, predictions made by different occupant models were compared with each other based on the repeated simulations of an office in Ottawa, Canada. </w:t>
      </w:r>
      <w:r>
        <w:rPr>
          <w:rFonts w:cs="Times New Roman"/>
          <w:szCs w:val="24"/>
        </w:rPr>
        <w:t xml:space="preserve">The way </w:t>
      </w:r>
      <w:r w:rsidRPr="007116D6">
        <w:rPr>
          <w:rFonts w:cs="Times New Roman"/>
          <w:szCs w:val="24"/>
        </w:rPr>
        <w:t xml:space="preserve">these predictions </w:t>
      </w:r>
      <w:r>
        <w:rPr>
          <w:rFonts w:cs="Times New Roman"/>
          <w:szCs w:val="24"/>
        </w:rPr>
        <w:t>influenced the</w:t>
      </w:r>
      <w:r w:rsidRPr="007116D6">
        <w:rPr>
          <w:rFonts w:cs="Times New Roman"/>
          <w:szCs w:val="24"/>
        </w:rPr>
        <w:t xml:space="preserve"> </w:t>
      </w:r>
      <w:r>
        <w:rPr>
          <w:rFonts w:cs="Times New Roman"/>
          <w:szCs w:val="24"/>
        </w:rPr>
        <w:t>heating, cooling, and lighting load</w:t>
      </w:r>
      <w:r w:rsidRPr="007116D6">
        <w:rPr>
          <w:rFonts w:cs="Times New Roman"/>
          <w:szCs w:val="24"/>
        </w:rPr>
        <w:t xml:space="preserve"> </w:t>
      </w:r>
      <w:r>
        <w:rPr>
          <w:rFonts w:cs="Times New Roman"/>
          <w:szCs w:val="24"/>
        </w:rPr>
        <w:t xml:space="preserve">calculations of a BPS tool was demonstrated, and these BPS results </w:t>
      </w:r>
      <w:r w:rsidRPr="007116D6">
        <w:rPr>
          <w:rFonts w:cs="Times New Roman"/>
          <w:szCs w:val="24"/>
        </w:rPr>
        <w:t xml:space="preserve">were contrasted </w:t>
      </w:r>
      <w:r w:rsidRPr="007116D6">
        <w:rPr>
          <w:rFonts w:cs="Times New Roman"/>
          <w:szCs w:val="24"/>
        </w:rPr>
        <w:lastRenderedPageBreak/>
        <w:t xml:space="preserve">to </w:t>
      </w:r>
      <w:r>
        <w:rPr>
          <w:rFonts w:cs="Times New Roman"/>
          <w:szCs w:val="24"/>
        </w:rPr>
        <w:t xml:space="preserve">cases with static </w:t>
      </w:r>
      <w:r>
        <w:rPr>
          <w:rFonts w:cs="Times New Roman"/>
          <w:noProof/>
          <w:szCs w:val="24"/>
        </w:rPr>
        <w:t>ASHRAE (2013)</w:t>
      </w:r>
      <w:r>
        <w:rPr>
          <w:rFonts w:cs="Times New Roman"/>
          <w:szCs w:val="24"/>
        </w:rPr>
        <w:t xml:space="preserve"> schedules. </w:t>
      </w:r>
      <w:r w:rsidRPr="007116D6">
        <w:rPr>
          <w:rFonts w:cs="Times New Roman"/>
          <w:szCs w:val="24"/>
        </w:rPr>
        <w:t xml:space="preserve">Based on this analysis, the limitations of existing occupant models were </w:t>
      </w:r>
      <w:r>
        <w:rPr>
          <w:rFonts w:cs="Times New Roman"/>
          <w:szCs w:val="24"/>
        </w:rPr>
        <w:t>identified</w:t>
      </w:r>
      <w:r w:rsidRPr="007116D6">
        <w:rPr>
          <w:rFonts w:cs="Times New Roman"/>
          <w:szCs w:val="24"/>
        </w:rPr>
        <w:t xml:space="preserve"> and future </w:t>
      </w:r>
      <w:r>
        <w:rPr>
          <w:rFonts w:cs="Times New Roman"/>
          <w:szCs w:val="24"/>
        </w:rPr>
        <w:t>research</w:t>
      </w:r>
      <w:r w:rsidRPr="007116D6">
        <w:rPr>
          <w:rFonts w:cs="Times New Roman"/>
          <w:szCs w:val="24"/>
        </w:rPr>
        <w:t xml:space="preserve"> recommendations were developed.</w:t>
      </w:r>
      <w:r>
        <w:rPr>
          <w:rFonts w:cs="Times New Roman"/>
          <w:szCs w:val="24"/>
        </w:rPr>
        <w:t xml:space="preserve"> </w:t>
      </w:r>
    </w:p>
    <w:p w:rsidR="00BF25DE" w:rsidRDefault="00BF25DE" w:rsidP="00051A6E">
      <w:pPr>
        <w:pStyle w:val="Heading1"/>
        <w:numPr>
          <w:ilvl w:val="0"/>
          <w:numId w:val="1"/>
        </w:numPr>
        <w:spacing w:before="0" w:line="360" w:lineRule="auto"/>
        <w:rPr>
          <w:rFonts w:cs="Times New Roman"/>
          <w:sz w:val="24"/>
          <w:szCs w:val="24"/>
        </w:rPr>
      </w:pPr>
      <w:r w:rsidRPr="007116D6">
        <w:rPr>
          <w:rFonts w:cs="Times New Roman"/>
          <w:sz w:val="24"/>
          <w:szCs w:val="24"/>
        </w:rPr>
        <w:t>Methodology</w:t>
      </w:r>
    </w:p>
    <w:p w:rsidR="00BF25DE" w:rsidRDefault="00BF25DE" w:rsidP="00051A6E">
      <w:pPr>
        <w:spacing w:after="0" w:line="360" w:lineRule="auto"/>
        <w:jc w:val="both"/>
      </w:pPr>
      <w:r>
        <w:t xml:space="preserve">This section first provides an overview of the selected models by defining their fundamental differences in </w:t>
      </w:r>
      <w:r w:rsidR="003A5CC3">
        <w:t xml:space="preserve">defining </w:t>
      </w:r>
      <w:r>
        <w:t xml:space="preserve">human behaviour in offices. This is followed by a subsection whereby the selected models were transformed into a common simulation framework. This subsection is intended to provide a layout for the current implementation. Then, the implementation in EMS application of </w:t>
      </w:r>
      <w:proofErr w:type="spellStart"/>
      <w:r>
        <w:t>EnergyPlus</w:t>
      </w:r>
      <w:proofErr w:type="spellEnd"/>
      <w:r>
        <w:t>, in particular the BPS tool specific assumptions and limitations, was presented. This section also presents a simple office model through which the influence of the occupant models over BPS predictions was studied.</w:t>
      </w:r>
    </w:p>
    <w:p w:rsidR="00BF25DE" w:rsidRDefault="00BF25DE" w:rsidP="00051A6E">
      <w:pPr>
        <w:pStyle w:val="Heading1"/>
        <w:numPr>
          <w:ilvl w:val="1"/>
          <w:numId w:val="1"/>
        </w:numPr>
        <w:spacing w:before="0" w:line="360" w:lineRule="auto"/>
        <w:rPr>
          <w:rFonts w:cs="Times New Roman"/>
          <w:sz w:val="24"/>
          <w:szCs w:val="24"/>
        </w:rPr>
      </w:pPr>
      <w:r w:rsidRPr="007116D6">
        <w:rPr>
          <w:rFonts w:cs="Times New Roman"/>
          <w:sz w:val="24"/>
          <w:szCs w:val="24"/>
        </w:rPr>
        <w:t>An overview of the selected occupant models</w:t>
      </w:r>
    </w:p>
    <w:p w:rsidR="00BF25DE" w:rsidRDefault="00BF25DE" w:rsidP="00051A6E">
      <w:pPr>
        <w:spacing w:after="0" w:line="360" w:lineRule="auto"/>
        <w:jc w:val="both"/>
        <w:rPr>
          <w:rFonts w:cs="Times New Roman"/>
          <w:szCs w:val="24"/>
        </w:rPr>
      </w:pPr>
      <w:r>
        <w:rPr>
          <w:rFonts w:cs="Times New Roman"/>
          <w:szCs w:val="24"/>
        </w:rPr>
        <w:t xml:space="preserve">Table 1 provides a summary of the </w:t>
      </w:r>
      <w:r w:rsidRPr="007116D6">
        <w:rPr>
          <w:rFonts w:cs="Times New Roman"/>
          <w:szCs w:val="24"/>
        </w:rPr>
        <w:t>selected occupant models</w:t>
      </w:r>
      <w:r>
        <w:rPr>
          <w:rFonts w:cs="Times New Roman"/>
          <w:szCs w:val="24"/>
        </w:rPr>
        <w:t xml:space="preserve">, the source of the original model, and their predictors. </w:t>
      </w:r>
    </w:p>
    <w:p w:rsidR="00CA2052" w:rsidRDefault="00CA2052" w:rsidP="00051A6E">
      <w:pPr>
        <w:pStyle w:val="Caption"/>
        <w:rPr>
          <w:rFonts w:cs="Times New Roman"/>
          <w:b w:val="0"/>
          <w:color w:val="auto"/>
          <w:sz w:val="24"/>
          <w:szCs w:val="24"/>
        </w:rPr>
      </w:pPr>
      <w:bookmarkStart w:id="0" w:name="_Toc415940839"/>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CA2052" w:rsidRDefault="00CA2052" w:rsidP="00051A6E">
      <w:pPr>
        <w:pStyle w:val="Caption"/>
        <w:rPr>
          <w:rFonts w:cs="Times New Roman"/>
          <w:b w:val="0"/>
          <w:color w:val="auto"/>
          <w:sz w:val="24"/>
          <w:szCs w:val="24"/>
        </w:rPr>
      </w:pPr>
    </w:p>
    <w:p w:rsidR="00BF25DE" w:rsidRPr="00716F43" w:rsidRDefault="00BF25DE" w:rsidP="00051A6E">
      <w:pPr>
        <w:pStyle w:val="Caption"/>
        <w:rPr>
          <w:rFonts w:cs="Times New Roman"/>
          <w:b w:val="0"/>
          <w:color w:val="auto"/>
          <w:sz w:val="24"/>
          <w:szCs w:val="24"/>
        </w:rPr>
      </w:pPr>
      <w:r w:rsidRPr="00716F43">
        <w:rPr>
          <w:rFonts w:cs="Times New Roman"/>
          <w:b w:val="0"/>
          <w:color w:val="auto"/>
          <w:sz w:val="24"/>
          <w:szCs w:val="24"/>
        </w:rPr>
        <w:lastRenderedPageBreak/>
        <w:t xml:space="preserve">Table </w:t>
      </w:r>
      <w:r w:rsidR="00F84CB0" w:rsidRPr="00716F43">
        <w:rPr>
          <w:rFonts w:cs="Times New Roman"/>
          <w:b w:val="0"/>
          <w:color w:val="auto"/>
          <w:sz w:val="24"/>
          <w:szCs w:val="24"/>
        </w:rPr>
        <w:fldChar w:fldCharType="begin"/>
      </w:r>
      <w:r w:rsidRPr="00716F43">
        <w:rPr>
          <w:rFonts w:cs="Times New Roman"/>
          <w:b w:val="0"/>
          <w:color w:val="auto"/>
          <w:sz w:val="24"/>
          <w:szCs w:val="24"/>
        </w:rPr>
        <w:instrText xml:space="preserve"> SEQ Table \* ARABIC </w:instrText>
      </w:r>
      <w:r w:rsidR="00F84CB0" w:rsidRPr="00716F43">
        <w:rPr>
          <w:rFonts w:cs="Times New Roman"/>
          <w:b w:val="0"/>
          <w:color w:val="auto"/>
          <w:sz w:val="24"/>
          <w:szCs w:val="24"/>
        </w:rPr>
        <w:fldChar w:fldCharType="separate"/>
      </w:r>
      <w:r w:rsidRPr="00716F43">
        <w:rPr>
          <w:rFonts w:cs="Times New Roman"/>
          <w:b w:val="0"/>
          <w:noProof/>
          <w:color w:val="auto"/>
          <w:sz w:val="24"/>
          <w:szCs w:val="24"/>
        </w:rPr>
        <w:t>1</w:t>
      </w:r>
      <w:r w:rsidR="00F84CB0" w:rsidRPr="00716F43">
        <w:rPr>
          <w:rFonts w:cs="Times New Roman"/>
          <w:b w:val="0"/>
          <w:color w:val="auto"/>
          <w:sz w:val="24"/>
          <w:szCs w:val="24"/>
        </w:rPr>
        <w:fldChar w:fldCharType="end"/>
      </w:r>
      <w:r w:rsidRPr="00716F43">
        <w:rPr>
          <w:rFonts w:cs="Times New Roman"/>
          <w:b w:val="0"/>
          <w:color w:val="auto"/>
          <w:sz w:val="24"/>
          <w:szCs w:val="24"/>
        </w:rPr>
        <w:t>: An overview of the selected occupant models.</w:t>
      </w:r>
      <w:bookmarkEnd w:id="0"/>
    </w:p>
    <w:tbl>
      <w:tblPr>
        <w:tblStyle w:val="LightShading1"/>
        <w:tblW w:w="0" w:type="auto"/>
        <w:jc w:val="center"/>
        <w:tblLook w:val="06A0"/>
      </w:tblPr>
      <w:tblGrid>
        <w:gridCol w:w="1809"/>
        <w:gridCol w:w="2979"/>
        <w:gridCol w:w="4788"/>
      </w:tblGrid>
      <w:tr w:rsidR="00BF25DE" w:rsidRPr="001031CE" w:rsidTr="00051A6E">
        <w:trPr>
          <w:cnfStyle w:val="100000000000"/>
          <w:trHeight w:val="510"/>
          <w:jc w:val="center"/>
        </w:trPr>
        <w:tc>
          <w:tcPr>
            <w:cnfStyle w:val="001000000000"/>
            <w:tcW w:w="1809" w:type="dxa"/>
            <w:tcBorders>
              <w:top w:val="single" w:sz="4" w:space="0" w:color="auto"/>
              <w:left w:val="single" w:sz="4" w:space="0" w:color="auto"/>
              <w:bottom w:val="single" w:sz="4" w:space="0" w:color="auto"/>
              <w:right w:val="none" w:sz="0" w:space="0" w:color="auto"/>
            </w:tcBorders>
            <w:noWrap/>
            <w:vAlign w:val="center"/>
            <w:hideMark/>
          </w:tcPr>
          <w:p w:rsidR="00BF25DE" w:rsidRPr="001031CE" w:rsidRDefault="00BF25DE" w:rsidP="00051A6E">
            <w:pPr>
              <w:spacing w:line="276" w:lineRule="auto"/>
              <w:rPr>
                <w:rFonts w:cs="Times New Roman"/>
                <w:sz w:val="20"/>
                <w:szCs w:val="20"/>
              </w:rPr>
            </w:pPr>
            <w:r w:rsidRPr="001031CE">
              <w:rPr>
                <w:rFonts w:cs="Times New Roman"/>
                <w:sz w:val="20"/>
                <w:szCs w:val="20"/>
              </w:rPr>
              <w:t>Models</w:t>
            </w:r>
          </w:p>
        </w:tc>
        <w:tc>
          <w:tcPr>
            <w:tcW w:w="2979" w:type="dxa"/>
            <w:tcBorders>
              <w:top w:val="single" w:sz="4" w:space="0" w:color="auto"/>
              <w:left w:val="none" w:sz="0" w:space="0" w:color="auto"/>
              <w:bottom w:val="single" w:sz="4" w:space="0" w:color="auto"/>
              <w:right w:val="none" w:sz="0" w:space="0" w:color="auto"/>
            </w:tcBorders>
            <w:noWrap/>
            <w:vAlign w:val="center"/>
            <w:hideMark/>
          </w:tcPr>
          <w:p w:rsidR="00BF25DE" w:rsidRPr="001031CE" w:rsidRDefault="00BF25DE" w:rsidP="00051A6E">
            <w:pPr>
              <w:spacing w:line="276" w:lineRule="auto"/>
              <w:cnfStyle w:val="100000000000"/>
              <w:rPr>
                <w:rFonts w:cs="Times New Roman"/>
                <w:sz w:val="20"/>
                <w:szCs w:val="20"/>
              </w:rPr>
            </w:pPr>
            <w:r w:rsidRPr="001031CE">
              <w:rPr>
                <w:rFonts w:cs="Times New Roman"/>
                <w:sz w:val="20"/>
                <w:szCs w:val="20"/>
              </w:rPr>
              <w:t>Developers</w:t>
            </w:r>
          </w:p>
        </w:tc>
        <w:tc>
          <w:tcPr>
            <w:tcW w:w="4788" w:type="dxa"/>
            <w:tcBorders>
              <w:top w:val="single" w:sz="4" w:space="0" w:color="auto"/>
              <w:left w:val="none" w:sz="0" w:space="0" w:color="auto"/>
              <w:bottom w:val="single" w:sz="4" w:space="0" w:color="auto"/>
              <w:right w:val="single" w:sz="4" w:space="0" w:color="auto"/>
            </w:tcBorders>
            <w:noWrap/>
            <w:vAlign w:val="center"/>
            <w:hideMark/>
          </w:tcPr>
          <w:p w:rsidR="00BF25DE" w:rsidRPr="001031CE" w:rsidRDefault="00BF25DE" w:rsidP="00051A6E">
            <w:pPr>
              <w:spacing w:line="276" w:lineRule="auto"/>
              <w:cnfStyle w:val="100000000000"/>
              <w:rPr>
                <w:rFonts w:cs="Times New Roman"/>
                <w:sz w:val="20"/>
                <w:szCs w:val="20"/>
              </w:rPr>
            </w:pPr>
            <w:r w:rsidRPr="001031CE">
              <w:rPr>
                <w:rFonts w:cs="Times New Roman"/>
                <w:sz w:val="20"/>
                <w:szCs w:val="20"/>
              </w:rPr>
              <w:t>Predictors</w:t>
            </w:r>
          </w:p>
        </w:tc>
      </w:tr>
      <w:tr w:rsidR="00BF25DE" w:rsidRPr="001031CE" w:rsidTr="00051A6E">
        <w:trPr>
          <w:trHeight w:val="341"/>
          <w:jc w:val="center"/>
        </w:trPr>
        <w:tc>
          <w:tcPr>
            <w:cnfStyle w:val="001000000000"/>
            <w:tcW w:w="1809" w:type="dxa"/>
            <w:vMerge w:val="restart"/>
            <w:tcBorders>
              <w:top w:val="single" w:sz="4" w:space="0" w:color="auto"/>
              <w:left w:val="single" w:sz="4" w:space="0" w:color="auto"/>
            </w:tcBorders>
            <w:vAlign w:val="center"/>
            <w:hideMark/>
          </w:tcPr>
          <w:p w:rsidR="00BF25DE" w:rsidRPr="001031CE" w:rsidRDefault="00BF25DE" w:rsidP="00051A6E">
            <w:pPr>
              <w:spacing w:line="276" w:lineRule="auto"/>
              <w:rPr>
                <w:rFonts w:cs="Times New Roman"/>
                <w:b w:val="0"/>
                <w:sz w:val="20"/>
                <w:szCs w:val="20"/>
              </w:rPr>
            </w:pPr>
            <w:r>
              <w:rPr>
                <w:rFonts w:cs="Times New Roman"/>
                <w:b w:val="0"/>
                <w:sz w:val="20"/>
                <w:szCs w:val="20"/>
              </w:rPr>
              <w:t>Light s</w:t>
            </w:r>
            <w:r w:rsidRPr="001031CE">
              <w:rPr>
                <w:rFonts w:cs="Times New Roman"/>
                <w:b w:val="0"/>
                <w:sz w:val="20"/>
                <w:szCs w:val="20"/>
              </w:rPr>
              <w:t>witch-On</w:t>
            </w:r>
          </w:p>
        </w:tc>
        <w:tc>
          <w:tcPr>
            <w:tcW w:w="2979" w:type="dxa"/>
            <w:tcBorders>
              <w:top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Hunt (1979)</w:t>
            </w:r>
          </w:p>
        </w:tc>
        <w:tc>
          <w:tcPr>
            <w:tcW w:w="4788" w:type="dxa"/>
            <w:tcBorders>
              <w:top w:val="single" w:sz="4" w:space="0" w:color="auto"/>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Workplane</w:t>
            </w:r>
            <w:proofErr w:type="spellEnd"/>
            <w:r w:rsidRPr="001031CE">
              <w:rPr>
                <w:rFonts w:cs="Times New Roman"/>
                <w:sz w:val="20"/>
                <w:szCs w:val="20"/>
              </w:rPr>
              <w:t xml:space="preserve"> </w:t>
            </w:r>
            <w:proofErr w:type="spellStart"/>
            <w:r w:rsidRPr="001031CE">
              <w:rPr>
                <w:rFonts w:cs="Times New Roman"/>
                <w:sz w:val="20"/>
                <w:szCs w:val="20"/>
              </w:rPr>
              <w:t>illuminance</w:t>
            </w:r>
            <w:proofErr w:type="spellEnd"/>
          </w:p>
        </w:tc>
      </w:tr>
      <w:tr w:rsidR="00BF25DE" w:rsidRPr="001031CE" w:rsidTr="00051A6E">
        <w:trPr>
          <w:trHeight w:val="360"/>
          <w:jc w:val="center"/>
        </w:trPr>
        <w:tc>
          <w:tcPr>
            <w:cnfStyle w:val="001000000000"/>
            <w:tcW w:w="1809" w:type="dxa"/>
            <w:vMerge/>
            <w:tcBorders>
              <w:left w:val="single" w:sz="4" w:space="0" w:color="auto"/>
              <w:bottom w:val="single" w:sz="4" w:space="0" w:color="auto"/>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bottom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Reinhart (2004)</w:t>
            </w:r>
          </w:p>
        </w:tc>
        <w:tc>
          <w:tcPr>
            <w:tcW w:w="4788" w:type="dxa"/>
            <w:tcBorders>
              <w:bottom w:val="single" w:sz="4" w:space="0" w:color="auto"/>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 xml:space="preserve">(1) </w:t>
            </w:r>
            <w:proofErr w:type="spellStart"/>
            <w:r w:rsidRPr="001031CE">
              <w:rPr>
                <w:rFonts w:cs="Times New Roman"/>
                <w:sz w:val="20"/>
                <w:szCs w:val="20"/>
              </w:rPr>
              <w:t>Workplane</w:t>
            </w:r>
            <w:proofErr w:type="spellEnd"/>
            <w:r w:rsidRPr="001031CE">
              <w:rPr>
                <w:rFonts w:cs="Times New Roman"/>
                <w:sz w:val="20"/>
                <w:szCs w:val="20"/>
              </w:rPr>
              <w:t xml:space="preserve"> </w:t>
            </w:r>
            <w:proofErr w:type="spellStart"/>
            <w:r w:rsidRPr="001031CE">
              <w:rPr>
                <w:rFonts w:cs="Times New Roman"/>
                <w:sz w:val="20"/>
                <w:szCs w:val="20"/>
              </w:rPr>
              <w:t>illuminance</w:t>
            </w:r>
            <w:proofErr w:type="spellEnd"/>
            <w:r w:rsidRPr="001031CE">
              <w:rPr>
                <w:rFonts w:cs="Times New Roman"/>
                <w:sz w:val="20"/>
                <w:szCs w:val="20"/>
              </w:rPr>
              <w:t xml:space="preserve"> and (2) occupancy period</w:t>
            </w:r>
          </w:p>
        </w:tc>
      </w:tr>
      <w:tr w:rsidR="00BF25DE" w:rsidRPr="001031CE" w:rsidTr="00051A6E">
        <w:trPr>
          <w:trHeight w:val="386"/>
          <w:jc w:val="center"/>
        </w:trPr>
        <w:tc>
          <w:tcPr>
            <w:cnfStyle w:val="001000000000"/>
            <w:tcW w:w="1809" w:type="dxa"/>
            <w:vMerge w:val="restart"/>
            <w:tcBorders>
              <w:top w:val="single" w:sz="4" w:space="0" w:color="auto"/>
              <w:left w:val="single" w:sz="4" w:space="0" w:color="auto"/>
              <w:bottom w:val="nil"/>
            </w:tcBorders>
            <w:vAlign w:val="center"/>
            <w:hideMark/>
          </w:tcPr>
          <w:p w:rsidR="00BF25DE" w:rsidRPr="001031CE" w:rsidRDefault="00BF25DE" w:rsidP="00051A6E">
            <w:pPr>
              <w:spacing w:line="276" w:lineRule="auto"/>
              <w:rPr>
                <w:rFonts w:cs="Times New Roman"/>
                <w:b w:val="0"/>
                <w:sz w:val="20"/>
                <w:szCs w:val="20"/>
              </w:rPr>
            </w:pPr>
            <w:r>
              <w:rPr>
                <w:rFonts w:cs="Times New Roman"/>
                <w:b w:val="0"/>
                <w:sz w:val="20"/>
                <w:szCs w:val="20"/>
              </w:rPr>
              <w:t>Light s</w:t>
            </w:r>
            <w:r w:rsidRPr="001031CE">
              <w:rPr>
                <w:rFonts w:cs="Times New Roman"/>
                <w:b w:val="0"/>
                <w:sz w:val="20"/>
                <w:szCs w:val="20"/>
              </w:rPr>
              <w:t>witch-Off</w:t>
            </w:r>
          </w:p>
        </w:tc>
        <w:tc>
          <w:tcPr>
            <w:tcW w:w="2979" w:type="dxa"/>
            <w:tcBorders>
              <w:top w:val="single" w:sz="4" w:space="0" w:color="auto"/>
              <w:bottom w:val="nil"/>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Reinhart (2004)</w:t>
            </w:r>
          </w:p>
        </w:tc>
        <w:tc>
          <w:tcPr>
            <w:tcW w:w="4788" w:type="dxa"/>
            <w:tcBorders>
              <w:top w:val="single" w:sz="4" w:space="0" w:color="auto"/>
              <w:bottom w:val="nil"/>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Duration of absence upon departure</w:t>
            </w:r>
          </w:p>
        </w:tc>
      </w:tr>
      <w:tr w:rsidR="00BF25DE" w:rsidRPr="001031CE" w:rsidTr="00051A6E">
        <w:trPr>
          <w:trHeight w:val="360"/>
          <w:jc w:val="center"/>
        </w:trPr>
        <w:tc>
          <w:tcPr>
            <w:cnfStyle w:val="001000000000"/>
            <w:tcW w:w="1809" w:type="dxa"/>
            <w:vMerge/>
            <w:tcBorders>
              <w:top w:val="nil"/>
              <w:left w:val="single" w:sz="4" w:space="0" w:color="auto"/>
              <w:bottom w:val="single" w:sz="4" w:space="0" w:color="auto"/>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bottom w:val="single" w:sz="4" w:space="0" w:color="auto"/>
            </w:tcBorders>
            <w:vAlign w:val="center"/>
            <w:hideMark/>
          </w:tcPr>
          <w:p w:rsidR="00BF25DE" w:rsidRPr="001031CE" w:rsidRDefault="00051A6E" w:rsidP="00051A6E">
            <w:pPr>
              <w:spacing w:line="276" w:lineRule="auto"/>
              <w:cnfStyle w:val="000000000000"/>
              <w:rPr>
                <w:rFonts w:cs="Times New Roman"/>
                <w:sz w:val="20"/>
                <w:szCs w:val="20"/>
              </w:rPr>
            </w:pPr>
            <w:r>
              <w:rPr>
                <w:rFonts w:cs="Times New Roman"/>
                <w:sz w:val="20"/>
                <w:szCs w:val="20"/>
              </w:rPr>
              <w:t>Boyce</w:t>
            </w:r>
            <w:r w:rsidR="00BF25DE" w:rsidRPr="001031CE">
              <w:rPr>
                <w:rFonts w:cs="Times New Roman"/>
                <w:sz w:val="20"/>
                <w:szCs w:val="20"/>
              </w:rPr>
              <w:t xml:space="preserve"> et al. (2006)</w:t>
            </w:r>
          </w:p>
        </w:tc>
        <w:tc>
          <w:tcPr>
            <w:tcW w:w="4788" w:type="dxa"/>
            <w:tcBorders>
              <w:top w:val="nil"/>
              <w:bottom w:val="single" w:sz="4" w:space="0" w:color="auto"/>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Workplane</w:t>
            </w:r>
            <w:proofErr w:type="spellEnd"/>
            <w:r w:rsidRPr="001031CE">
              <w:rPr>
                <w:rFonts w:cs="Times New Roman"/>
                <w:sz w:val="20"/>
                <w:szCs w:val="20"/>
              </w:rPr>
              <w:t xml:space="preserve"> </w:t>
            </w:r>
            <w:proofErr w:type="spellStart"/>
            <w:r w:rsidRPr="001031CE">
              <w:rPr>
                <w:rFonts w:cs="Times New Roman"/>
                <w:sz w:val="20"/>
                <w:szCs w:val="20"/>
              </w:rPr>
              <w:t>illuminance</w:t>
            </w:r>
            <w:proofErr w:type="spellEnd"/>
          </w:p>
        </w:tc>
      </w:tr>
      <w:tr w:rsidR="00BF25DE" w:rsidRPr="001031CE" w:rsidTr="00051A6E">
        <w:trPr>
          <w:trHeight w:val="350"/>
          <w:jc w:val="center"/>
        </w:trPr>
        <w:tc>
          <w:tcPr>
            <w:cnfStyle w:val="001000000000"/>
            <w:tcW w:w="1809" w:type="dxa"/>
            <w:vMerge w:val="restart"/>
            <w:tcBorders>
              <w:top w:val="single" w:sz="4" w:space="0" w:color="auto"/>
              <w:left w:val="single" w:sz="4" w:space="0" w:color="auto"/>
              <w:bottom w:val="nil"/>
            </w:tcBorders>
            <w:vAlign w:val="center"/>
            <w:hideMark/>
          </w:tcPr>
          <w:p w:rsidR="00BF25DE" w:rsidRPr="001031CE" w:rsidRDefault="00BF25DE" w:rsidP="00051A6E">
            <w:pPr>
              <w:spacing w:line="276" w:lineRule="auto"/>
              <w:rPr>
                <w:rFonts w:cs="Times New Roman"/>
                <w:b w:val="0"/>
                <w:sz w:val="20"/>
                <w:szCs w:val="20"/>
              </w:rPr>
            </w:pPr>
            <w:r w:rsidRPr="001031CE">
              <w:rPr>
                <w:rFonts w:cs="Times New Roman"/>
                <w:b w:val="0"/>
                <w:sz w:val="20"/>
                <w:szCs w:val="20"/>
              </w:rPr>
              <w:t>Blinds closing</w:t>
            </w:r>
          </w:p>
        </w:tc>
        <w:tc>
          <w:tcPr>
            <w:tcW w:w="2979" w:type="dxa"/>
            <w:tcBorders>
              <w:top w:val="single" w:sz="4" w:space="0" w:color="auto"/>
              <w:bottom w:val="nil"/>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Newsham</w:t>
            </w:r>
            <w:proofErr w:type="spellEnd"/>
            <w:r w:rsidRPr="001031CE">
              <w:rPr>
                <w:rFonts w:cs="Times New Roman"/>
                <w:sz w:val="20"/>
                <w:szCs w:val="20"/>
              </w:rPr>
              <w:t xml:space="preserve"> (1994)</w:t>
            </w:r>
          </w:p>
        </w:tc>
        <w:tc>
          <w:tcPr>
            <w:tcW w:w="4788" w:type="dxa"/>
            <w:tcBorders>
              <w:top w:val="single" w:sz="4" w:space="0" w:color="auto"/>
              <w:bottom w:val="nil"/>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Transmitted direct solar irradiance</w:t>
            </w:r>
          </w:p>
        </w:tc>
      </w:tr>
      <w:tr w:rsidR="00BF25DE" w:rsidRPr="001031CE" w:rsidTr="00051A6E">
        <w:trPr>
          <w:trHeight w:val="270"/>
          <w:jc w:val="center"/>
        </w:trPr>
        <w:tc>
          <w:tcPr>
            <w:cnfStyle w:val="001000000000"/>
            <w:tcW w:w="1809" w:type="dxa"/>
            <w:vMerge/>
            <w:tcBorders>
              <w:top w:val="nil"/>
              <w:left w:val="single" w:sz="4" w:space="0" w:color="auto"/>
              <w:bottom w:val="nil"/>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bottom w:val="nil"/>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Reinhart (2004)</w:t>
            </w:r>
          </w:p>
        </w:tc>
        <w:tc>
          <w:tcPr>
            <w:tcW w:w="4788" w:type="dxa"/>
            <w:tcBorders>
              <w:top w:val="nil"/>
              <w:bottom w:val="nil"/>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Workplane</w:t>
            </w:r>
            <w:proofErr w:type="spellEnd"/>
            <w:r w:rsidRPr="001031CE">
              <w:rPr>
                <w:rFonts w:cs="Times New Roman"/>
                <w:sz w:val="20"/>
                <w:szCs w:val="20"/>
              </w:rPr>
              <w:t xml:space="preserve"> direct solar irradiance </w:t>
            </w:r>
          </w:p>
        </w:tc>
      </w:tr>
      <w:tr w:rsidR="00BF25DE" w:rsidRPr="001031CE" w:rsidTr="00051A6E">
        <w:trPr>
          <w:trHeight w:val="612"/>
          <w:jc w:val="center"/>
        </w:trPr>
        <w:tc>
          <w:tcPr>
            <w:cnfStyle w:val="001000000000"/>
            <w:tcW w:w="1809" w:type="dxa"/>
            <w:vMerge/>
            <w:tcBorders>
              <w:top w:val="nil"/>
              <w:left w:val="single" w:sz="4" w:space="0" w:color="auto"/>
              <w:bottom w:val="single" w:sz="4" w:space="0" w:color="auto"/>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bottom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Haldi</w:t>
            </w:r>
            <w:proofErr w:type="spellEnd"/>
            <w:r w:rsidRPr="001031CE">
              <w:rPr>
                <w:rFonts w:cs="Times New Roman"/>
                <w:sz w:val="20"/>
                <w:szCs w:val="20"/>
              </w:rPr>
              <w:t xml:space="preserve"> and Robinson (2010)</w:t>
            </w:r>
          </w:p>
        </w:tc>
        <w:tc>
          <w:tcPr>
            <w:tcW w:w="4788" w:type="dxa"/>
            <w:tcBorders>
              <w:top w:val="nil"/>
              <w:bottom w:val="single" w:sz="4" w:space="0" w:color="auto"/>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 xml:space="preserve">(1) </w:t>
            </w:r>
            <w:proofErr w:type="spellStart"/>
            <w:r w:rsidRPr="001031CE">
              <w:rPr>
                <w:rFonts w:cs="Times New Roman"/>
                <w:sz w:val="20"/>
                <w:szCs w:val="20"/>
              </w:rPr>
              <w:t>Workplane</w:t>
            </w:r>
            <w:proofErr w:type="spellEnd"/>
            <w:r w:rsidRPr="001031CE">
              <w:rPr>
                <w:rFonts w:cs="Times New Roman"/>
                <w:sz w:val="20"/>
                <w:szCs w:val="20"/>
              </w:rPr>
              <w:t xml:space="preserve"> </w:t>
            </w:r>
            <w:proofErr w:type="spellStart"/>
            <w:r w:rsidRPr="001031CE">
              <w:rPr>
                <w:rFonts w:cs="Times New Roman"/>
                <w:sz w:val="20"/>
                <w:szCs w:val="20"/>
              </w:rPr>
              <w:t>illuminance</w:t>
            </w:r>
            <w:proofErr w:type="spellEnd"/>
            <w:r w:rsidRPr="001031CE">
              <w:rPr>
                <w:rFonts w:cs="Times New Roman"/>
                <w:sz w:val="20"/>
                <w:szCs w:val="20"/>
              </w:rPr>
              <w:t xml:space="preserve">, (2) occupancy period, and (3) </w:t>
            </w:r>
            <w:proofErr w:type="spellStart"/>
            <w:r w:rsidRPr="001031CE">
              <w:rPr>
                <w:rFonts w:cs="Times New Roman"/>
                <w:sz w:val="20"/>
                <w:szCs w:val="20"/>
              </w:rPr>
              <w:t>unshaded</w:t>
            </w:r>
            <w:proofErr w:type="spellEnd"/>
            <w:r w:rsidRPr="001031CE">
              <w:rPr>
                <w:rFonts w:cs="Times New Roman"/>
                <w:sz w:val="20"/>
                <w:szCs w:val="20"/>
              </w:rPr>
              <w:t xml:space="preserve"> window fraction</w:t>
            </w:r>
          </w:p>
        </w:tc>
      </w:tr>
      <w:tr w:rsidR="00BF25DE" w:rsidRPr="001031CE" w:rsidTr="00051A6E">
        <w:trPr>
          <w:trHeight w:val="350"/>
          <w:jc w:val="center"/>
        </w:trPr>
        <w:tc>
          <w:tcPr>
            <w:cnfStyle w:val="001000000000"/>
            <w:tcW w:w="1809" w:type="dxa"/>
            <w:vMerge w:val="restart"/>
            <w:tcBorders>
              <w:top w:val="single" w:sz="4" w:space="0" w:color="auto"/>
              <w:left w:val="single" w:sz="4" w:space="0" w:color="auto"/>
              <w:bottom w:val="nil"/>
            </w:tcBorders>
            <w:vAlign w:val="center"/>
            <w:hideMark/>
          </w:tcPr>
          <w:p w:rsidR="00BF25DE" w:rsidRPr="001031CE" w:rsidRDefault="00BF25DE" w:rsidP="00051A6E">
            <w:pPr>
              <w:spacing w:line="276" w:lineRule="auto"/>
              <w:rPr>
                <w:rFonts w:cs="Times New Roman"/>
                <w:b w:val="0"/>
                <w:sz w:val="20"/>
                <w:szCs w:val="20"/>
              </w:rPr>
            </w:pPr>
            <w:r w:rsidRPr="001031CE">
              <w:rPr>
                <w:rFonts w:cs="Times New Roman"/>
                <w:b w:val="0"/>
                <w:sz w:val="20"/>
                <w:szCs w:val="20"/>
              </w:rPr>
              <w:t>Blinds opening</w:t>
            </w:r>
          </w:p>
        </w:tc>
        <w:tc>
          <w:tcPr>
            <w:tcW w:w="2979" w:type="dxa"/>
            <w:tcBorders>
              <w:top w:val="single" w:sz="4" w:space="0" w:color="auto"/>
              <w:bottom w:val="nil"/>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Newsham</w:t>
            </w:r>
            <w:proofErr w:type="spellEnd"/>
            <w:r w:rsidRPr="001031CE">
              <w:rPr>
                <w:rFonts w:cs="Times New Roman"/>
                <w:sz w:val="20"/>
                <w:szCs w:val="20"/>
              </w:rPr>
              <w:t xml:space="preserve"> (1994)</w:t>
            </w:r>
          </w:p>
        </w:tc>
        <w:tc>
          <w:tcPr>
            <w:tcW w:w="4788" w:type="dxa"/>
            <w:tcBorders>
              <w:top w:val="single" w:sz="4" w:space="0" w:color="auto"/>
              <w:bottom w:val="nil"/>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Occupancy period</w:t>
            </w:r>
          </w:p>
        </w:tc>
      </w:tr>
      <w:tr w:rsidR="00BF25DE" w:rsidRPr="001031CE" w:rsidTr="00051A6E">
        <w:trPr>
          <w:trHeight w:val="270"/>
          <w:jc w:val="center"/>
        </w:trPr>
        <w:tc>
          <w:tcPr>
            <w:cnfStyle w:val="001000000000"/>
            <w:tcW w:w="1809" w:type="dxa"/>
            <w:vMerge/>
            <w:tcBorders>
              <w:top w:val="nil"/>
              <w:left w:val="single" w:sz="4" w:space="0" w:color="auto"/>
              <w:bottom w:val="nil"/>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bottom w:val="nil"/>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Reinhart (2004)</w:t>
            </w:r>
          </w:p>
        </w:tc>
        <w:tc>
          <w:tcPr>
            <w:tcW w:w="4788" w:type="dxa"/>
            <w:tcBorders>
              <w:top w:val="nil"/>
              <w:bottom w:val="nil"/>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Occupancy period</w:t>
            </w:r>
          </w:p>
        </w:tc>
      </w:tr>
      <w:tr w:rsidR="00BF25DE" w:rsidRPr="001031CE" w:rsidTr="00051A6E">
        <w:trPr>
          <w:trHeight w:val="435"/>
          <w:jc w:val="center"/>
        </w:trPr>
        <w:tc>
          <w:tcPr>
            <w:cnfStyle w:val="001000000000"/>
            <w:tcW w:w="1809" w:type="dxa"/>
            <w:vMerge/>
            <w:tcBorders>
              <w:top w:val="nil"/>
              <w:left w:val="single" w:sz="4" w:space="0" w:color="auto"/>
              <w:bottom w:val="single" w:sz="4" w:space="0" w:color="auto"/>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bottom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Haldi</w:t>
            </w:r>
            <w:proofErr w:type="spellEnd"/>
            <w:r w:rsidRPr="001031CE">
              <w:rPr>
                <w:rFonts w:cs="Times New Roman"/>
                <w:sz w:val="20"/>
                <w:szCs w:val="20"/>
              </w:rPr>
              <w:t xml:space="preserve"> and Robinson (2010)</w:t>
            </w:r>
          </w:p>
        </w:tc>
        <w:tc>
          <w:tcPr>
            <w:tcW w:w="4788" w:type="dxa"/>
            <w:tcBorders>
              <w:top w:val="nil"/>
              <w:bottom w:val="single" w:sz="4" w:space="0" w:color="auto"/>
              <w:right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 xml:space="preserve">(1) </w:t>
            </w:r>
            <w:proofErr w:type="spellStart"/>
            <w:r w:rsidRPr="001031CE">
              <w:rPr>
                <w:rFonts w:cs="Times New Roman"/>
                <w:sz w:val="20"/>
                <w:szCs w:val="20"/>
              </w:rPr>
              <w:t>Workplane</w:t>
            </w:r>
            <w:proofErr w:type="spellEnd"/>
            <w:r w:rsidRPr="001031CE">
              <w:rPr>
                <w:rFonts w:cs="Times New Roman"/>
                <w:sz w:val="20"/>
                <w:szCs w:val="20"/>
              </w:rPr>
              <w:t xml:space="preserve"> </w:t>
            </w:r>
            <w:proofErr w:type="spellStart"/>
            <w:r w:rsidRPr="001031CE">
              <w:rPr>
                <w:rFonts w:cs="Times New Roman"/>
                <w:sz w:val="20"/>
                <w:szCs w:val="20"/>
              </w:rPr>
              <w:t>illuminance</w:t>
            </w:r>
            <w:proofErr w:type="spellEnd"/>
            <w:r w:rsidRPr="001031CE">
              <w:rPr>
                <w:rFonts w:cs="Times New Roman"/>
                <w:sz w:val="20"/>
                <w:szCs w:val="20"/>
              </w:rPr>
              <w:t xml:space="preserve">, (2) occupancy period, (3) </w:t>
            </w:r>
            <w:proofErr w:type="spellStart"/>
            <w:r w:rsidRPr="001031CE">
              <w:rPr>
                <w:rFonts w:cs="Times New Roman"/>
                <w:sz w:val="20"/>
                <w:szCs w:val="20"/>
              </w:rPr>
              <w:t>unshaded</w:t>
            </w:r>
            <w:proofErr w:type="spellEnd"/>
            <w:r w:rsidRPr="001031CE">
              <w:rPr>
                <w:rFonts w:cs="Times New Roman"/>
                <w:sz w:val="20"/>
                <w:szCs w:val="20"/>
              </w:rPr>
              <w:t xml:space="preserve"> window fraction, (4) outdoor </w:t>
            </w:r>
            <w:proofErr w:type="spellStart"/>
            <w:r w:rsidRPr="001031CE">
              <w:rPr>
                <w:rFonts w:cs="Times New Roman"/>
                <w:sz w:val="20"/>
                <w:szCs w:val="20"/>
              </w:rPr>
              <w:t>illuminance</w:t>
            </w:r>
            <w:proofErr w:type="spellEnd"/>
          </w:p>
        </w:tc>
      </w:tr>
      <w:tr w:rsidR="00BF25DE" w:rsidRPr="001031CE" w:rsidTr="00051A6E">
        <w:trPr>
          <w:trHeight w:val="480"/>
          <w:jc w:val="center"/>
        </w:trPr>
        <w:tc>
          <w:tcPr>
            <w:cnfStyle w:val="001000000000"/>
            <w:tcW w:w="1809" w:type="dxa"/>
            <w:vMerge w:val="restart"/>
            <w:tcBorders>
              <w:top w:val="single" w:sz="4" w:space="0" w:color="auto"/>
              <w:left w:val="single" w:sz="4" w:space="0" w:color="auto"/>
              <w:right w:val="nil"/>
            </w:tcBorders>
            <w:vAlign w:val="center"/>
            <w:hideMark/>
          </w:tcPr>
          <w:p w:rsidR="00BF25DE" w:rsidRPr="001031CE" w:rsidRDefault="00BF25DE" w:rsidP="00051A6E">
            <w:pPr>
              <w:spacing w:line="276" w:lineRule="auto"/>
              <w:rPr>
                <w:rFonts w:cs="Times New Roman"/>
                <w:b w:val="0"/>
                <w:sz w:val="20"/>
                <w:szCs w:val="20"/>
              </w:rPr>
            </w:pPr>
            <w:r w:rsidRPr="001031CE">
              <w:rPr>
                <w:rFonts w:cs="Times New Roman"/>
                <w:b w:val="0"/>
                <w:sz w:val="20"/>
                <w:szCs w:val="20"/>
              </w:rPr>
              <w:t>Window opening/closing</w:t>
            </w:r>
          </w:p>
        </w:tc>
        <w:tc>
          <w:tcPr>
            <w:tcW w:w="2979" w:type="dxa"/>
            <w:tcBorders>
              <w:top w:val="single" w:sz="4" w:space="0" w:color="auto"/>
              <w:left w:val="nil"/>
              <w:bottom w:val="nil"/>
              <w:right w:val="nil"/>
            </w:tcBorders>
            <w:noWrap/>
            <w:vAlign w:val="center"/>
            <w:hideMark/>
          </w:tcPr>
          <w:p w:rsidR="00BF25DE" w:rsidRPr="001031CE" w:rsidRDefault="00051A6E" w:rsidP="00051A6E">
            <w:pPr>
              <w:spacing w:line="276" w:lineRule="auto"/>
              <w:cnfStyle w:val="000000000000"/>
              <w:rPr>
                <w:rFonts w:cs="Times New Roman"/>
                <w:sz w:val="20"/>
                <w:szCs w:val="20"/>
              </w:rPr>
            </w:pPr>
            <w:proofErr w:type="spellStart"/>
            <w:r>
              <w:rPr>
                <w:rFonts w:cs="Times New Roman"/>
                <w:sz w:val="20"/>
                <w:szCs w:val="20"/>
              </w:rPr>
              <w:t>Rijal</w:t>
            </w:r>
            <w:proofErr w:type="spellEnd"/>
            <w:r w:rsidR="00BF25DE" w:rsidRPr="001031CE">
              <w:rPr>
                <w:rFonts w:cs="Times New Roman"/>
                <w:sz w:val="20"/>
                <w:szCs w:val="20"/>
              </w:rPr>
              <w:t xml:space="preserve"> et al. (2008)</w:t>
            </w:r>
          </w:p>
        </w:tc>
        <w:tc>
          <w:tcPr>
            <w:tcW w:w="4788" w:type="dxa"/>
            <w:tcBorders>
              <w:top w:val="single" w:sz="4" w:space="0" w:color="auto"/>
              <w:left w:val="nil"/>
              <w:bottom w:val="nil"/>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Indoor temperature, (2) outdoor temperature, and (3) occupancy period</w:t>
            </w:r>
          </w:p>
        </w:tc>
      </w:tr>
      <w:tr w:rsidR="00BF25DE" w:rsidRPr="001031CE" w:rsidTr="00051A6E">
        <w:trPr>
          <w:trHeight w:val="420"/>
          <w:jc w:val="center"/>
        </w:trPr>
        <w:tc>
          <w:tcPr>
            <w:cnfStyle w:val="001000000000"/>
            <w:tcW w:w="1809" w:type="dxa"/>
            <w:vMerge/>
            <w:tcBorders>
              <w:left w:val="single" w:sz="4" w:space="0" w:color="auto"/>
              <w:right w:val="nil"/>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left w:val="nil"/>
              <w:bottom w:val="nil"/>
              <w:right w:val="nil"/>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Haldi</w:t>
            </w:r>
            <w:proofErr w:type="spellEnd"/>
            <w:r w:rsidRPr="001031CE">
              <w:rPr>
                <w:rFonts w:cs="Times New Roman"/>
                <w:sz w:val="20"/>
                <w:szCs w:val="20"/>
              </w:rPr>
              <w:t xml:space="preserve"> and Robinson (2008)</w:t>
            </w:r>
          </w:p>
        </w:tc>
        <w:tc>
          <w:tcPr>
            <w:tcW w:w="4788" w:type="dxa"/>
            <w:tcBorders>
              <w:top w:val="nil"/>
              <w:left w:val="nil"/>
              <w:bottom w:val="nil"/>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Indoor temperature, (2) outdoor temperature</w:t>
            </w:r>
          </w:p>
        </w:tc>
      </w:tr>
      <w:tr w:rsidR="00BF25DE" w:rsidRPr="001031CE" w:rsidTr="00051A6E">
        <w:trPr>
          <w:trHeight w:val="420"/>
          <w:jc w:val="center"/>
        </w:trPr>
        <w:tc>
          <w:tcPr>
            <w:cnfStyle w:val="001000000000"/>
            <w:tcW w:w="1809" w:type="dxa"/>
            <w:vMerge/>
            <w:tcBorders>
              <w:left w:val="single" w:sz="4" w:space="0" w:color="auto"/>
              <w:right w:val="nil"/>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left w:val="nil"/>
              <w:bottom w:val="nil"/>
              <w:right w:val="nil"/>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Haldi</w:t>
            </w:r>
            <w:proofErr w:type="spellEnd"/>
            <w:r w:rsidRPr="001031CE">
              <w:rPr>
                <w:rFonts w:cs="Times New Roman"/>
                <w:sz w:val="20"/>
                <w:szCs w:val="20"/>
              </w:rPr>
              <w:t xml:space="preserve"> and Robinson (2009)</w:t>
            </w:r>
          </w:p>
        </w:tc>
        <w:tc>
          <w:tcPr>
            <w:tcW w:w="4788" w:type="dxa"/>
            <w:tcBorders>
              <w:top w:val="nil"/>
              <w:left w:val="nil"/>
              <w:bottom w:val="nil"/>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Indoor temperature, (2) outdoor temperature, (3) occupancy period, and (4) rain</w:t>
            </w:r>
          </w:p>
        </w:tc>
      </w:tr>
      <w:tr w:rsidR="00BF25DE" w:rsidRPr="001031CE" w:rsidTr="00051A6E">
        <w:trPr>
          <w:trHeight w:val="420"/>
          <w:jc w:val="center"/>
        </w:trPr>
        <w:tc>
          <w:tcPr>
            <w:cnfStyle w:val="001000000000"/>
            <w:tcW w:w="1809" w:type="dxa"/>
            <w:vMerge/>
            <w:tcBorders>
              <w:left w:val="single" w:sz="4" w:space="0" w:color="auto"/>
              <w:bottom w:val="single" w:sz="4" w:space="0" w:color="auto"/>
              <w:right w:val="nil"/>
            </w:tcBorders>
            <w:vAlign w:val="center"/>
            <w:hideMark/>
          </w:tcPr>
          <w:p w:rsidR="00BF25DE" w:rsidRPr="001031CE" w:rsidRDefault="00BF25DE" w:rsidP="00051A6E">
            <w:pPr>
              <w:spacing w:line="276" w:lineRule="auto"/>
              <w:rPr>
                <w:rFonts w:cs="Times New Roman"/>
                <w:b w:val="0"/>
                <w:sz w:val="20"/>
                <w:szCs w:val="20"/>
              </w:rPr>
            </w:pPr>
          </w:p>
        </w:tc>
        <w:tc>
          <w:tcPr>
            <w:tcW w:w="2979" w:type="dxa"/>
            <w:tcBorders>
              <w:top w:val="nil"/>
              <w:left w:val="nil"/>
              <w:bottom w:val="single" w:sz="4" w:space="0" w:color="auto"/>
              <w:right w:val="nil"/>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Yun</w:t>
            </w:r>
            <w:proofErr w:type="spellEnd"/>
            <w:r w:rsidRPr="001031CE">
              <w:rPr>
                <w:rFonts w:cs="Times New Roman"/>
                <w:sz w:val="20"/>
                <w:szCs w:val="20"/>
              </w:rPr>
              <w:t xml:space="preserve"> and </w:t>
            </w:r>
            <w:proofErr w:type="spellStart"/>
            <w:r w:rsidRPr="001031CE">
              <w:rPr>
                <w:rFonts w:cs="Times New Roman"/>
                <w:sz w:val="20"/>
                <w:szCs w:val="20"/>
              </w:rPr>
              <w:t>Steemers</w:t>
            </w:r>
            <w:proofErr w:type="spellEnd"/>
            <w:r w:rsidRPr="001031CE">
              <w:rPr>
                <w:rFonts w:cs="Times New Roman"/>
                <w:sz w:val="20"/>
                <w:szCs w:val="20"/>
              </w:rPr>
              <w:t xml:space="preserve"> (2008)</w:t>
            </w:r>
          </w:p>
        </w:tc>
        <w:tc>
          <w:tcPr>
            <w:tcW w:w="4788" w:type="dxa"/>
            <w:tcBorders>
              <w:top w:val="nil"/>
              <w:left w:val="nil"/>
              <w:bottom w:val="single" w:sz="4" w:space="0" w:color="auto"/>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Indoor temperature, (2) outdoor temperature, and (3) occupancy period</w:t>
            </w:r>
          </w:p>
        </w:tc>
      </w:tr>
      <w:tr w:rsidR="00BF25DE" w:rsidRPr="001031CE" w:rsidTr="00051A6E">
        <w:trPr>
          <w:trHeight w:val="420"/>
          <w:jc w:val="center"/>
        </w:trPr>
        <w:tc>
          <w:tcPr>
            <w:cnfStyle w:val="001000000000"/>
            <w:tcW w:w="1809" w:type="dxa"/>
            <w:tcBorders>
              <w:top w:val="single" w:sz="4" w:space="0" w:color="auto"/>
              <w:left w:val="single" w:sz="4" w:space="0" w:color="auto"/>
              <w:bottom w:val="single" w:sz="4" w:space="0" w:color="auto"/>
            </w:tcBorders>
            <w:vAlign w:val="center"/>
            <w:hideMark/>
          </w:tcPr>
          <w:p w:rsidR="00BF25DE" w:rsidRPr="001031CE" w:rsidRDefault="00BF25DE" w:rsidP="00051A6E">
            <w:pPr>
              <w:spacing w:line="276" w:lineRule="auto"/>
              <w:rPr>
                <w:rFonts w:cs="Times New Roman"/>
                <w:b w:val="0"/>
                <w:sz w:val="20"/>
                <w:szCs w:val="20"/>
              </w:rPr>
            </w:pPr>
            <w:r w:rsidRPr="001031CE">
              <w:rPr>
                <w:rFonts w:cs="Times New Roman"/>
                <w:b w:val="0"/>
                <w:sz w:val="20"/>
                <w:szCs w:val="20"/>
              </w:rPr>
              <w:t>Clothing</w:t>
            </w:r>
          </w:p>
        </w:tc>
        <w:tc>
          <w:tcPr>
            <w:tcW w:w="2979" w:type="dxa"/>
            <w:tcBorders>
              <w:top w:val="single" w:sz="4" w:space="0" w:color="auto"/>
              <w:bottom w:val="single" w:sz="4" w:space="0" w:color="auto"/>
            </w:tcBorders>
            <w:vAlign w:val="center"/>
            <w:hideMark/>
          </w:tcPr>
          <w:p w:rsidR="00BF25DE" w:rsidRPr="001031CE" w:rsidRDefault="00BF25DE" w:rsidP="00051A6E">
            <w:pPr>
              <w:spacing w:line="276" w:lineRule="auto"/>
              <w:cnfStyle w:val="000000000000"/>
              <w:rPr>
                <w:rFonts w:cs="Times New Roman"/>
                <w:sz w:val="20"/>
                <w:szCs w:val="20"/>
              </w:rPr>
            </w:pPr>
            <w:proofErr w:type="spellStart"/>
            <w:r w:rsidRPr="001031CE">
              <w:rPr>
                <w:rFonts w:cs="Times New Roman"/>
                <w:sz w:val="20"/>
                <w:szCs w:val="20"/>
              </w:rPr>
              <w:t>Schiavon</w:t>
            </w:r>
            <w:proofErr w:type="spellEnd"/>
            <w:r w:rsidRPr="001031CE">
              <w:rPr>
                <w:rFonts w:cs="Times New Roman"/>
                <w:sz w:val="20"/>
                <w:szCs w:val="20"/>
              </w:rPr>
              <w:t xml:space="preserve"> and Lee (2013)</w:t>
            </w:r>
          </w:p>
        </w:tc>
        <w:tc>
          <w:tcPr>
            <w:tcW w:w="4788" w:type="dxa"/>
            <w:tcBorders>
              <w:top w:val="single" w:sz="4" w:space="0" w:color="auto"/>
              <w:bottom w:val="single" w:sz="4" w:space="0" w:color="auto"/>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Outdoor temperature in the morning and (2) operative temperature</w:t>
            </w:r>
          </w:p>
        </w:tc>
      </w:tr>
      <w:tr w:rsidR="00BF25DE" w:rsidRPr="001031CE" w:rsidTr="00051A6E">
        <w:trPr>
          <w:trHeight w:val="420"/>
          <w:jc w:val="center"/>
        </w:trPr>
        <w:tc>
          <w:tcPr>
            <w:cnfStyle w:val="001000000000"/>
            <w:tcW w:w="1809" w:type="dxa"/>
            <w:vMerge w:val="restart"/>
            <w:tcBorders>
              <w:top w:val="single" w:sz="4" w:space="0" w:color="auto"/>
              <w:left w:val="single" w:sz="4" w:space="0" w:color="auto"/>
            </w:tcBorders>
            <w:vAlign w:val="center"/>
            <w:hideMark/>
          </w:tcPr>
          <w:p w:rsidR="00BF25DE" w:rsidRPr="001031CE" w:rsidRDefault="00BF25DE" w:rsidP="00051A6E">
            <w:pPr>
              <w:spacing w:line="276" w:lineRule="auto"/>
              <w:rPr>
                <w:rFonts w:cs="Times New Roman"/>
                <w:b w:val="0"/>
                <w:sz w:val="20"/>
                <w:szCs w:val="20"/>
              </w:rPr>
            </w:pPr>
            <w:r w:rsidRPr="001031CE">
              <w:rPr>
                <w:rFonts w:cs="Times New Roman"/>
                <w:b w:val="0"/>
                <w:sz w:val="20"/>
                <w:szCs w:val="20"/>
              </w:rPr>
              <w:t>Presence</w:t>
            </w:r>
          </w:p>
        </w:tc>
        <w:tc>
          <w:tcPr>
            <w:tcW w:w="2979" w:type="dxa"/>
            <w:tcBorders>
              <w:top w:val="single" w:sz="4" w:space="0" w:color="auto"/>
              <w:bottom w:val="nil"/>
            </w:tcBorders>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Reinhart (2004)</w:t>
            </w:r>
          </w:p>
        </w:tc>
        <w:tc>
          <w:tcPr>
            <w:tcW w:w="4788" w:type="dxa"/>
            <w:tcBorders>
              <w:top w:val="single" w:sz="4" w:space="0" w:color="auto"/>
              <w:bottom w:val="nil"/>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Normally distributed event times for arrival, coffee and lunch breaks, and departure and (2) Deterministic vacancy periods</w:t>
            </w:r>
          </w:p>
        </w:tc>
      </w:tr>
      <w:tr w:rsidR="00BF25DE" w:rsidRPr="001031CE" w:rsidTr="00051A6E">
        <w:trPr>
          <w:trHeight w:val="495"/>
          <w:jc w:val="center"/>
        </w:trPr>
        <w:tc>
          <w:tcPr>
            <w:cnfStyle w:val="001000000000"/>
            <w:tcW w:w="1809" w:type="dxa"/>
            <w:vMerge/>
            <w:tcBorders>
              <w:left w:val="single" w:sz="4" w:space="0" w:color="auto"/>
            </w:tcBorders>
            <w:noWrap/>
            <w:vAlign w:val="center"/>
            <w:hideMark/>
          </w:tcPr>
          <w:p w:rsidR="00BF25DE" w:rsidRPr="001031CE" w:rsidRDefault="00BF25DE" w:rsidP="00051A6E">
            <w:pPr>
              <w:spacing w:line="276" w:lineRule="auto"/>
              <w:rPr>
                <w:rFonts w:cs="Times New Roman"/>
                <w:sz w:val="20"/>
                <w:szCs w:val="20"/>
              </w:rPr>
            </w:pPr>
          </w:p>
        </w:tc>
        <w:tc>
          <w:tcPr>
            <w:tcW w:w="2979" w:type="dxa"/>
            <w:tcBorders>
              <w:top w:val="nil"/>
              <w:bottom w:val="nil"/>
            </w:tcBorders>
            <w:noWrap/>
            <w:vAlign w:val="center"/>
            <w:hideMark/>
          </w:tcPr>
          <w:p w:rsidR="00BF25DE" w:rsidRPr="001031CE" w:rsidRDefault="00051A6E" w:rsidP="00051A6E">
            <w:pPr>
              <w:spacing w:line="276" w:lineRule="auto"/>
              <w:cnfStyle w:val="000000000000"/>
              <w:rPr>
                <w:rFonts w:cs="Times New Roman"/>
                <w:sz w:val="20"/>
                <w:szCs w:val="20"/>
              </w:rPr>
            </w:pPr>
            <w:r>
              <w:rPr>
                <w:rFonts w:cs="Times New Roman"/>
                <w:sz w:val="20"/>
                <w:szCs w:val="20"/>
              </w:rPr>
              <w:t>Wang</w:t>
            </w:r>
            <w:r w:rsidR="00BF25DE" w:rsidRPr="001031CE">
              <w:rPr>
                <w:rFonts w:cs="Times New Roman"/>
                <w:sz w:val="20"/>
                <w:szCs w:val="20"/>
              </w:rPr>
              <w:t xml:space="preserve"> et al. (2005)</w:t>
            </w:r>
          </w:p>
        </w:tc>
        <w:tc>
          <w:tcPr>
            <w:tcW w:w="4788" w:type="dxa"/>
            <w:tcBorders>
              <w:top w:val="nil"/>
              <w:bottom w:val="nil"/>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Normally distributed event times for arrival, coffee and lunch breaks, and departure and (2) Exponentially distributed vacancy periods</w:t>
            </w:r>
          </w:p>
        </w:tc>
      </w:tr>
      <w:tr w:rsidR="00BF25DE" w:rsidRPr="001031CE" w:rsidTr="00051A6E">
        <w:trPr>
          <w:trHeight w:val="495"/>
          <w:jc w:val="center"/>
        </w:trPr>
        <w:tc>
          <w:tcPr>
            <w:cnfStyle w:val="001000000000"/>
            <w:tcW w:w="1809" w:type="dxa"/>
            <w:vMerge/>
            <w:tcBorders>
              <w:left w:val="single" w:sz="4" w:space="0" w:color="auto"/>
              <w:bottom w:val="single" w:sz="4" w:space="0" w:color="auto"/>
            </w:tcBorders>
            <w:noWrap/>
            <w:vAlign w:val="center"/>
            <w:hideMark/>
          </w:tcPr>
          <w:p w:rsidR="00BF25DE" w:rsidRPr="001031CE" w:rsidRDefault="00BF25DE" w:rsidP="00051A6E">
            <w:pPr>
              <w:spacing w:line="276" w:lineRule="auto"/>
              <w:rPr>
                <w:rFonts w:cs="Times New Roman"/>
                <w:sz w:val="20"/>
                <w:szCs w:val="20"/>
              </w:rPr>
            </w:pPr>
          </w:p>
        </w:tc>
        <w:tc>
          <w:tcPr>
            <w:tcW w:w="2979" w:type="dxa"/>
            <w:tcBorders>
              <w:top w:val="nil"/>
              <w:bottom w:val="single" w:sz="4" w:space="0" w:color="auto"/>
            </w:tcBorders>
            <w:noWrap/>
            <w:vAlign w:val="center"/>
            <w:hideMark/>
          </w:tcPr>
          <w:p w:rsidR="00BF25DE" w:rsidRPr="001031CE" w:rsidRDefault="00051A6E" w:rsidP="00051A6E">
            <w:pPr>
              <w:spacing w:line="276" w:lineRule="auto"/>
              <w:cnfStyle w:val="000000000000"/>
              <w:rPr>
                <w:rFonts w:cs="Times New Roman"/>
                <w:sz w:val="20"/>
                <w:szCs w:val="20"/>
              </w:rPr>
            </w:pPr>
            <w:r>
              <w:rPr>
                <w:rFonts w:cs="Times New Roman"/>
                <w:sz w:val="20"/>
                <w:szCs w:val="20"/>
              </w:rPr>
              <w:t>Page</w:t>
            </w:r>
            <w:r w:rsidR="00BF25DE" w:rsidRPr="001031CE">
              <w:rPr>
                <w:rFonts w:cs="Times New Roman"/>
                <w:sz w:val="20"/>
                <w:szCs w:val="20"/>
              </w:rPr>
              <w:t xml:space="preserve"> et al. (2008)</w:t>
            </w:r>
          </w:p>
        </w:tc>
        <w:tc>
          <w:tcPr>
            <w:tcW w:w="4788" w:type="dxa"/>
            <w:tcBorders>
              <w:top w:val="nil"/>
              <w:bottom w:val="single" w:sz="4" w:space="0" w:color="auto"/>
              <w:right w:val="single" w:sz="4" w:space="0" w:color="auto"/>
            </w:tcBorders>
            <w:noWrap/>
            <w:vAlign w:val="center"/>
            <w:hideMark/>
          </w:tcPr>
          <w:p w:rsidR="00BF25DE" w:rsidRPr="001031CE" w:rsidRDefault="00BF25DE" w:rsidP="00051A6E">
            <w:pPr>
              <w:spacing w:line="276" w:lineRule="auto"/>
              <w:cnfStyle w:val="000000000000"/>
              <w:rPr>
                <w:rFonts w:cs="Times New Roman"/>
                <w:sz w:val="20"/>
                <w:szCs w:val="20"/>
              </w:rPr>
            </w:pPr>
            <w:r w:rsidRPr="001031CE">
              <w:rPr>
                <w:rFonts w:cs="Times New Roman"/>
                <w:sz w:val="20"/>
                <w:szCs w:val="20"/>
              </w:rPr>
              <w:t>(1) The profile of probability of presence during a week and (2) the parameter of mobility</w:t>
            </w:r>
          </w:p>
        </w:tc>
      </w:tr>
    </w:tbl>
    <w:p w:rsidR="00BF25DE" w:rsidRDefault="00BF25DE" w:rsidP="00051A6E">
      <w:pPr>
        <w:spacing w:before="240" w:after="0" w:line="360" w:lineRule="auto"/>
        <w:jc w:val="both"/>
        <w:rPr>
          <w:rFonts w:cs="Times New Roman"/>
          <w:szCs w:val="24"/>
        </w:rPr>
      </w:pPr>
      <w:r w:rsidRPr="007116D6">
        <w:rPr>
          <w:rFonts w:cs="Times New Roman"/>
          <w:szCs w:val="24"/>
        </w:rPr>
        <w:t xml:space="preserve">The light switch-on model developed by </w:t>
      </w:r>
      <w:r>
        <w:rPr>
          <w:rFonts w:cs="Times New Roman"/>
          <w:noProof/>
          <w:szCs w:val="24"/>
        </w:rPr>
        <w:t>Hunt (1979)</w:t>
      </w:r>
      <w:r w:rsidRPr="007116D6">
        <w:rPr>
          <w:rFonts w:cs="Times New Roman"/>
          <w:szCs w:val="24"/>
        </w:rPr>
        <w:t xml:space="preserve"> </w:t>
      </w:r>
      <w:r>
        <w:rPr>
          <w:rFonts w:cs="Times New Roman"/>
          <w:szCs w:val="24"/>
        </w:rPr>
        <w:t>is</w:t>
      </w:r>
      <w:r w:rsidRPr="007116D6">
        <w:rPr>
          <w:rFonts w:cs="Times New Roman"/>
          <w:szCs w:val="24"/>
        </w:rPr>
        <w:t xml:space="preserve"> one of the earliest </w:t>
      </w:r>
      <w:r w:rsidR="003A5CC3">
        <w:rPr>
          <w:rFonts w:cs="Times New Roman"/>
          <w:szCs w:val="24"/>
        </w:rPr>
        <w:t xml:space="preserve">occupant </w:t>
      </w:r>
      <w:r w:rsidRPr="007116D6">
        <w:rPr>
          <w:rFonts w:cs="Times New Roman"/>
          <w:szCs w:val="24"/>
        </w:rPr>
        <w:t>behaviour models. It attempts to predict occupants' light switch-on action</w:t>
      </w:r>
      <w:r>
        <w:rPr>
          <w:rFonts w:cs="Times New Roman"/>
          <w:szCs w:val="24"/>
        </w:rPr>
        <w:t>s</w:t>
      </w:r>
      <w:r w:rsidRPr="007116D6">
        <w:rPr>
          <w:rFonts w:cs="Times New Roman"/>
          <w:szCs w:val="24"/>
        </w:rPr>
        <w:t xml:space="preserve"> with the </w:t>
      </w:r>
      <w:proofErr w:type="spellStart"/>
      <w:r w:rsidRPr="007116D6">
        <w:rPr>
          <w:rFonts w:cs="Times New Roman"/>
          <w:szCs w:val="24"/>
        </w:rPr>
        <w:t>workplane</w:t>
      </w:r>
      <w:proofErr w:type="spellEnd"/>
      <w:r w:rsidRPr="007116D6">
        <w:rPr>
          <w:rFonts w:cs="Times New Roman"/>
          <w:szCs w:val="24"/>
        </w:rPr>
        <w:t xml:space="preserve"> </w:t>
      </w:r>
      <w:proofErr w:type="spellStart"/>
      <w:r w:rsidRPr="007116D6">
        <w:rPr>
          <w:rFonts w:cs="Times New Roman"/>
          <w:szCs w:val="24"/>
        </w:rPr>
        <w:t>illuminance</w:t>
      </w:r>
      <w:proofErr w:type="spellEnd"/>
      <w:r w:rsidRPr="007116D6">
        <w:rPr>
          <w:rFonts w:cs="Times New Roman"/>
          <w:szCs w:val="24"/>
        </w:rPr>
        <w:t>. Light</w:t>
      </w:r>
      <w:r>
        <w:rPr>
          <w:rFonts w:cs="Times New Roman"/>
          <w:szCs w:val="24"/>
        </w:rPr>
        <w:t>s</w:t>
      </w:r>
      <w:r w:rsidRPr="007116D6">
        <w:rPr>
          <w:rFonts w:cs="Times New Roman"/>
          <w:szCs w:val="24"/>
        </w:rPr>
        <w:t xml:space="preserve">witch-2002, a more recent light switch-on model, </w:t>
      </w:r>
      <w:r>
        <w:rPr>
          <w:rFonts w:cs="Times New Roman"/>
          <w:szCs w:val="24"/>
        </w:rPr>
        <w:t xml:space="preserve">was </w:t>
      </w:r>
      <w:r w:rsidRPr="007116D6">
        <w:rPr>
          <w:rFonts w:cs="Times New Roman"/>
          <w:szCs w:val="24"/>
        </w:rPr>
        <w:t xml:space="preserve">developed by </w:t>
      </w:r>
      <w:r>
        <w:rPr>
          <w:rFonts w:cs="Times New Roman"/>
          <w:noProof/>
          <w:szCs w:val="24"/>
        </w:rPr>
        <w:t>Reinhart (2004)</w:t>
      </w:r>
      <w:r w:rsidRPr="007116D6">
        <w:rPr>
          <w:rFonts w:cs="Times New Roman"/>
          <w:szCs w:val="24"/>
        </w:rPr>
        <w:t xml:space="preserve">. It </w:t>
      </w:r>
      <w:r>
        <w:rPr>
          <w:rFonts w:cs="Times New Roman"/>
          <w:szCs w:val="24"/>
        </w:rPr>
        <w:t>also uses</w:t>
      </w:r>
      <w:r w:rsidRPr="007116D6">
        <w:rPr>
          <w:rFonts w:cs="Times New Roman"/>
          <w:szCs w:val="24"/>
        </w:rPr>
        <w:t xml:space="preserve"> </w:t>
      </w:r>
      <w:proofErr w:type="spellStart"/>
      <w:r w:rsidRPr="007116D6">
        <w:rPr>
          <w:rFonts w:cs="Times New Roman"/>
          <w:szCs w:val="24"/>
        </w:rPr>
        <w:t>workplane</w:t>
      </w:r>
      <w:proofErr w:type="spellEnd"/>
      <w:r w:rsidRPr="007116D6">
        <w:rPr>
          <w:rFonts w:cs="Times New Roman"/>
          <w:szCs w:val="24"/>
        </w:rPr>
        <w:t xml:space="preserve"> </w:t>
      </w:r>
      <w:proofErr w:type="spellStart"/>
      <w:r w:rsidRPr="007116D6">
        <w:rPr>
          <w:rFonts w:cs="Times New Roman"/>
          <w:szCs w:val="24"/>
        </w:rPr>
        <w:t>illuminance</w:t>
      </w:r>
      <w:proofErr w:type="spellEnd"/>
      <w:r w:rsidRPr="007116D6">
        <w:rPr>
          <w:rFonts w:cs="Times New Roman"/>
          <w:szCs w:val="24"/>
        </w:rPr>
        <w:t xml:space="preserve"> as the primary predictor. </w:t>
      </w:r>
      <w:r>
        <w:rPr>
          <w:rFonts w:cs="Times New Roman"/>
          <w:noProof/>
          <w:szCs w:val="24"/>
        </w:rPr>
        <w:t>Hunt (1979)</w:t>
      </w:r>
      <w:r w:rsidRPr="007116D6">
        <w:rPr>
          <w:rFonts w:cs="Times New Roman"/>
          <w:szCs w:val="24"/>
        </w:rPr>
        <w:t>'s light switch-on model, despite acknowledging</w:t>
      </w:r>
      <w:r>
        <w:rPr>
          <w:rFonts w:cs="Times New Roman"/>
          <w:szCs w:val="24"/>
        </w:rPr>
        <w:t xml:space="preserve"> it</w:t>
      </w:r>
      <w:r w:rsidRPr="007116D6">
        <w:rPr>
          <w:rFonts w:cs="Times New Roman"/>
          <w:szCs w:val="24"/>
        </w:rPr>
        <w:t xml:space="preserve">, does not incorporate the differences in occupants' light switch-on behaviour during different occupancy periods, whereas </w:t>
      </w:r>
      <w:r>
        <w:rPr>
          <w:rFonts w:cs="Times New Roman"/>
          <w:noProof/>
          <w:szCs w:val="24"/>
        </w:rPr>
        <w:t>Reinhart (2004)</w:t>
      </w:r>
      <w:r w:rsidRPr="007116D6">
        <w:rPr>
          <w:rFonts w:cs="Times New Roman"/>
          <w:szCs w:val="24"/>
        </w:rPr>
        <w:t xml:space="preserve">'s light switch-on model incorporates this effect. In </w:t>
      </w:r>
      <w:r>
        <w:rPr>
          <w:rFonts w:cs="Times New Roman"/>
          <w:noProof/>
          <w:szCs w:val="24"/>
        </w:rPr>
        <w:t>Reinhart (2004)</w:t>
      </w:r>
      <w:r w:rsidRPr="007116D6">
        <w:rPr>
          <w:rFonts w:cs="Times New Roman"/>
          <w:szCs w:val="24"/>
        </w:rPr>
        <w:t xml:space="preserve">'s model, occupants tend to switch on their lights at </w:t>
      </w:r>
      <w:r w:rsidRPr="007116D6">
        <w:rPr>
          <w:rFonts w:cs="Times New Roman"/>
          <w:szCs w:val="24"/>
        </w:rPr>
        <w:lastRenderedPageBreak/>
        <w:t xml:space="preserve">arrival rather than during intermediate occupancy period. </w:t>
      </w:r>
      <w:r>
        <w:rPr>
          <w:rFonts w:cs="Times New Roman"/>
          <w:szCs w:val="24"/>
        </w:rPr>
        <w:t xml:space="preserve">This can be attributed to the fact that the stimulus gradient (from outdoors to indoors) is much higher at arrival and it is easier to access the controls at arrival (while the occupant is still standing). </w:t>
      </w:r>
      <w:r w:rsidRPr="007116D6">
        <w:rPr>
          <w:rFonts w:cs="Times New Roman"/>
          <w:szCs w:val="24"/>
        </w:rPr>
        <w:t xml:space="preserve">In </w:t>
      </w:r>
      <w:r>
        <w:rPr>
          <w:rFonts w:cs="Times New Roman"/>
          <w:noProof/>
          <w:szCs w:val="24"/>
        </w:rPr>
        <w:t>Reinhart (2004)</w:t>
      </w:r>
      <w:r w:rsidRPr="007116D6">
        <w:rPr>
          <w:rFonts w:cs="Times New Roman"/>
          <w:szCs w:val="24"/>
        </w:rPr>
        <w:t xml:space="preserve">, </w:t>
      </w:r>
      <w:r>
        <w:rPr>
          <w:rFonts w:cs="Times New Roman"/>
          <w:szCs w:val="24"/>
        </w:rPr>
        <w:t xml:space="preserve">occupants are assumed to </w:t>
      </w:r>
      <w:r w:rsidRPr="007116D6">
        <w:rPr>
          <w:rFonts w:cs="Times New Roman"/>
          <w:szCs w:val="24"/>
        </w:rPr>
        <w:t>switch off lights at departure</w:t>
      </w:r>
      <w:r w:rsidR="003A5CC3" w:rsidRPr="003A5CC3">
        <w:rPr>
          <w:rFonts w:cs="Times New Roman"/>
          <w:szCs w:val="24"/>
        </w:rPr>
        <w:t xml:space="preserve"> </w:t>
      </w:r>
      <w:r w:rsidR="003A5CC3">
        <w:rPr>
          <w:rFonts w:cs="Times New Roman"/>
          <w:szCs w:val="24"/>
        </w:rPr>
        <w:t>only</w:t>
      </w:r>
      <w:r w:rsidRPr="007116D6">
        <w:rPr>
          <w:rFonts w:cs="Times New Roman"/>
          <w:szCs w:val="24"/>
        </w:rPr>
        <w:t xml:space="preserve">. This implies that </w:t>
      </w:r>
      <w:r>
        <w:rPr>
          <w:rFonts w:cs="Times New Roman"/>
          <w:szCs w:val="24"/>
        </w:rPr>
        <w:t>simulated</w:t>
      </w:r>
      <w:r w:rsidR="003A5CC3">
        <w:rPr>
          <w:rFonts w:cs="Times New Roman"/>
          <w:szCs w:val="24"/>
        </w:rPr>
        <w:t xml:space="preserve"> </w:t>
      </w:r>
      <w:r>
        <w:rPr>
          <w:rFonts w:cs="Times New Roman"/>
          <w:szCs w:val="24"/>
        </w:rPr>
        <w:t>occupant</w:t>
      </w:r>
      <w:r w:rsidRPr="007116D6">
        <w:rPr>
          <w:rFonts w:cs="Times New Roman"/>
          <w:szCs w:val="24"/>
        </w:rPr>
        <w:t xml:space="preserve">s </w:t>
      </w:r>
      <w:r>
        <w:rPr>
          <w:rFonts w:cs="Times New Roman"/>
          <w:szCs w:val="24"/>
        </w:rPr>
        <w:t>are not modelled to switch off their lights during</w:t>
      </w:r>
      <w:r w:rsidRPr="007116D6">
        <w:rPr>
          <w:rFonts w:cs="Times New Roman"/>
          <w:szCs w:val="24"/>
        </w:rPr>
        <w:t xml:space="preserve"> intermediate occupancy, even when daylight </w:t>
      </w:r>
      <w:r>
        <w:rPr>
          <w:rFonts w:cs="Times New Roman"/>
          <w:szCs w:val="24"/>
        </w:rPr>
        <w:t>is</w:t>
      </w:r>
      <w:r w:rsidRPr="007116D6">
        <w:rPr>
          <w:rFonts w:cs="Times New Roman"/>
          <w:szCs w:val="24"/>
        </w:rPr>
        <w:t xml:space="preserve"> sufficient. </w:t>
      </w:r>
      <w:r>
        <w:rPr>
          <w:rFonts w:cs="Times New Roman"/>
          <w:szCs w:val="24"/>
        </w:rPr>
        <w:t>L</w:t>
      </w:r>
      <w:r w:rsidRPr="007116D6">
        <w:rPr>
          <w:rFonts w:cs="Times New Roman"/>
          <w:szCs w:val="24"/>
        </w:rPr>
        <w:t xml:space="preserve">ight switch-off behaviour prior to a departure </w:t>
      </w:r>
      <w:r>
        <w:rPr>
          <w:rFonts w:cs="Times New Roman"/>
          <w:szCs w:val="24"/>
        </w:rPr>
        <w:t>is</w:t>
      </w:r>
      <w:r w:rsidRPr="007116D6">
        <w:rPr>
          <w:rFonts w:cs="Times New Roman"/>
          <w:szCs w:val="24"/>
        </w:rPr>
        <w:t xml:space="preserve"> predicted by the duration of absence followed by </w:t>
      </w:r>
      <w:r>
        <w:rPr>
          <w:rFonts w:cs="Times New Roman"/>
          <w:szCs w:val="24"/>
        </w:rPr>
        <w:t xml:space="preserve">the </w:t>
      </w:r>
      <w:r w:rsidRPr="007116D6">
        <w:rPr>
          <w:rFonts w:cs="Times New Roman"/>
          <w:szCs w:val="24"/>
        </w:rPr>
        <w:t xml:space="preserve">departure. On the contrary, in </w:t>
      </w:r>
      <w:r w:rsidR="00051A6E">
        <w:rPr>
          <w:rFonts w:cs="Times New Roman"/>
          <w:noProof/>
          <w:szCs w:val="24"/>
        </w:rPr>
        <w:t xml:space="preserve">Boyce </w:t>
      </w:r>
      <w:r>
        <w:rPr>
          <w:rFonts w:cs="Times New Roman"/>
          <w:noProof/>
          <w:szCs w:val="24"/>
        </w:rPr>
        <w:t>et al. (2006)</w:t>
      </w:r>
      <w:r w:rsidRPr="007116D6">
        <w:rPr>
          <w:rFonts w:cs="Times New Roman"/>
          <w:szCs w:val="24"/>
        </w:rPr>
        <w:t xml:space="preserve"> light switch-off behaviour of occupants is predicted with the </w:t>
      </w:r>
      <w:proofErr w:type="spellStart"/>
      <w:r w:rsidRPr="007116D6">
        <w:rPr>
          <w:rFonts w:cs="Times New Roman"/>
          <w:szCs w:val="24"/>
        </w:rPr>
        <w:t>workplane</w:t>
      </w:r>
      <w:proofErr w:type="spellEnd"/>
      <w:r w:rsidRPr="007116D6">
        <w:rPr>
          <w:rFonts w:cs="Times New Roman"/>
          <w:szCs w:val="24"/>
        </w:rPr>
        <w:t xml:space="preserve"> </w:t>
      </w:r>
      <w:proofErr w:type="spellStart"/>
      <w:r w:rsidRPr="007116D6">
        <w:rPr>
          <w:rFonts w:cs="Times New Roman"/>
          <w:szCs w:val="24"/>
        </w:rPr>
        <w:t>illuminance</w:t>
      </w:r>
      <w:proofErr w:type="spellEnd"/>
      <w:r w:rsidRPr="007116D6">
        <w:rPr>
          <w:rFonts w:cs="Times New Roman"/>
          <w:szCs w:val="24"/>
        </w:rPr>
        <w:t xml:space="preserve">. This implies that the occupants are modelled to be more </w:t>
      </w:r>
      <w:r>
        <w:rPr>
          <w:rFonts w:cs="Times New Roman"/>
          <w:szCs w:val="24"/>
        </w:rPr>
        <w:t>responsive</w:t>
      </w:r>
      <w:r w:rsidRPr="007116D6">
        <w:rPr>
          <w:rFonts w:cs="Times New Roman"/>
          <w:szCs w:val="24"/>
        </w:rPr>
        <w:t xml:space="preserve"> to </w:t>
      </w:r>
      <w:r>
        <w:rPr>
          <w:rFonts w:cs="Times New Roman"/>
          <w:szCs w:val="24"/>
        </w:rPr>
        <w:t xml:space="preserve">the availability of </w:t>
      </w:r>
      <w:r w:rsidRPr="007116D6">
        <w:rPr>
          <w:rFonts w:cs="Times New Roman"/>
          <w:szCs w:val="24"/>
        </w:rPr>
        <w:t xml:space="preserve">daylight. Therefore, the modelling approaches for light switch-off by </w:t>
      </w:r>
      <w:r>
        <w:rPr>
          <w:rFonts w:cs="Times New Roman"/>
          <w:noProof/>
          <w:szCs w:val="24"/>
        </w:rPr>
        <w:t>Reinhart (2004)</w:t>
      </w:r>
      <w:r w:rsidRPr="007116D6">
        <w:rPr>
          <w:rFonts w:cs="Times New Roman"/>
          <w:szCs w:val="24"/>
        </w:rPr>
        <w:t xml:space="preserve"> and </w:t>
      </w:r>
      <w:r w:rsidR="00051A6E">
        <w:rPr>
          <w:rFonts w:cs="Times New Roman"/>
          <w:noProof/>
          <w:szCs w:val="24"/>
        </w:rPr>
        <w:t>Boyce</w:t>
      </w:r>
      <w:r>
        <w:rPr>
          <w:rFonts w:cs="Times New Roman"/>
          <w:noProof/>
          <w:szCs w:val="24"/>
        </w:rPr>
        <w:t xml:space="preserve"> et al. (2006)</w:t>
      </w:r>
      <w:r w:rsidRPr="007116D6">
        <w:rPr>
          <w:rFonts w:cs="Times New Roman"/>
          <w:szCs w:val="24"/>
        </w:rPr>
        <w:t xml:space="preserve"> portray office occupants at two different extremities: </w:t>
      </w:r>
      <w:r w:rsidR="005F3521" w:rsidRPr="007116D6">
        <w:rPr>
          <w:rFonts w:cs="Times New Roman"/>
          <w:szCs w:val="24"/>
        </w:rPr>
        <w:t xml:space="preserve">daylight unconscious </w:t>
      </w:r>
      <w:r w:rsidR="005F3521">
        <w:rPr>
          <w:rFonts w:cs="Times New Roman"/>
          <w:szCs w:val="24"/>
        </w:rPr>
        <w:t xml:space="preserve">and </w:t>
      </w:r>
      <w:r w:rsidRPr="007116D6">
        <w:rPr>
          <w:rFonts w:cs="Times New Roman"/>
          <w:szCs w:val="24"/>
        </w:rPr>
        <w:t xml:space="preserve">daylight </w:t>
      </w:r>
      <w:r>
        <w:rPr>
          <w:rFonts w:cs="Times New Roman"/>
          <w:szCs w:val="24"/>
        </w:rPr>
        <w:t>responsive</w:t>
      </w:r>
      <w:r w:rsidR="00607565">
        <w:rPr>
          <w:rFonts w:cs="Times New Roman"/>
          <w:szCs w:val="24"/>
        </w:rPr>
        <w:t>, respectively</w:t>
      </w:r>
      <w:r w:rsidRPr="007116D6">
        <w:rPr>
          <w:rFonts w:cs="Times New Roman"/>
          <w:szCs w:val="24"/>
        </w:rPr>
        <w:t>.</w:t>
      </w:r>
    </w:p>
    <w:p w:rsidR="00BF25DE" w:rsidRDefault="00BF25DE" w:rsidP="00051A6E">
      <w:pPr>
        <w:spacing w:after="0" w:line="360" w:lineRule="auto"/>
        <w:jc w:val="both"/>
        <w:rPr>
          <w:rFonts w:cs="Times New Roman"/>
          <w:szCs w:val="24"/>
        </w:rPr>
      </w:pPr>
      <w:r>
        <w:rPr>
          <w:rFonts w:cs="Times New Roman"/>
          <w:szCs w:val="24"/>
        </w:rPr>
        <w:t xml:space="preserve">In </w:t>
      </w:r>
      <w:r>
        <w:rPr>
          <w:rFonts w:cs="Times New Roman"/>
          <w:noProof/>
          <w:szCs w:val="24"/>
        </w:rPr>
        <w:t>Newsham (1994)</w:t>
      </w:r>
      <w:r>
        <w:rPr>
          <w:rFonts w:cs="Times New Roman"/>
          <w:szCs w:val="24"/>
        </w:rPr>
        <w:t xml:space="preserve">’s </w:t>
      </w:r>
      <w:r w:rsidRPr="007116D6">
        <w:rPr>
          <w:rFonts w:cs="Times New Roman"/>
          <w:szCs w:val="24"/>
        </w:rPr>
        <w:t xml:space="preserve">blinds </w:t>
      </w:r>
      <w:r>
        <w:rPr>
          <w:rFonts w:cs="Times New Roman"/>
          <w:szCs w:val="24"/>
        </w:rPr>
        <w:t xml:space="preserve">use model which was developed upon the data collected by </w:t>
      </w:r>
      <w:r>
        <w:rPr>
          <w:rFonts w:cs="Times New Roman"/>
          <w:noProof/>
          <w:szCs w:val="24"/>
        </w:rPr>
        <w:t>Inoue (1988)</w:t>
      </w:r>
      <w:r>
        <w:rPr>
          <w:rFonts w:cs="Times New Roman"/>
          <w:szCs w:val="24"/>
        </w:rPr>
        <w:t>, the blinds closing actions</w:t>
      </w:r>
      <w:r w:rsidRPr="007116D6">
        <w:rPr>
          <w:rFonts w:cs="Times New Roman"/>
          <w:szCs w:val="24"/>
        </w:rPr>
        <w:t xml:space="preserve"> </w:t>
      </w:r>
      <w:r>
        <w:rPr>
          <w:rFonts w:cs="Times New Roman"/>
          <w:szCs w:val="24"/>
        </w:rPr>
        <w:t xml:space="preserve">are predicted </w:t>
      </w:r>
      <w:r w:rsidRPr="007116D6">
        <w:rPr>
          <w:rFonts w:cs="Times New Roman"/>
          <w:szCs w:val="24"/>
        </w:rPr>
        <w:t xml:space="preserve">with the </w:t>
      </w:r>
      <w:r>
        <w:rPr>
          <w:rFonts w:cs="Times New Roman"/>
          <w:szCs w:val="24"/>
        </w:rPr>
        <w:t xml:space="preserve">transmitted direct </w:t>
      </w:r>
      <w:r w:rsidRPr="007116D6">
        <w:rPr>
          <w:rFonts w:cs="Times New Roman"/>
          <w:szCs w:val="24"/>
        </w:rPr>
        <w:t xml:space="preserve">solar </w:t>
      </w:r>
      <w:r>
        <w:rPr>
          <w:rFonts w:cs="Times New Roman"/>
          <w:szCs w:val="24"/>
        </w:rPr>
        <w:t>irradiance;</w:t>
      </w:r>
      <w:r w:rsidRPr="007116D6">
        <w:rPr>
          <w:rFonts w:cs="Times New Roman"/>
          <w:szCs w:val="24"/>
        </w:rPr>
        <w:t xml:space="preserve"> </w:t>
      </w:r>
      <w:r>
        <w:rPr>
          <w:rFonts w:cs="Times New Roman"/>
          <w:szCs w:val="24"/>
        </w:rPr>
        <w:t>t</w:t>
      </w:r>
      <w:r w:rsidRPr="007116D6">
        <w:rPr>
          <w:rFonts w:cs="Times New Roman"/>
          <w:szCs w:val="24"/>
        </w:rPr>
        <w:t xml:space="preserve">he </w:t>
      </w:r>
      <w:r w:rsidR="003A5CC3">
        <w:rPr>
          <w:rFonts w:cs="Times New Roman"/>
          <w:szCs w:val="24"/>
        </w:rPr>
        <w:t>simulated occupant</w:t>
      </w:r>
      <w:r w:rsidRPr="007116D6">
        <w:rPr>
          <w:rFonts w:cs="Times New Roman"/>
          <w:szCs w:val="24"/>
        </w:rPr>
        <w:t xml:space="preserve">s are assumed to close their blinds </w:t>
      </w:r>
      <w:r>
        <w:rPr>
          <w:rFonts w:cs="Times New Roman"/>
          <w:szCs w:val="24"/>
        </w:rPr>
        <w:t>when it exceeds</w:t>
      </w:r>
      <w:r w:rsidRPr="007116D6">
        <w:rPr>
          <w:rFonts w:cs="Times New Roman"/>
          <w:szCs w:val="24"/>
        </w:rPr>
        <w:t xml:space="preserve"> 233 W.m</w:t>
      </w:r>
      <w:r w:rsidRPr="007116D6">
        <w:rPr>
          <w:rFonts w:cs="Times New Roman"/>
          <w:szCs w:val="24"/>
          <w:vertAlign w:val="superscript"/>
        </w:rPr>
        <w:t>-2</w:t>
      </w:r>
      <w:r w:rsidRPr="007116D6">
        <w:rPr>
          <w:rFonts w:cs="Times New Roman"/>
          <w:szCs w:val="24"/>
        </w:rPr>
        <w:t xml:space="preserve">. </w:t>
      </w:r>
      <w:r>
        <w:rPr>
          <w:rFonts w:cs="Times New Roman"/>
          <w:noProof/>
          <w:szCs w:val="24"/>
        </w:rPr>
        <w:t>Reinhart (2004)</w:t>
      </w:r>
      <w:r w:rsidRPr="007116D6">
        <w:rPr>
          <w:rFonts w:cs="Times New Roman"/>
          <w:szCs w:val="24"/>
        </w:rPr>
        <w:t xml:space="preserve"> suggests that occupants close their blinds, when the </w:t>
      </w:r>
      <w:r>
        <w:rPr>
          <w:rFonts w:cs="Times New Roman"/>
          <w:szCs w:val="24"/>
        </w:rPr>
        <w:t xml:space="preserve">direct </w:t>
      </w:r>
      <w:r w:rsidRPr="007116D6">
        <w:rPr>
          <w:rFonts w:cs="Times New Roman"/>
          <w:szCs w:val="24"/>
        </w:rPr>
        <w:t xml:space="preserve">solar </w:t>
      </w:r>
      <w:r>
        <w:rPr>
          <w:rFonts w:cs="Times New Roman"/>
          <w:szCs w:val="24"/>
        </w:rPr>
        <w:t>ir</w:t>
      </w:r>
      <w:r w:rsidRPr="007116D6">
        <w:rPr>
          <w:rFonts w:cs="Times New Roman"/>
          <w:szCs w:val="24"/>
        </w:rPr>
        <w:t>radia</w:t>
      </w:r>
      <w:r>
        <w:rPr>
          <w:rFonts w:cs="Times New Roman"/>
          <w:szCs w:val="24"/>
        </w:rPr>
        <w:t>nce</w:t>
      </w:r>
      <w:r w:rsidRPr="007116D6">
        <w:rPr>
          <w:rFonts w:cs="Times New Roman"/>
          <w:szCs w:val="24"/>
        </w:rPr>
        <w:t xml:space="preserve"> </w:t>
      </w:r>
      <w:r>
        <w:rPr>
          <w:rFonts w:cs="Times New Roman"/>
          <w:szCs w:val="24"/>
        </w:rPr>
        <w:t xml:space="preserve">on the </w:t>
      </w:r>
      <w:proofErr w:type="spellStart"/>
      <w:r>
        <w:rPr>
          <w:rFonts w:cs="Times New Roman"/>
          <w:szCs w:val="24"/>
        </w:rPr>
        <w:t>workplane</w:t>
      </w:r>
      <w:proofErr w:type="spellEnd"/>
      <w:r>
        <w:rPr>
          <w:rFonts w:cs="Times New Roman"/>
          <w:szCs w:val="24"/>
        </w:rPr>
        <w:t xml:space="preserve"> (0.8 m above the floor level) exceeds</w:t>
      </w:r>
      <w:r w:rsidRPr="007116D6">
        <w:rPr>
          <w:rFonts w:cs="Times New Roman"/>
          <w:szCs w:val="24"/>
        </w:rPr>
        <w:t xml:space="preserve"> 50 W.m</w:t>
      </w:r>
      <w:r w:rsidRPr="007116D6">
        <w:rPr>
          <w:rFonts w:cs="Times New Roman"/>
          <w:szCs w:val="24"/>
          <w:vertAlign w:val="superscript"/>
        </w:rPr>
        <w:t>-2</w:t>
      </w:r>
      <w:r w:rsidRPr="007116D6">
        <w:rPr>
          <w:rFonts w:cs="Times New Roman"/>
          <w:szCs w:val="24"/>
        </w:rPr>
        <w:t xml:space="preserve">. In </w:t>
      </w:r>
      <w:r>
        <w:rPr>
          <w:rFonts w:cs="Times New Roman"/>
          <w:noProof/>
          <w:szCs w:val="24"/>
        </w:rPr>
        <w:t>Haldi and Robinson (2010)</w:t>
      </w:r>
      <w:r w:rsidRPr="007116D6">
        <w:rPr>
          <w:rFonts w:cs="Times New Roman"/>
          <w:szCs w:val="24"/>
        </w:rPr>
        <w:t xml:space="preserve">, occupants' blinds closing action </w:t>
      </w:r>
      <w:r>
        <w:rPr>
          <w:rFonts w:cs="Times New Roman"/>
          <w:szCs w:val="24"/>
        </w:rPr>
        <w:t>is</w:t>
      </w:r>
      <w:r w:rsidRPr="007116D6">
        <w:rPr>
          <w:rFonts w:cs="Times New Roman"/>
          <w:szCs w:val="24"/>
        </w:rPr>
        <w:t xml:space="preserve"> predicted using two different multivariate models for two different occupancy periods (i.e. at arrival or during intermediate occupancy). In </w:t>
      </w:r>
      <w:r>
        <w:rPr>
          <w:rFonts w:cs="Times New Roman"/>
          <w:noProof/>
          <w:szCs w:val="24"/>
        </w:rPr>
        <w:t>Newsham (1994)</w:t>
      </w:r>
      <w:r w:rsidRPr="007116D6">
        <w:rPr>
          <w:rFonts w:cs="Times New Roman"/>
          <w:szCs w:val="24"/>
        </w:rPr>
        <w:t xml:space="preserve"> and </w:t>
      </w:r>
      <w:r>
        <w:rPr>
          <w:rFonts w:cs="Times New Roman"/>
          <w:noProof/>
          <w:szCs w:val="24"/>
        </w:rPr>
        <w:t>Reinhart (2004)</w:t>
      </w:r>
      <w:r w:rsidRPr="007116D6">
        <w:rPr>
          <w:rFonts w:cs="Times New Roman"/>
          <w:szCs w:val="24"/>
        </w:rPr>
        <w:t xml:space="preserve">, occupants </w:t>
      </w:r>
      <w:r>
        <w:rPr>
          <w:rFonts w:cs="Times New Roman"/>
          <w:szCs w:val="24"/>
        </w:rPr>
        <w:t>are</w:t>
      </w:r>
      <w:r w:rsidRPr="007116D6">
        <w:rPr>
          <w:rFonts w:cs="Times New Roman"/>
          <w:szCs w:val="24"/>
        </w:rPr>
        <w:t xml:space="preserve"> modelled to open </w:t>
      </w:r>
      <w:r>
        <w:rPr>
          <w:rFonts w:cs="Times New Roman"/>
          <w:szCs w:val="24"/>
        </w:rPr>
        <w:t xml:space="preserve">their </w:t>
      </w:r>
      <w:r w:rsidRPr="007116D6">
        <w:rPr>
          <w:rFonts w:cs="Times New Roman"/>
          <w:szCs w:val="24"/>
        </w:rPr>
        <w:t xml:space="preserve">blinds only at arrival. The multivariate models by </w:t>
      </w:r>
      <w:r>
        <w:rPr>
          <w:rFonts w:cs="Times New Roman"/>
          <w:noProof/>
          <w:szCs w:val="24"/>
        </w:rPr>
        <w:t>Haldi and Robinson (2010)</w:t>
      </w:r>
      <w:r>
        <w:rPr>
          <w:rFonts w:cs="Times New Roman"/>
          <w:szCs w:val="24"/>
        </w:rPr>
        <w:t xml:space="preserve"> permits </w:t>
      </w:r>
      <w:r w:rsidRPr="007116D6">
        <w:rPr>
          <w:rFonts w:cs="Times New Roman"/>
          <w:szCs w:val="24"/>
        </w:rPr>
        <w:t xml:space="preserve">blinds closing action at any occupied period. However, opening blinds at arrival </w:t>
      </w:r>
      <w:r>
        <w:rPr>
          <w:rFonts w:cs="Times New Roman"/>
          <w:szCs w:val="24"/>
        </w:rPr>
        <w:t xml:space="preserve">is modelled to be more likely to occur than </w:t>
      </w:r>
      <w:r w:rsidRPr="007116D6">
        <w:rPr>
          <w:rFonts w:cs="Times New Roman"/>
          <w:szCs w:val="24"/>
        </w:rPr>
        <w:t>during intermediate occupancy.</w:t>
      </w:r>
      <w:r>
        <w:rPr>
          <w:rFonts w:cs="Times New Roman"/>
          <w:szCs w:val="24"/>
        </w:rPr>
        <w:t xml:space="preserve"> Blinds in </w:t>
      </w:r>
      <w:r>
        <w:rPr>
          <w:rFonts w:cs="Times New Roman"/>
          <w:noProof/>
          <w:szCs w:val="24"/>
        </w:rPr>
        <w:t>Haldi and Robinson (2010)</w:t>
      </w:r>
      <w:r>
        <w:rPr>
          <w:rFonts w:cs="Times New Roman"/>
          <w:szCs w:val="24"/>
        </w:rPr>
        <w:t xml:space="preserve">'s model are permitted to be partially open or closed, whereas in </w:t>
      </w:r>
      <w:r>
        <w:rPr>
          <w:rFonts w:cs="Times New Roman"/>
          <w:noProof/>
          <w:szCs w:val="24"/>
        </w:rPr>
        <w:t>Newsham (1994)</w:t>
      </w:r>
      <w:r>
        <w:rPr>
          <w:rFonts w:cs="Times New Roman"/>
          <w:szCs w:val="24"/>
        </w:rPr>
        <w:t xml:space="preserve">'s and in </w:t>
      </w:r>
      <w:r>
        <w:rPr>
          <w:rFonts w:cs="Times New Roman"/>
          <w:noProof/>
          <w:szCs w:val="24"/>
        </w:rPr>
        <w:t>Reinhart (2004)</w:t>
      </w:r>
      <w:r>
        <w:rPr>
          <w:rFonts w:cs="Times New Roman"/>
          <w:szCs w:val="24"/>
        </w:rPr>
        <w:t xml:space="preserve">'s models blinds are modelled as binary components (fully open or fully closed). No statistical model was found to predict slat angle use of venetian blinds </w:t>
      </w:r>
      <w:r w:rsidR="00051A6E">
        <w:rPr>
          <w:rFonts w:cs="Times New Roman"/>
          <w:noProof/>
          <w:szCs w:val="24"/>
        </w:rPr>
        <w:t>(O'Brien</w:t>
      </w:r>
      <w:r>
        <w:rPr>
          <w:rFonts w:cs="Times New Roman"/>
          <w:noProof/>
          <w:szCs w:val="24"/>
        </w:rPr>
        <w:t xml:space="preserve"> et al. 2013)</w:t>
      </w:r>
      <w:r>
        <w:rPr>
          <w:rFonts w:cs="Times New Roman"/>
          <w:szCs w:val="24"/>
        </w:rPr>
        <w:t>.</w:t>
      </w:r>
    </w:p>
    <w:p w:rsidR="00BF25DE" w:rsidRDefault="00BF25DE" w:rsidP="00051A6E">
      <w:pPr>
        <w:spacing w:after="0" w:line="360" w:lineRule="auto"/>
        <w:jc w:val="both"/>
        <w:rPr>
          <w:rFonts w:cs="Times New Roman"/>
          <w:szCs w:val="24"/>
        </w:rPr>
      </w:pPr>
      <w:r w:rsidRPr="007116D6">
        <w:rPr>
          <w:rFonts w:cs="Times New Roman"/>
          <w:szCs w:val="24"/>
        </w:rPr>
        <w:t xml:space="preserve">In </w:t>
      </w:r>
      <w:r>
        <w:rPr>
          <w:rFonts w:cs="Times New Roman"/>
          <w:noProof/>
          <w:szCs w:val="24"/>
        </w:rPr>
        <w:t>Rijal et al. (2008)</w:t>
      </w:r>
      <w:r>
        <w:rPr>
          <w:rFonts w:cs="Times New Roman"/>
          <w:szCs w:val="24"/>
        </w:rPr>
        <w:t>,</w:t>
      </w:r>
      <w:r w:rsidRPr="007116D6">
        <w:rPr>
          <w:rFonts w:cs="Times New Roman"/>
          <w:szCs w:val="24"/>
        </w:rPr>
        <w:t xml:space="preserve"> </w:t>
      </w:r>
      <w:r>
        <w:rPr>
          <w:rFonts w:cs="Times New Roman"/>
          <w:noProof/>
          <w:szCs w:val="24"/>
        </w:rPr>
        <w:t>Haldi and Robinson (2009)</w:t>
      </w:r>
      <w:r>
        <w:rPr>
          <w:rFonts w:cs="Times New Roman"/>
          <w:szCs w:val="24"/>
        </w:rPr>
        <w:t xml:space="preserve">, </w:t>
      </w:r>
      <w:r>
        <w:rPr>
          <w:rFonts w:cs="Times New Roman"/>
          <w:noProof/>
          <w:szCs w:val="24"/>
        </w:rPr>
        <w:t>Yun and Steemers (2008)</w:t>
      </w:r>
      <w:r w:rsidRPr="007116D6">
        <w:rPr>
          <w:rFonts w:cs="Times New Roman"/>
          <w:szCs w:val="24"/>
        </w:rPr>
        <w:t xml:space="preserve">, </w:t>
      </w:r>
      <w:r>
        <w:rPr>
          <w:rFonts w:cs="Times New Roman"/>
          <w:szCs w:val="24"/>
        </w:rPr>
        <w:t xml:space="preserve">and </w:t>
      </w:r>
      <w:r>
        <w:rPr>
          <w:rFonts w:cs="Times New Roman"/>
          <w:noProof/>
          <w:szCs w:val="24"/>
        </w:rPr>
        <w:t>Haldi and Robinson (2008)</w:t>
      </w:r>
      <w:r>
        <w:rPr>
          <w:rFonts w:cs="Times New Roman"/>
          <w:szCs w:val="24"/>
        </w:rPr>
        <w:t xml:space="preserve"> </w:t>
      </w:r>
      <w:r w:rsidRPr="007116D6">
        <w:rPr>
          <w:rFonts w:cs="Times New Roman"/>
          <w:szCs w:val="24"/>
        </w:rPr>
        <w:t xml:space="preserve">occupants' window opening and closing decisions </w:t>
      </w:r>
      <w:r>
        <w:rPr>
          <w:rFonts w:cs="Times New Roman"/>
          <w:szCs w:val="24"/>
        </w:rPr>
        <w:t>are</w:t>
      </w:r>
      <w:r w:rsidRPr="007116D6">
        <w:rPr>
          <w:rFonts w:cs="Times New Roman"/>
          <w:szCs w:val="24"/>
        </w:rPr>
        <w:t xml:space="preserve"> modelled to be primarily influenced by the indoor and outdoor temperatures. Furthermore, </w:t>
      </w:r>
      <w:r>
        <w:rPr>
          <w:rFonts w:cs="Times New Roman"/>
          <w:noProof/>
          <w:szCs w:val="24"/>
        </w:rPr>
        <w:t>Haldi and Robinson (2009)</w:t>
      </w:r>
      <w:r w:rsidRPr="007116D6">
        <w:rPr>
          <w:rFonts w:cs="Times New Roman"/>
          <w:szCs w:val="24"/>
        </w:rPr>
        <w:t xml:space="preserve"> incorporated rain — as a binary state — as an influential predictor, such that if it</w:t>
      </w:r>
      <w:r>
        <w:rPr>
          <w:rFonts w:cs="Times New Roman"/>
          <w:szCs w:val="24"/>
        </w:rPr>
        <w:t xml:space="preserve"> is</w:t>
      </w:r>
      <w:r w:rsidRPr="007116D6">
        <w:rPr>
          <w:rFonts w:cs="Times New Roman"/>
          <w:szCs w:val="24"/>
        </w:rPr>
        <w:t xml:space="preserve"> rain</w:t>
      </w:r>
      <w:r>
        <w:rPr>
          <w:rFonts w:cs="Times New Roman"/>
          <w:szCs w:val="24"/>
        </w:rPr>
        <w:t xml:space="preserve">ing, the </w:t>
      </w:r>
      <w:r>
        <w:rPr>
          <w:rFonts w:cs="Times New Roman"/>
          <w:szCs w:val="24"/>
        </w:rPr>
        <w:lastRenderedPageBreak/>
        <w:t>likelihood of</w:t>
      </w:r>
      <w:r w:rsidRPr="007116D6">
        <w:rPr>
          <w:rFonts w:cs="Times New Roman"/>
          <w:szCs w:val="24"/>
        </w:rPr>
        <w:t xml:space="preserve"> open</w:t>
      </w:r>
      <w:r>
        <w:rPr>
          <w:rFonts w:cs="Times New Roman"/>
          <w:szCs w:val="24"/>
        </w:rPr>
        <w:t>ing</w:t>
      </w:r>
      <w:r w:rsidRPr="007116D6">
        <w:rPr>
          <w:rFonts w:cs="Times New Roman"/>
          <w:szCs w:val="24"/>
        </w:rPr>
        <w:t xml:space="preserve"> a window decreases. </w:t>
      </w:r>
      <w:r>
        <w:rPr>
          <w:rFonts w:cs="Times New Roman"/>
          <w:szCs w:val="24"/>
        </w:rPr>
        <w:t xml:space="preserve">All selected models define windows as binary actuators (fully open or fully closed). </w:t>
      </w:r>
    </w:p>
    <w:p w:rsidR="00BF25DE" w:rsidRDefault="00BF25DE" w:rsidP="00051A6E">
      <w:pPr>
        <w:spacing w:after="0" w:line="360" w:lineRule="auto"/>
        <w:jc w:val="both"/>
        <w:rPr>
          <w:rFonts w:cs="Times New Roman"/>
          <w:szCs w:val="24"/>
        </w:rPr>
      </w:pPr>
      <w:r>
        <w:rPr>
          <w:rFonts w:cs="Times New Roman"/>
          <w:noProof/>
          <w:szCs w:val="24"/>
        </w:rPr>
        <w:t>Schiavon and Lee (2013)</w:t>
      </w:r>
      <w:r w:rsidRPr="007116D6">
        <w:rPr>
          <w:rFonts w:cs="Times New Roman"/>
          <w:szCs w:val="24"/>
        </w:rPr>
        <w:t>'s model predicts adapt</w:t>
      </w:r>
      <w:r>
        <w:rPr>
          <w:rFonts w:cs="Times New Roman"/>
          <w:szCs w:val="24"/>
        </w:rPr>
        <w:t xml:space="preserve">ive clothing insulation level — </w:t>
      </w:r>
      <w:r w:rsidRPr="007116D6">
        <w:rPr>
          <w:rFonts w:cs="Times New Roman"/>
          <w:szCs w:val="24"/>
        </w:rPr>
        <w:t xml:space="preserve">in terms of </w:t>
      </w:r>
      <w:r>
        <w:rPr>
          <w:rFonts w:cs="Times New Roman"/>
          <w:noProof/>
          <w:szCs w:val="24"/>
        </w:rPr>
        <w:t>ASHRAE (2010)</w:t>
      </w:r>
      <w:r>
        <w:rPr>
          <w:rFonts w:cs="Times New Roman"/>
          <w:szCs w:val="24"/>
        </w:rPr>
        <w:t>'s</w:t>
      </w:r>
      <w:r w:rsidRPr="007116D6">
        <w:rPr>
          <w:rFonts w:cs="Times New Roman"/>
          <w:szCs w:val="24"/>
        </w:rPr>
        <w:t xml:space="preserve"> clothing insulation unit </w:t>
      </w:r>
      <w:proofErr w:type="spellStart"/>
      <w:r w:rsidRPr="007116D6">
        <w:rPr>
          <w:rFonts w:cs="Times New Roman"/>
          <w:szCs w:val="24"/>
        </w:rPr>
        <w:t>clo</w:t>
      </w:r>
      <w:proofErr w:type="spellEnd"/>
      <w:r w:rsidRPr="007116D6">
        <w:rPr>
          <w:rFonts w:cs="Times New Roman"/>
          <w:szCs w:val="24"/>
        </w:rPr>
        <w:t>. This model predicts clothin</w:t>
      </w:r>
      <w:r>
        <w:rPr>
          <w:rFonts w:cs="Times New Roman"/>
          <w:szCs w:val="24"/>
        </w:rPr>
        <w:t xml:space="preserve">g level on workdays using </w:t>
      </w:r>
      <w:r w:rsidRPr="007116D6">
        <w:rPr>
          <w:rFonts w:cs="Times New Roman"/>
          <w:szCs w:val="24"/>
        </w:rPr>
        <w:t>the outdoor temperature in the morning</w:t>
      </w:r>
      <w:r>
        <w:rPr>
          <w:rFonts w:cs="Times New Roman"/>
          <w:szCs w:val="24"/>
        </w:rPr>
        <w:t xml:space="preserve"> and the operative temperature in the office during the day</w:t>
      </w:r>
      <w:r w:rsidRPr="007116D6">
        <w:rPr>
          <w:rFonts w:cs="Times New Roman"/>
          <w:szCs w:val="24"/>
        </w:rPr>
        <w:t>.</w:t>
      </w:r>
      <w:r>
        <w:rPr>
          <w:rFonts w:cs="Times New Roman"/>
          <w:szCs w:val="24"/>
        </w:rPr>
        <w:t xml:space="preserve"> </w:t>
      </w:r>
      <w:r w:rsidRPr="007116D6">
        <w:rPr>
          <w:rFonts w:cs="Times New Roman"/>
          <w:szCs w:val="24"/>
        </w:rPr>
        <w:t xml:space="preserve">However, it </w:t>
      </w:r>
      <w:r>
        <w:rPr>
          <w:rFonts w:cs="Times New Roman"/>
          <w:szCs w:val="24"/>
        </w:rPr>
        <w:t>does not predict</w:t>
      </w:r>
      <w:r w:rsidRPr="007116D6">
        <w:rPr>
          <w:rFonts w:cs="Times New Roman"/>
          <w:szCs w:val="24"/>
        </w:rPr>
        <w:t xml:space="preserve"> </w:t>
      </w:r>
      <w:r>
        <w:rPr>
          <w:rFonts w:cs="Times New Roman"/>
          <w:szCs w:val="24"/>
        </w:rPr>
        <w:t xml:space="preserve">the frequency of </w:t>
      </w:r>
      <w:r w:rsidRPr="007116D6">
        <w:rPr>
          <w:rFonts w:cs="Times New Roman"/>
          <w:szCs w:val="24"/>
        </w:rPr>
        <w:t>smaller cloth</w:t>
      </w:r>
      <w:r>
        <w:rPr>
          <w:rFonts w:cs="Times New Roman"/>
          <w:szCs w:val="24"/>
        </w:rPr>
        <w:t>ing adjustments during a</w:t>
      </w:r>
      <w:r w:rsidRPr="007116D6">
        <w:rPr>
          <w:rFonts w:cs="Times New Roman"/>
          <w:szCs w:val="24"/>
        </w:rPr>
        <w:t xml:space="preserve"> day. These small clothing level adjustments such as loosening up a collar or rolling up a sleeve</w:t>
      </w:r>
      <w:r>
        <w:rPr>
          <w:rFonts w:cs="Times New Roman"/>
          <w:szCs w:val="24"/>
        </w:rPr>
        <w:t xml:space="preserve"> </w:t>
      </w:r>
      <w:r w:rsidRPr="007116D6">
        <w:rPr>
          <w:rFonts w:cs="Times New Roman"/>
          <w:szCs w:val="24"/>
        </w:rPr>
        <w:t xml:space="preserve">can be influential </w:t>
      </w:r>
      <w:r>
        <w:rPr>
          <w:rFonts w:cs="Times New Roman"/>
          <w:szCs w:val="24"/>
        </w:rPr>
        <w:t>for</w:t>
      </w:r>
      <w:r w:rsidRPr="007116D6">
        <w:rPr>
          <w:rFonts w:cs="Times New Roman"/>
          <w:szCs w:val="24"/>
        </w:rPr>
        <w:t xml:space="preserve"> thermal comfort </w:t>
      </w:r>
      <w:r>
        <w:rPr>
          <w:rFonts w:cs="Times New Roman"/>
          <w:noProof/>
          <w:szCs w:val="24"/>
        </w:rPr>
        <w:t>(Newsham 1997; Haldi and Robinson 2011)</w:t>
      </w:r>
      <w:r w:rsidRPr="007116D6">
        <w:rPr>
          <w:rFonts w:cs="Times New Roman"/>
          <w:szCs w:val="24"/>
        </w:rPr>
        <w:t>. However, a statistical model is not available for this purpose.</w:t>
      </w:r>
      <w:r>
        <w:rPr>
          <w:rFonts w:cs="Times New Roman"/>
          <w:szCs w:val="24"/>
        </w:rPr>
        <w:t xml:space="preserve"> In the current implementation, the role of the clothing model is limited to influencing the PMV ― which is an input for </w:t>
      </w:r>
      <w:r>
        <w:rPr>
          <w:rFonts w:cs="Times New Roman"/>
          <w:noProof/>
          <w:szCs w:val="24"/>
        </w:rPr>
        <w:t>Rijal et al. (2008)</w:t>
      </w:r>
      <w:r>
        <w:rPr>
          <w:rFonts w:cs="Times New Roman"/>
          <w:szCs w:val="24"/>
        </w:rPr>
        <w:t>'s window use model.</w:t>
      </w:r>
    </w:p>
    <w:p w:rsidR="00BF25DE" w:rsidRDefault="00BF25DE" w:rsidP="00051A6E">
      <w:pPr>
        <w:spacing w:after="0" w:line="360" w:lineRule="auto"/>
        <w:jc w:val="both"/>
        <w:rPr>
          <w:rFonts w:cs="Times New Roman"/>
          <w:szCs w:val="24"/>
        </w:rPr>
      </w:pPr>
      <w:r w:rsidRPr="007116D6">
        <w:rPr>
          <w:rFonts w:cs="Times New Roman"/>
          <w:szCs w:val="24"/>
        </w:rPr>
        <w:t xml:space="preserve">In </w:t>
      </w:r>
      <w:r>
        <w:rPr>
          <w:rFonts w:cs="Times New Roman"/>
          <w:noProof/>
          <w:szCs w:val="24"/>
        </w:rPr>
        <w:t>Reinhart (2004)</w:t>
      </w:r>
      <w:r w:rsidRPr="007116D6">
        <w:rPr>
          <w:rFonts w:cs="Times New Roman"/>
          <w:szCs w:val="24"/>
        </w:rPr>
        <w:t xml:space="preserve">'s </w:t>
      </w:r>
      <w:r>
        <w:rPr>
          <w:rFonts w:cs="Times New Roman"/>
          <w:szCs w:val="24"/>
        </w:rPr>
        <w:t xml:space="preserve">occupancy </w:t>
      </w:r>
      <w:r w:rsidRPr="007116D6">
        <w:rPr>
          <w:rFonts w:cs="Times New Roman"/>
          <w:szCs w:val="24"/>
        </w:rPr>
        <w:t xml:space="preserve">model, five different event times are predicted in the beginning of each workday. These events are: (1) arrival time at 8h00 with a standard deviation of 15 min, (2) a coffee break at 10h00 with a standard deviation of 15 min, (3) a lunch break at 12h00 with a standard deviation of 15 min, (4) a coffee break at 15h00 with a standard deviation of 15 min, and (5) departure at 18h00 with a standard deviation of 15 min. In this model, the duration of coffee breaks and the lunch break are taken as 15 min and 60 min, respectively. </w:t>
      </w:r>
      <w:r>
        <w:rPr>
          <w:rFonts w:cs="Times New Roman"/>
          <w:noProof/>
          <w:szCs w:val="24"/>
        </w:rPr>
        <w:t>Wang et al. (2005)</w:t>
      </w:r>
      <w:r w:rsidRPr="007116D6">
        <w:rPr>
          <w:rFonts w:cs="Times New Roman"/>
          <w:szCs w:val="24"/>
        </w:rPr>
        <w:t xml:space="preserve">'s iteration to this modelling approach suggests that the vacancy periods can be realistically approximated with an exponential decay function. Thus, the duration of coffee breaks and lunch breaks are drawn from an exponential probability distribution of time-constants 15 min and 60 min, respectively — in lieu of deterministic </w:t>
      </w:r>
      <w:r>
        <w:rPr>
          <w:rFonts w:cs="Times New Roman"/>
          <w:szCs w:val="24"/>
        </w:rPr>
        <w:t xml:space="preserve">break durations </w:t>
      </w:r>
      <w:r w:rsidRPr="007116D6">
        <w:rPr>
          <w:rFonts w:cs="Times New Roman"/>
          <w:szCs w:val="24"/>
        </w:rPr>
        <w:t xml:space="preserve">15 min and 60 min. </w:t>
      </w:r>
      <w:r>
        <w:rPr>
          <w:rFonts w:cs="Times New Roman"/>
          <w:szCs w:val="24"/>
        </w:rPr>
        <w:t xml:space="preserve">It should be noted that these occupancy models deterministically select the number of vacancy periods (i.e., two coffee breaks and one lunch break). In reality, </w:t>
      </w:r>
      <w:r w:rsidRPr="00F0745E">
        <w:rPr>
          <w:rFonts w:cs="Times New Roman"/>
          <w:szCs w:val="24"/>
          <w:lang w:val="en-US"/>
        </w:rPr>
        <w:t>the average number of intermediate vacancy periods can be as small as three or as large as nine for different individuals</w:t>
      </w:r>
      <w:r>
        <w:rPr>
          <w:rFonts w:cs="Times New Roman"/>
          <w:szCs w:val="24"/>
          <w:lang w:val="en-US"/>
        </w:rPr>
        <w:t xml:space="preserve"> </w:t>
      </w:r>
      <w:r w:rsidR="00051A6E">
        <w:rPr>
          <w:rFonts w:cs="Times New Roman"/>
          <w:noProof/>
          <w:szCs w:val="24"/>
          <w:lang w:val="en-US"/>
        </w:rPr>
        <w:t xml:space="preserve">(Rubinstein </w:t>
      </w:r>
      <w:r>
        <w:rPr>
          <w:rFonts w:cs="Times New Roman"/>
          <w:noProof/>
          <w:szCs w:val="24"/>
          <w:lang w:val="en-US"/>
        </w:rPr>
        <w:t>et al. 2003)</w:t>
      </w:r>
      <w:r>
        <w:rPr>
          <w:rFonts w:cs="Times New Roman"/>
          <w:szCs w:val="24"/>
          <w:lang w:val="en-US"/>
        </w:rPr>
        <w:t>.</w:t>
      </w:r>
      <w:r w:rsidRPr="00F0745E">
        <w:rPr>
          <w:rFonts w:cs="Times New Roman"/>
          <w:szCs w:val="24"/>
          <w:lang w:val="en-US"/>
        </w:rPr>
        <w:t xml:space="preserve"> </w:t>
      </w:r>
      <w:r w:rsidR="00051A6E">
        <w:rPr>
          <w:rFonts w:cs="Times New Roman"/>
          <w:noProof/>
          <w:szCs w:val="24"/>
        </w:rPr>
        <w:t>Page</w:t>
      </w:r>
      <w:r>
        <w:rPr>
          <w:rFonts w:cs="Times New Roman"/>
          <w:noProof/>
          <w:szCs w:val="24"/>
        </w:rPr>
        <w:t xml:space="preserve"> et al. (2008)</w:t>
      </w:r>
      <w:r>
        <w:rPr>
          <w:rFonts w:cs="Times New Roman"/>
          <w:szCs w:val="24"/>
        </w:rPr>
        <w:t xml:space="preserve"> elaborated the earlier occupancy models by incorporating the inherent randomness in occupants' mobility. </w:t>
      </w:r>
      <w:r w:rsidR="00051A6E">
        <w:rPr>
          <w:rFonts w:cs="Times New Roman"/>
          <w:noProof/>
          <w:szCs w:val="24"/>
        </w:rPr>
        <w:t>Page</w:t>
      </w:r>
      <w:r>
        <w:rPr>
          <w:rFonts w:cs="Times New Roman"/>
          <w:noProof/>
          <w:szCs w:val="24"/>
        </w:rPr>
        <w:t xml:space="preserve"> et al. (2008)</w:t>
      </w:r>
      <w:r w:rsidRPr="007116D6">
        <w:rPr>
          <w:rFonts w:cs="Times New Roman"/>
          <w:szCs w:val="24"/>
        </w:rPr>
        <w:t xml:space="preserve">'s </w:t>
      </w:r>
      <w:r>
        <w:rPr>
          <w:rFonts w:cs="Times New Roman"/>
          <w:szCs w:val="24"/>
        </w:rPr>
        <w:t xml:space="preserve">occupancy model inputs two parameters to predict the likelihood of an arrival or a departure event: (a) the </w:t>
      </w:r>
      <w:r w:rsidRPr="00141725">
        <w:rPr>
          <w:rFonts w:cs="Times New Roman"/>
          <w:szCs w:val="24"/>
        </w:rPr>
        <w:t>profile of probability of presence</w:t>
      </w:r>
      <w:r>
        <w:rPr>
          <w:rFonts w:cs="Times New Roman"/>
          <w:szCs w:val="24"/>
        </w:rPr>
        <w:t xml:space="preserve"> during a week and (b) the parameter of mobility. The first parameter can be generated from an observational dataset or it can be selected based on modellers prior knowledge (e.g., from modelling guidelines </w:t>
      </w:r>
      <w:r>
        <w:rPr>
          <w:rFonts w:cs="Times New Roman"/>
          <w:noProof/>
          <w:szCs w:val="24"/>
        </w:rPr>
        <w:t>ASHRAE (2013)</w:t>
      </w:r>
      <w:r>
        <w:rPr>
          <w:rFonts w:cs="Times New Roman"/>
          <w:szCs w:val="24"/>
        </w:rPr>
        <w:t xml:space="preserve">). The second parameter represents the ratio of the simulation time-steps with an occupancy state-transition </w:t>
      </w:r>
      <w:r>
        <w:rPr>
          <w:rFonts w:cs="Times New Roman"/>
          <w:szCs w:val="24"/>
        </w:rPr>
        <w:lastRenderedPageBreak/>
        <w:t xml:space="preserve">(e.g., arrivals/departures including the intermediate arrivals/departures) and it accounts for the </w:t>
      </w:r>
      <w:r w:rsidR="003A5CC3">
        <w:rPr>
          <w:rFonts w:cs="Times New Roman"/>
          <w:szCs w:val="24"/>
        </w:rPr>
        <w:t>simulated occupant</w:t>
      </w:r>
      <w:r>
        <w:rPr>
          <w:rFonts w:cs="Times New Roman"/>
          <w:szCs w:val="24"/>
        </w:rPr>
        <w:t xml:space="preserve">'s tendency to take intermediate breaks. </w:t>
      </w:r>
    </w:p>
    <w:p w:rsidR="00BF25DE" w:rsidRDefault="00BF25DE" w:rsidP="00051A6E">
      <w:pPr>
        <w:spacing w:after="0" w:line="360" w:lineRule="auto"/>
        <w:jc w:val="both"/>
        <w:rPr>
          <w:rFonts w:cs="Times New Roman"/>
          <w:szCs w:val="24"/>
        </w:rPr>
      </w:pPr>
      <w:r w:rsidRPr="007116D6">
        <w:rPr>
          <w:rFonts w:cs="Times New Roman"/>
          <w:szCs w:val="24"/>
        </w:rPr>
        <w:t>Central to the stochastic occupancy modelling in BPS</w:t>
      </w:r>
      <w:r w:rsidR="005F3521">
        <w:rPr>
          <w:rFonts w:cs="Times New Roman"/>
          <w:szCs w:val="24"/>
        </w:rPr>
        <w:t>-based design</w:t>
      </w:r>
      <w:r w:rsidRPr="007116D6">
        <w:rPr>
          <w:rFonts w:cs="Times New Roman"/>
          <w:szCs w:val="24"/>
        </w:rPr>
        <w:t xml:space="preserve"> is the notion that uncertainties for an occupant's presence can be </w:t>
      </w:r>
      <w:r>
        <w:rPr>
          <w:rFonts w:cs="Times New Roman"/>
          <w:szCs w:val="24"/>
        </w:rPr>
        <w:t>added to</w:t>
      </w:r>
      <w:r w:rsidRPr="007116D6">
        <w:rPr>
          <w:rFonts w:cs="Times New Roman"/>
          <w:szCs w:val="24"/>
        </w:rPr>
        <w:t xml:space="preserve"> deterministic schedule</w:t>
      </w:r>
      <w:r>
        <w:rPr>
          <w:rFonts w:cs="Times New Roman"/>
          <w:szCs w:val="24"/>
        </w:rPr>
        <w:t>s</w:t>
      </w:r>
      <w:r w:rsidRPr="007116D6">
        <w:rPr>
          <w:rFonts w:cs="Times New Roman"/>
          <w:szCs w:val="24"/>
        </w:rPr>
        <w:t xml:space="preserve"> emerging from prior knowledge of the modeller —</w:t>
      </w:r>
      <w:r>
        <w:rPr>
          <w:rFonts w:cs="Times New Roman"/>
          <w:szCs w:val="24"/>
        </w:rPr>
        <w:t xml:space="preserve"> </w:t>
      </w:r>
      <w:r w:rsidRPr="007116D6">
        <w:rPr>
          <w:rFonts w:cs="Times New Roman"/>
          <w:szCs w:val="24"/>
        </w:rPr>
        <w:t xml:space="preserve">not to invent an occupancy scheme that works in every building. </w:t>
      </w:r>
      <w:r>
        <w:rPr>
          <w:rFonts w:cs="Times New Roman"/>
          <w:szCs w:val="24"/>
        </w:rPr>
        <w:t>For the current work, i</w:t>
      </w:r>
      <w:r w:rsidRPr="007116D6">
        <w:rPr>
          <w:rFonts w:cs="Times New Roman"/>
          <w:szCs w:val="24"/>
        </w:rPr>
        <w:t>t is therefore necessary to appreciate the fact that the mean event times (arrival, breaks, departure) and time constants for the vacancy periods serve only for an illustrative purpose and they are contextually restricted. While using the occupancy models shown in the current s</w:t>
      </w:r>
      <w:r>
        <w:rPr>
          <w:rFonts w:cs="Times New Roman"/>
          <w:szCs w:val="24"/>
        </w:rPr>
        <w:t xml:space="preserve">tudy, </w:t>
      </w:r>
      <w:r w:rsidRPr="007116D6">
        <w:rPr>
          <w:rFonts w:cs="Times New Roman"/>
          <w:szCs w:val="24"/>
        </w:rPr>
        <w:t>BPS modeller</w:t>
      </w:r>
      <w:r>
        <w:rPr>
          <w:rFonts w:cs="Times New Roman"/>
          <w:szCs w:val="24"/>
        </w:rPr>
        <w:t>s</w:t>
      </w:r>
      <w:r w:rsidRPr="007116D6">
        <w:rPr>
          <w:rFonts w:cs="Times New Roman"/>
          <w:szCs w:val="24"/>
        </w:rPr>
        <w:t xml:space="preserve"> should choose </w:t>
      </w:r>
      <w:r>
        <w:rPr>
          <w:rFonts w:cs="Times New Roman"/>
          <w:szCs w:val="24"/>
        </w:rPr>
        <w:t xml:space="preserve">appropriate </w:t>
      </w:r>
      <w:r w:rsidR="00F506F2">
        <w:rPr>
          <w:rFonts w:cs="Times New Roman"/>
          <w:szCs w:val="24"/>
        </w:rPr>
        <w:t xml:space="preserve">model </w:t>
      </w:r>
      <w:r>
        <w:rPr>
          <w:rFonts w:cs="Times New Roman"/>
          <w:szCs w:val="24"/>
        </w:rPr>
        <w:t>inputs</w:t>
      </w:r>
      <w:r w:rsidRPr="007116D6">
        <w:rPr>
          <w:rFonts w:cs="Times New Roman"/>
          <w:szCs w:val="24"/>
        </w:rPr>
        <w:t xml:space="preserve"> using </w:t>
      </w:r>
      <w:r>
        <w:rPr>
          <w:rFonts w:cs="Times New Roman"/>
          <w:szCs w:val="24"/>
        </w:rPr>
        <w:t>their</w:t>
      </w:r>
      <w:r w:rsidRPr="007116D6">
        <w:rPr>
          <w:rFonts w:cs="Times New Roman"/>
          <w:szCs w:val="24"/>
        </w:rPr>
        <w:t xml:space="preserve"> </w:t>
      </w:r>
      <w:r>
        <w:rPr>
          <w:rFonts w:cs="Times New Roman"/>
          <w:szCs w:val="24"/>
        </w:rPr>
        <w:t>prior knowledge</w:t>
      </w:r>
      <w:r w:rsidRPr="007116D6">
        <w:rPr>
          <w:rFonts w:cs="Times New Roman"/>
          <w:szCs w:val="24"/>
        </w:rPr>
        <w:t>.</w:t>
      </w:r>
      <w:r w:rsidR="005F3521">
        <w:rPr>
          <w:rFonts w:cs="Times New Roman"/>
          <w:szCs w:val="24"/>
        </w:rPr>
        <w:t xml:space="preserve"> </w:t>
      </w:r>
      <w:r w:rsidR="00F506F2">
        <w:rPr>
          <w:rFonts w:cs="Times New Roman"/>
          <w:szCs w:val="24"/>
        </w:rPr>
        <w:t>In controls-oriented modelling applications, the prior knowledge can emerge from the data gathered in the modelled building. In design-oriented applications, the prior knowledge can emerge from the data gathered in a similar building or from appropriate modelling guidelines (e.g., ASHRAE (2013) Standard 90.1).</w:t>
      </w:r>
    </w:p>
    <w:p w:rsidR="00BF25DE" w:rsidRDefault="00BF25DE" w:rsidP="00051A6E">
      <w:pPr>
        <w:pStyle w:val="Heading1"/>
        <w:numPr>
          <w:ilvl w:val="1"/>
          <w:numId w:val="1"/>
        </w:numPr>
        <w:spacing w:before="0" w:line="360" w:lineRule="auto"/>
        <w:rPr>
          <w:rFonts w:cs="Times New Roman"/>
          <w:sz w:val="24"/>
          <w:szCs w:val="24"/>
        </w:rPr>
      </w:pPr>
      <w:r>
        <w:rPr>
          <w:rFonts w:cs="Times New Roman"/>
          <w:sz w:val="24"/>
          <w:szCs w:val="24"/>
        </w:rPr>
        <w:t>The</w:t>
      </w:r>
      <w:r w:rsidRPr="007116D6">
        <w:rPr>
          <w:rFonts w:cs="Times New Roman"/>
          <w:sz w:val="24"/>
          <w:szCs w:val="24"/>
        </w:rPr>
        <w:t xml:space="preserve"> simulation framework</w:t>
      </w:r>
    </w:p>
    <w:p w:rsidR="00BF25DE" w:rsidRDefault="00BF25DE" w:rsidP="00051A6E">
      <w:pPr>
        <w:spacing w:after="0" w:line="360" w:lineRule="auto"/>
        <w:jc w:val="both"/>
        <w:rPr>
          <w:rFonts w:cs="Times New Roman"/>
          <w:szCs w:val="24"/>
        </w:rPr>
      </w:pPr>
      <w:r>
        <w:rPr>
          <w:rFonts w:cs="Times New Roman"/>
          <w:szCs w:val="24"/>
        </w:rPr>
        <w:t xml:space="preserve">The occupant models are transformed into a common simulation platform as illustrated in Figure 1. In order to create a diverse synthetic population, </w:t>
      </w:r>
      <w:r w:rsidRPr="00F84193">
        <w:rPr>
          <w:rFonts w:cs="Times New Roman"/>
          <w:szCs w:val="24"/>
        </w:rPr>
        <w:t>in the beginning of each run-time</w:t>
      </w:r>
      <w:r>
        <w:rPr>
          <w:rFonts w:cs="Times New Roman"/>
          <w:szCs w:val="24"/>
        </w:rPr>
        <w:t xml:space="preserve"> a unique </w:t>
      </w:r>
      <w:r w:rsidR="003A5CC3">
        <w:rPr>
          <w:rFonts w:cs="Times New Roman"/>
          <w:szCs w:val="24"/>
        </w:rPr>
        <w:t>simulated occupant</w:t>
      </w:r>
      <w:r>
        <w:rPr>
          <w:rFonts w:cs="Times New Roman"/>
          <w:szCs w:val="24"/>
        </w:rPr>
        <w:t xml:space="preserve"> is generated. To this end, the input parameters of the occupant models were assumed as normally distributed stochastic quantities. This assumption was made in accordance with </w:t>
      </w:r>
      <w:r>
        <w:rPr>
          <w:rFonts w:cs="Times New Roman"/>
          <w:noProof/>
          <w:szCs w:val="24"/>
        </w:rPr>
        <w:t>Haldi (2013)</w:t>
      </w:r>
      <w:r>
        <w:rPr>
          <w:rFonts w:cs="Times New Roman"/>
          <w:szCs w:val="24"/>
        </w:rPr>
        <w:t xml:space="preserve">'s approach to represent the diversity of the occupant models. Although the normality assumption has not been justified, </w:t>
      </w:r>
      <w:r>
        <w:rPr>
          <w:rFonts w:cs="Times New Roman"/>
          <w:noProof/>
          <w:szCs w:val="24"/>
        </w:rPr>
        <w:t>Haldi (2013)</w:t>
      </w:r>
      <w:r>
        <w:rPr>
          <w:rFonts w:cs="Times New Roman"/>
          <w:szCs w:val="24"/>
        </w:rPr>
        <w:t xml:space="preserve"> remains as the only article specifically addressing diversity of the occupant models.</w:t>
      </w:r>
    </w:p>
    <w:p w:rsidR="00BF25DE" w:rsidRDefault="00BF25DE" w:rsidP="00051A6E">
      <w:pPr>
        <w:spacing w:after="0" w:line="360" w:lineRule="auto"/>
        <w:jc w:val="both"/>
        <w:rPr>
          <w:rFonts w:cs="Times New Roman"/>
          <w:szCs w:val="24"/>
        </w:rPr>
      </w:pPr>
      <w:r>
        <w:rPr>
          <w:rFonts w:cs="Times New Roman"/>
          <w:szCs w:val="24"/>
        </w:rPr>
        <w:t xml:space="preserve">First, the mean occupancy state-transition times and the mean break durations are </w:t>
      </w:r>
      <w:r w:rsidR="00695225">
        <w:rPr>
          <w:rFonts w:cs="Times New Roman"/>
          <w:szCs w:val="24"/>
        </w:rPr>
        <w:t xml:space="preserve">sampled </w:t>
      </w:r>
      <w:r>
        <w:rPr>
          <w:rFonts w:cs="Times New Roman"/>
          <w:szCs w:val="24"/>
        </w:rPr>
        <w:t xml:space="preserve">from a normal distribution for occupant </w:t>
      </w:r>
      <w:proofErr w:type="spellStart"/>
      <w:r w:rsidRPr="009D08B6">
        <w:rPr>
          <w:rFonts w:cs="Times New Roman"/>
          <w:i/>
          <w:szCs w:val="24"/>
        </w:rPr>
        <w:t>i</w:t>
      </w:r>
      <w:proofErr w:type="spellEnd"/>
      <w:r>
        <w:rPr>
          <w:rFonts w:cs="Times New Roman"/>
          <w:szCs w:val="24"/>
        </w:rPr>
        <w:t xml:space="preserve">. Table 2 presents the distribution of these values in the form of mean ± standard deviation. Once the parameters defining the occupancy habits of occupant </w:t>
      </w:r>
      <w:proofErr w:type="spellStart"/>
      <w:r w:rsidRPr="00CA3592">
        <w:rPr>
          <w:rFonts w:cs="Times New Roman"/>
          <w:i/>
          <w:szCs w:val="24"/>
        </w:rPr>
        <w:t>i</w:t>
      </w:r>
      <w:proofErr w:type="spellEnd"/>
      <w:r>
        <w:rPr>
          <w:rFonts w:cs="Times New Roman"/>
          <w:szCs w:val="24"/>
        </w:rPr>
        <w:t xml:space="preserve"> are defined in the beginning of the run-time, the occupant </w:t>
      </w:r>
      <w:proofErr w:type="spellStart"/>
      <w:r w:rsidRPr="00CA3592">
        <w:rPr>
          <w:rFonts w:cs="Times New Roman"/>
          <w:i/>
          <w:szCs w:val="24"/>
        </w:rPr>
        <w:t>i</w:t>
      </w:r>
      <w:r w:rsidRPr="00CA3592">
        <w:rPr>
          <w:rFonts w:cs="Times New Roman"/>
          <w:szCs w:val="24"/>
        </w:rPr>
        <w:t>'s</w:t>
      </w:r>
      <w:proofErr w:type="spellEnd"/>
      <w:r>
        <w:rPr>
          <w:rFonts w:cs="Times New Roman"/>
          <w:i/>
          <w:szCs w:val="24"/>
        </w:rPr>
        <w:t xml:space="preserve"> </w:t>
      </w:r>
      <w:r w:rsidRPr="00E37282">
        <w:rPr>
          <w:rFonts w:cs="Times New Roman"/>
          <w:szCs w:val="24"/>
        </w:rPr>
        <w:t>presence</w:t>
      </w:r>
      <w:r>
        <w:rPr>
          <w:rFonts w:cs="Times New Roman"/>
          <w:i/>
          <w:szCs w:val="24"/>
        </w:rPr>
        <w:t xml:space="preserve"> </w:t>
      </w:r>
      <w:r>
        <w:rPr>
          <w:rFonts w:cs="Times New Roman"/>
          <w:szCs w:val="24"/>
        </w:rPr>
        <w:t xml:space="preserve">schedule is simulated dynamically. Note that if the arrival time is sampled as 7h30 for occupant </w:t>
      </w:r>
      <w:proofErr w:type="spellStart"/>
      <w:r w:rsidRPr="00434A36">
        <w:rPr>
          <w:rFonts w:cs="Times New Roman"/>
          <w:i/>
          <w:szCs w:val="24"/>
        </w:rPr>
        <w:t>i</w:t>
      </w:r>
      <w:proofErr w:type="spellEnd"/>
      <w:r>
        <w:rPr>
          <w:rFonts w:cs="Times New Roman"/>
          <w:szCs w:val="24"/>
        </w:rPr>
        <w:t xml:space="preserve">, this does not imply that occupant </w:t>
      </w:r>
      <w:proofErr w:type="spellStart"/>
      <w:r w:rsidRPr="00434A36">
        <w:rPr>
          <w:rFonts w:cs="Times New Roman"/>
          <w:i/>
          <w:szCs w:val="24"/>
        </w:rPr>
        <w:t>i</w:t>
      </w:r>
      <w:proofErr w:type="spellEnd"/>
      <w:r>
        <w:rPr>
          <w:rFonts w:cs="Times New Roman"/>
          <w:i/>
          <w:szCs w:val="24"/>
        </w:rPr>
        <w:t xml:space="preserve"> </w:t>
      </w:r>
      <w:r>
        <w:rPr>
          <w:rFonts w:cs="Times New Roman"/>
          <w:szCs w:val="24"/>
        </w:rPr>
        <w:t xml:space="preserve">will always arrive at 7h30. It rather implies that this occupant‘s mean arrival time is 7h30. If </w:t>
      </w:r>
      <w:r w:rsidR="00051A6E">
        <w:rPr>
          <w:rFonts w:cs="Times New Roman"/>
          <w:noProof/>
          <w:szCs w:val="24"/>
        </w:rPr>
        <w:t>Wang</w:t>
      </w:r>
      <w:r>
        <w:rPr>
          <w:rFonts w:cs="Times New Roman"/>
          <w:noProof/>
          <w:szCs w:val="24"/>
        </w:rPr>
        <w:t xml:space="preserve"> et al. (2005)</w:t>
      </w:r>
      <w:r>
        <w:rPr>
          <w:rFonts w:cs="Times New Roman"/>
          <w:szCs w:val="24"/>
        </w:rPr>
        <w:t>'s model is employed, the coffee and lunch break durations are generated in the beginning of each workday by employing an inverse transform sampling from an exponential distribution, as follows:</w:t>
      </w:r>
    </w:p>
    <w:p w:rsidR="00BF25DE" w:rsidRDefault="00BF25DE" w:rsidP="00051A6E">
      <w:pPr>
        <w:pStyle w:val="MTDisplayEquation"/>
        <w:spacing w:line="360" w:lineRule="auto"/>
      </w:pPr>
      <w:r>
        <w:tab/>
      </w:r>
      <w:r w:rsidRPr="00D62BA7">
        <w:rPr>
          <w:position w:val="-14"/>
        </w:rPr>
        <w:object w:dxaOrig="207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9.5pt" o:ole="">
            <v:imagedata r:id="rId7" o:title=""/>
          </v:shape>
          <o:OLEObject Type="Embed" ProgID="Equation.DSMT4" ShapeID="_x0000_i1025" DrawAspect="Content" ObjectID="_1499792892" r:id="rId8"/>
        </w:object>
      </w:r>
      <w:r>
        <w:tab/>
        <w:t>(1)</w:t>
      </w:r>
    </w:p>
    <w:p w:rsidR="00BF25DE" w:rsidRDefault="00BF25DE" w:rsidP="00051A6E">
      <w:pPr>
        <w:spacing w:after="0" w:line="360" w:lineRule="auto"/>
        <w:jc w:val="both"/>
        <w:rPr>
          <w:rFonts w:cs="Times New Roman"/>
          <w:szCs w:val="24"/>
        </w:rPr>
      </w:pPr>
      <w:r>
        <w:rPr>
          <w:rFonts w:cs="Times New Roman"/>
          <w:szCs w:val="24"/>
        </w:rPr>
        <w:lastRenderedPageBreak/>
        <w:t xml:space="preserve">where </w:t>
      </w:r>
      <w:proofErr w:type="spellStart"/>
      <w:r w:rsidRPr="000F0120">
        <w:rPr>
          <w:rFonts w:cs="Times New Roman"/>
          <w:i/>
          <w:szCs w:val="24"/>
        </w:rPr>
        <w:t>τ</w:t>
      </w:r>
      <w:r w:rsidRPr="000F0120">
        <w:rPr>
          <w:rFonts w:cs="Times New Roman"/>
          <w:i/>
          <w:szCs w:val="24"/>
          <w:vertAlign w:val="subscript"/>
        </w:rPr>
        <w:t>break</w:t>
      </w:r>
      <w:proofErr w:type="spellEnd"/>
      <w:r>
        <w:rPr>
          <w:rFonts w:cs="Times New Roman"/>
          <w:i/>
          <w:szCs w:val="24"/>
          <w:vertAlign w:val="subscript"/>
        </w:rPr>
        <w:t xml:space="preserve"> </w:t>
      </w:r>
      <w:r>
        <w:rPr>
          <w:rFonts w:cs="Times New Roman"/>
          <w:szCs w:val="24"/>
        </w:rPr>
        <w:t xml:space="preserve">is the simulated break duration, </w:t>
      </w:r>
      <w:r>
        <w:rPr>
          <w:rFonts w:cs="Times New Roman"/>
          <w:i/>
          <w:szCs w:val="24"/>
        </w:rPr>
        <w:t>r</w:t>
      </w:r>
      <w:r w:rsidRPr="005F2B03">
        <w:rPr>
          <w:rFonts w:cs="Times New Roman"/>
          <w:i/>
          <w:szCs w:val="24"/>
        </w:rPr>
        <w:t xml:space="preserve"> </w:t>
      </w:r>
      <w:r>
        <w:rPr>
          <w:rFonts w:cs="Times New Roman"/>
          <w:szCs w:val="24"/>
        </w:rPr>
        <w:t>is a uniformly distributed random number between</w:t>
      </w:r>
      <w:r w:rsidR="00CE3E3A">
        <w:rPr>
          <w:rFonts w:cs="Times New Roman"/>
          <w:szCs w:val="24"/>
        </w:rPr>
        <w:t xml:space="preserve"> </w:t>
      </w:r>
      <w:r>
        <w:rPr>
          <w:rFonts w:cs="Times New Roman"/>
          <w:szCs w:val="24"/>
        </w:rPr>
        <w:t xml:space="preserve">0 and 1, and </w:t>
      </w:r>
      <w:proofErr w:type="spellStart"/>
      <w:r w:rsidRPr="005F2B03">
        <w:rPr>
          <w:rFonts w:cs="Times New Roman"/>
          <w:i/>
          <w:szCs w:val="24"/>
        </w:rPr>
        <w:t>μ</w:t>
      </w:r>
      <w:r w:rsidRPr="005F2B03">
        <w:rPr>
          <w:rFonts w:cs="Times New Roman"/>
          <w:i/>
          <w:szCs w:val="24"/>
          <w:vertAlign w:val="subscript"/>
        </w:rPr>
        <w:t>break</w:t>
      </w:r>
      <w:proofErr w:type="spellEnd"/>
      <w:r>
        <w:rPr>
          <w:rFonts w:cs="Times New Roman"/>
          <w:i/>
          <w:szCs w:val="24"/>
          <w:vertAlign w:val="subscript"/>
        </w:rPr>
        <w:t xml:space="preserve"> </w:t>
      </w:r>
      <w:r>
        <w:rPr>
          <w:rFonts w:cs="Times New Roman"/>
          <w:szCs w:val="24"/>
        </w:rPr>
        <w:t xml:space="preserve">is the mean break duration (a coffee or a lunch break from Table 2) for occupant </w:t>
      </w:r>
      <w:proofErr w:type="spellStart"/>
      <w:r w:rsidRPr="005F2B03">
        <w:rPr>
          <w:rFonts w:cs="Times New Roman"/>
          <w:i/>
          <w:szCs w:val="24"/>
        </w:rPr>
        <w:t>i</w:t>
      </w:r>
      <w:proofErr w:type="spellEnd"/>
      <w:r>
        <w:rPr>
          <w:rFonts w:cs="Times New Roman"/>
          <w:szCs w:val="24"/>
        </w:rPr>
        <w:t>. When</w:t>
      </w:r>
      <w:r w:rsidRPr="004E3B80">
        <w:rPr>
          <w:rFonts w:cs="Times New Roman"/>
          <w:szCs w:val="24"/>
        </w:rPr>
        <w:t xml:space="preserve"> </w:t>
      </w:r>
      <w:r w:rsidR="00051A6E">
        <w:rPr>
          <w:rFonts w:cs="Times New Roman"/>
          <w:noProof/>
          <w:szCs w:val="24"/>
        </w:rPr>
        <w:t>Page</w:t>
      </w:r>
      <w:r>
        <w:rPr>
          <w:rFonts w:cs="Times New Roman"/>
          <w:noProof/>
          <w:szCs w:val="24"/>
        </w:rPr>
        <w:t xml:space="preserve"> et al. (2008</w:t>
      </w:r>
      <w:r w:rsidRPr="004E3B80">
        <w:rPr>
          <w:rFonts w:cs="Times New Roman"/>
          <w:noProof/>
          <w:szCs w:val="24"/>
        </w:rPr>
        <w:t>)</w:t>
      </w:r>
      <w:r w:rsidRPr="004E3B80">
        <w:rPr>
          <w:rFonts w:cs="Times New Roman"/>
          <w:szCs w:val="24"/>
        </w:rPr>
        <w:t xml:space="preserve"> model </w:t>
      </w:r>
      <w:r>
        <w:rPr>
          <w:rFonts w:cs="Times New Roman"/>
          <w:szCs w:val="24"/>
        </w:rPr>
        <w:t xml:space="preserve">is employed, the probability of an occupancy state-transition is approximated at each time-step as follows: </w:t>
      </w:r>
    </w:p>
    <w:p w:rsidR="00BF25DE" w:rsidRDefault="00BF25DE" w:rsidP="00051A6E">
      <w:pPr>
        <w:pStyle w:val="MTDisplayEquation"/>
        <w:spacing w:line="360" w:lineRule="auto"/>
      </w:pPr>
      <w:r>
        <w:tab/>
      </w:r>
      <w:r w:rsidRPr="0006551F">
        <w:rPr>
          <w:position w:val="-68"/>
        </w:rPr>
        <w:object w:dxaOrig="5220" w:dyaOrig="1480">
          <v:shape id="_x0000_i1026" type="#_x0000_t75" style="width:262pt;height:73pt" o:ole="">
            <v:imagedata r:id="rId9" o:title=""/>
          </v:shape>
          <o:OLEObject Type="Embed" ProgID="Equation.DSMT4" ShapeID="_x0000_i1026" DrawAspect="Content" ObjectID="_1499792893" r:id="rId10"/>
        </w:object>
      </w:r>
      <w:r>
        <w:tab/>
        <w:t>(2)</w:t>
      </w:r>
    </w:p>
    <w:p w:rsidR="001A7D3E" w:rsidRDefault="00BF25DE">
      <w:pPr>
        <w:pStyle w:val="MTDisplayEquation"/>
        <w:spacing w:line="360" w:lineRule="auto"/>
      </w:pPr>
      <w:r>
        <w:t xml:space="preserve">where </w:t>
      </w:r>
      <w:r w:rsidRPr="000F0120">
        <w:rPr>
          <w:i/>
        </w:rPr>
        <w:t>x</w:t>
      </w:r>
      <w:r w:rsidRPr="00E37282">
        <w:rPr>
          <w:vertAlign w:val="subscript"/>
        </w:rPr>
        <w:t>1</w:t>
      </w:r>
      <w:r>
        <w:rPr>
          <w:vertAlign w:val="subscript"/>
        </w:rPr>
        <w:t xml:space="preserve"> </w:t>
      </w:r>
      <w:r>
        <w:t xml:space="preserve">is the parameter of mobility. It represents the ratio of the time-steps with an occupancy state-transition. It is randomly generated in the beginning of each runtime and remains constant for occupant </w:t>
      </w:r>
      <w:proofErr w:type="spellStart"/>
      <w:r>
        <w:rPr>
          <w:i/>
        </w:rPr>
        <w:t>i</w:t>
      </w:r>
      <w:proofErr w:type="spellEnd"/>
      <w:r>
        <w:rPr>
          <w:i/>
        </w:rPr>
        <w:t xml:space="preserve"> </w:t>
      </w:r>
      <w:r w:rsidRPr="00E37282">
        <w:t>during the annual simulation</w:t>
      </w:r>
      <w:r>
        <w:rPr>
          <w:i/>
        </w:rPr>
        <w:t xml:space="preserve"> </w:t>
      </w:r>
      <w:r w:rsidRPr="000F0120">
        <w:t>(see Table 2)</w:t>
      </w:r>
      <w:r>
        <w:t xml:space="preserve">. The parameter </w:t>
      </w:r>
      <w:r w:rsidRPr="000F0120">
        <w:rPr>
          <w:i/>
        </w:rPr>
        <w:t>x</w:t>
      </w:r>
      <w:r w:rsidRPr="000F0120">
        <w:rPr>
          <w:vertAlign w:val="subscript"/>
        </w:rPr>
        <w:t>2</w:t>
      </w:r>
      <w:r>
        <w:rPr>
          <w:vertAlign w:val="subscript"/>
        </w:rPr>
        <w:t>,</w:t>
      </w:r>
      <w:r w:rsidRPr="000F0120">
        <w:rPr>
          <w:i/>
          <w:vertAlign w:val="subscript"/>
        </w:rPr>
        <w:t>t</w:t>
      </w:r>
      <w:r>
        <w:rPr>
          <w:vertAlign w:val="subscript"/>
        </w:rPr>
        <w:t xml:space="preserve"> </w:t>
      </w:r>
      <w:r>
        <w:t xml:space="preserve">is the mean </w:t>
      </w:r>
      <w:r w:rsidRPr="00141725">
        <w:t>profile of probability of presence</w:t>
      </w:r>
      <w:r>
        <w:t xml:space="preserve"> at time </w:t>
      </w:r>
      <w:r w:rsidRPr="000F0120">
        <w:rPr>
          <w:i/>
        </w:rPr>
        <w:t>t</w:t>
      </w:r>
      <w:r>
        <w:t xml:space="preserve">. </w:t>
      </w:r>
    </w:p>
    <w:p w:rsidR="00BF25DE" w:rsidRPr="00303BF6" w:rsidRDefault="00BF25DE" w:rsidP="00051A6E">
      <w:pPr>
        <w:spacing w:after="0" w:line="480" w:lineRule="auto"/>
        <w:jc w:val="center"/>
        <w:rPr>
          <w:rFonts w:cs="Times New Roman"/>
          <w:szCs w:val="24"/>
        </w:rPr>
      </w:pPr>
      <w:r w:rsidRPr="00303BF6">
        <w:rPr>
          <w:rFonts w:cs="Times New Roman"/>
          <w:noProof/>
          <w:szCs w:val="24"/>
          <w:lang w:val="en-US"/>
        </w:rPr>
        <w:drawing>
          <wp:inline distT="0" distB="0" distL="0" distR="0">
            <wp:extent cx="4232577" cy="4214485"/>
            <wp:effectExtent l="19050" t="0" r="0" b="0"/>
            <wp:docPr id="2" name="Picture 3" descr="C:\Users\Burak\Desktop\Carlet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ak\Desktop\Carleton\Figure 2.tif"/>
                    <pic:cNvPicPr>
                      <a:picLocks noChangeAspect="1" noChangeArrowheads="1"/>
                    </pic:cNvPicPr>
                  </pic:nvPicPr>
                  <pic:blipFill>
                    <a:blip r:embed="rId11" cstate="print"/>
                    <a:srcRect/>
                    <a:stretch>
                      <a:fillRect/>
                    </a:stretch>
                  </pic:blipFill>
                  <pic:spPr bwMode="auto">
                    <a:xfrm>
                      <a:off x="0" y="0"/>
                      <a:ext cx="4248071" cy="4229913"/>
                    </a:xfrm>
                    <a:prstGeom prst="rect">
                      <a:avLst/>
                    </a:prstGeom>
                    <a:noFill/>
                    <a:ln w="9525">
                      <a:noFill/>
                      <a:miter lim="800000"/>
                      <a:headEnd/>
                      <a:tailEnd/>
                    </a:ln>
                  </pic:spPr>
                </pic:pic>
              </a:graphicData>
            </a:graphic>
          </wp:inline>
        </w:drawing>
      </w:r>
    </w:p>
    <w:p w:rsidR="00BF25DE" w:rsidRDefault="00BF25DE" w:rsidP="00051A6E">
      <w:pPr>
        <w:pStyle w:val="Caption"/>
        <w:spacing w:after="0"/>
        <w:rPr>
          <w:rFonts w:cs="Times New Roman"/>
          <w:b w:val="0"/>
          <w:color w:val="auto"/>
          <w:sz w:val="24"/>
          <w:szCs w:val="24"/>
        </w:rPr>
      </w:pPr>
      <w:bookmarkStart w:id="1" w:name="_Ref403557670"/>
      <w:bookmarkStart w:id="2" w:name="_Ref403597419"/>
      <w:bookmarkStart w:id="3" w:name="_Toc415674251"/>
      <w:bookmarkStart w:id="4" w:name="_Toc415769239"/>
      <w:bookmarkStart w:id="5" w:name="_Toc415833354"/>
      <w:bookmarkStart w:id="6" w:name="_Toc415833411"/>
      <w:bookmarkStart w:id="7" w:name="_Toc415833477"/>
      <w:bookmarkStart w:id="8" w:name="_Toc415853729"/>
      <w:bookmarkStart w:id="9" w:name="_Toc415940698"/>
      <w:bookmarkStart w:id="10" w:name="_Toc421178259"/>
      <w:bookmarkStart w:id="11" w:name="_Toc421178568"/>
      <w:r w:rsidRPr="00303BF6">
        <w:rPr>
          <w:rFonts w:cs="Times New Roman"/>
          <w:b w:val="0"/>
          <w:color w:val="auto"/>
          <w:sz w:val="24"/>
          <w:szCs w:val="24"/>
        </w:rPr>
        <w:t xml:space="preserve">Figure </w:t>
      </w:r>
      <w:r w:rsidR="00F84CB0" w:rsidRPr="00303BF6">
        <w:rPr>
          <w:rFonts w:cs="Times New Roman"/>
          <w:b w:val="0"/>
          <w:color w:val="auto"/>
          <w:sz w:val="24"/>
          <w:szCs w:val="24"/>
        </w:rPr>
        <w:fldChar w:fldCharType="begin"/>
      </w:r>
      <w:r w:rsidRPr="00303BF6">
        <w:rPr>
          <w:rFonts w:cs="Times New Roman"/>
          <w:b w:val="0"/>
          <w:color w:val="auto"/>
          <w:sz w:val="24"/>
          <w:szCs w:val="24"/>
        </w:rPr>
        <w:instrText xml:space="preserve"> SEQ Figure \* ARABIC </w:instrText>
      </w:r>
      <w:r w:rsidR="00F84CB0" w:rsidRPr="00303BF6">
        <w:rPr>
          <w:rFonts w:cs="Times New Roman"/>
          <w:b w:val="0"/>
          <w:color w:val="auto"/>
          <w:sz w:val="24"/>
          <w:szCs w:val="24"/>
        </w:rPr>
        <w:fldChar w:fldCharType="separate"/>
      </w:r>
      <w:r>
        <w:rPr>
          <w:rFonts w:cs="Times New Roman"/>
          <w:b w:val="0"/>
          <w:noProof/>
          <w:color w:val="auto"/>
          <w:sz w:val="24"/>
          <w:szCs w:val="24"/>
        </w:rPr>
        <w:t>1</w:t>
      </w:r>
      <w:r w:rsidR="00F84CB0" w:rsidRPr="00303BF6">
        <w:rPr>
          <w:rFonts w:cs="Times New Roman"/>
          <w:b w:val="0"/>
          <w:color w:val="auto"/>
          <w:sz w:val="24"/>
          <w:szCs w:val="24"/>
        </w:rPr>
        <w:fldChar w:fldCharType="end"/>
      </w:r>
      <w:bookmarkEnd w:id="1"/>
      <w:r w:rsidRPr="00303BF6">
        <w:rPr>
          <w:rFonts w:cs="Times New Roman"/>
          <w:b w:val="0"/>
          <w:color w:val="auto"/>
          <w:sz w:val="24"/>
          <w:szCs w:val="24"/>
        </w:rPr>
        <w:t>: A simulation framework for occupant models.</w:t>
      </w:r>
      <w:bookmarkEnd w:id="2"/>
      <w:bookmarkEnd w:id="3"/>
      <w:bookmarkEnd w:id="4"/>
      <w:bookmarkEnd w:id="5"/>
      <w:bookmarkEnd w:id="6"/>
      <w:bookmarkEnd w:id="7"/>
      <w:bookmarkEnd w:id="8"/>
      <w:bookmarkEnd w:id="9"/>
      <w:bookmarkEnd w:id="10"/>
      <w:bookmarkEnd w:id="11"/>
    </w:p>
    <w:p w:rsidR="00CA2052" w:rsidRPr="00CA2052" w:rsidRDefault="00CA2052" w:rsidP="00CA2052"/>
    <w:p w:rsidR="00BF25DE" w:rsidRPr="00716F43" w:rsidRDefault="00BF25DE" w:rsidP="00CA2052">
      <w:pPr>
        <w:pStyle w:val="Caption"/>
        <w:spacing w:before="240"/>
        <w:rPr>
          <w:rFonts w:cs="Times New Roman"/>
          <w:b w:val="0"/>
          <w:color w:val="auto"/>
          <w:sz w:val="24"/>
          <w:szCs w:val="24"/>
        </w:rPr>
      </w:pPr>
      <w:bookmarkStart w:id="12" w:name="_Toc415940840"/>
      <w:r w:rsidRPr="00716F43">
        <w:rPr>
          <w:rFonts w:cs="Times New Roman"/>
          <w:b w:val="0"/>
          <w:color w:val="auto"/>
          <w:sz w:val="24"/>
          <w:szCs w:val="24"/>
        </w:rPr>
        <w:lastRenderedPageBreak/>
        <w:t xml:space="preserve">Table </w:t>
      </w:r>
      <w:r w:rsidR="00F84CB0" w:rsidRPr="00716F43">
        <w:rPr>
          <w:rFonts w:cs="Times New Roman"/>
          <w:b w:val="0"/>
          <w:color w:val="auto"/>
          <w:sz w:val="24"/>
          <w:szCs w:val="24"/>
        </w:rPr>
        <w:fldChar w:fldCharType="begin"/>
      </w:r>
      <w:r w:rsidRPr="00716F43">
        <w:rPr>
          <w:rFonts w:cs="Times New Roman"/>
          <w:b w:val="0"/>
          <w:color w:val="auto"/>
          <w:sz w:val="24"/>
          <w:szCs w:val="24"/>
        </w:rPr>
        <w:instrText xml:space="preserve"> SEQ Table \* ARABIC </w:instrText>
      </w:r>
      <w:r w:rsidR="00F84CB0" w:rsidRPr="00716F43">
        <w:rPr>
          <w:rFonts w:cs="Times New Roman"/>
          <w:b w:val="0"/>
          <w:color w:val="auto"/>
          <w:sz w:val="24"/>
          <w:szCs w:val="24"/>
        </w:rPr>
        <w:fldChar w:fldCharType="separate"/>
      </w:r>
      <w:r w:rsidRPr="00716F43">
        <w:rPr>
          <w:rFonts w:cs="Times New Roman"/>
          <w:b w:val="0"/>
          <w:noProof/>
          <w:color w:val="auto"/>
          <w:sz w:val="24"/>
          <w:szCs w:val="24"/>
        </w:rPr>
        <w:t>2</w:t>
      </w:r>
      <w:r w:rsidR="00F84CB0" w:rsidRPr="00716F43">
        <w:rPr>
          <w:rFonts w:cs="Times New Roman"/>
          <w:b w:val="0"/>
          <w:color w:val="auto"/>
          <w:sz w:val="24"/>
          <w:szCs w:val="24"/>
        </w:rPr>
        <w:fldChar w:fldCharType="end"/>
      </w:r>
      <w:r w:rsidRPr="00716F43">
        <w:rPr>
          <w:rFonts w:cs="Times New Roman"/>
          <w:b w:val="0"/>
          <w:color w:val="auto"/>
          <w:sz w:val="24"/>
          <w:szCs w:val="24"/>
        </w:rPr>
        <w:t xml:space="preserve">: Occupancy state-transition times and vacancy durations (Reinhart </w:t>
      </w:r>
      <w:r w:rsidR="00051A6E">
        <w:rPr>
          <w:rFonts w:cs="Times New Roman"/>
          <w:b w:val="0"/>
          <w:color w:val="auto"/>
          <w:sz w:val="24"/>
          <w:szCs w:val="24"/>
        </w:rPr>
        <w:t>2004; Wang et al. 2005; Page</w:t>
      </w:r>
      <w:r w:rsidRPr="00716F43">
        <w:rPr>
          <w:rFonts w:cs="Times New Roman"/>
          <w:b w:val="0"/>
          <w:color w:val="auto"/>
          <w:sz w:val="24"/>
          <w:szCs w:val="24"/>
        </w:rPr>
        <w:t xml:space="preserve"> et al. 2008).</w:t>
      </w:r>
      <w:bookmarkEnd w:id="12"/>
    </w:p>
    <w:tbl>
      <w:tblPr>
        <w:tblStyle w:val="LightShading3"/>
        <w:tblW w:w="0" w:type="auto"/>
        <w:jc w:val="center"/>
        <w:tblLook w:val="0680"/>
      </w:tblPr>
      <w:tblGrid>
        <w:gridCol w:w="2970"/>
        <w:gridCol w:w="1175"/>
      </w:tblGrid>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Arrival time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8±0.25</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Coffee break 1 time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10±0.25</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Lunch time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12±0.25</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Coffee break 2 time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15±0.25</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Departure time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18±0.25</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Coffee break durations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0.25±0.1</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Lunch break durations (h)</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1±0.25</w:t>
            </w:r>
          </w:p>
        </w:tc>
      </w:tr>
      <w:tr w:rsidR="00BF25DE" w:rsidRPr="001031CE" w:rsidTr="00051A6E">
        <w:trPr>
          <w:jc w:val="center"/>
        </w:trPr>
        <w:tc>
          <w:tcPr>
            <w:cnfStyle w:val="001000000000"/>
            <w:tcW w:w="2970" w:type="dxa"/>
          </w:tcPr>
          <w:p w:rsidR="00BF25DE" w:rsidRPr="001031CE" w:rsidRDefault="00BF25DE" w:rsidP="00051A6E">
            <w:pPr>
              <w:rPr>
                <w:b w:val="0"/>
                <w:sz w:val="20"/>
              </w:rPr>
            </w:pPr>
            <w:r w:rsidRPr="001031CE">
              <w:rPr>
                <w:rFonts w:eastAsia="Times New Roman" w:cs="Times New Roman"/>
                <w:b w:val="0"/>
                <w:bCs w:val="0"/>
                <w:color w:val="000000"/>
                <w:sz w:val="20"/>
                <w:lang w:eastAsia="en-CA"/>
              </w:rPr>
              <w:t>Mobility parameter</w:t>
            </w:r>
          </w:p>
        </w:tc>
        <w:tc>
          <w:tcPr>
            <w:tcW w:w="1175" w:type="dxa"/>
          </w:tcPr>
          <w:p w:rsidR="00BF25DE" w:rsidRPr="001031CE" w:rsidRDefault="00BF25DE" w:rsidP="00051A6E">
            <w:pPr>
              <w:cnfStyle w:val="000000000000"/>
              <w:rPr>
                <w:sz w:val="20"/>
              </w:rPr>
            </w:pPr>
            <w:r w:rsidRPr="001031CE">
              <w:rPr>
                <w:rFonts w:eastAsia="Times New Roman" w:cs="Times New Roman"/>
                <w:color w:val="000000"/>
                <w:sz w:val="20"/>
                <w:lang w:eastAsia="en-CA"/>
              </w:rPr>
              <w:t>0.25±0.25</w:t>
            </w:r>
          </w:p>
        </w:tc>
      </w:tr>
    </w:tbl>
    <w:p w:rsidR="00BF25DE" w:rsidRDefault="00BF25DE" w:rsidP="00051A6E">
      <w:pPr>
        <w:pStyle w:val="MTDisplayEquation"/>
        <w:spacing w:before="240" w:line="360" w:lineRule="auto"/>
      </w:pPr>
      <w:r>
        <w:t xml:space="preserve">In the beginning of each run-time, parameter inputs for the model predicting the clothing insulation characteristics of occupant </w:t>
      </w:r>
      <w:proofErr w:type="spellStart"/>
      <w:r w:rsidRPr="00F84193">
        <w:rPr>
          <w:i/>
        </w:rPr>
        <w:t>i</w:t>
      </w:r>
      <w:proofErr w:type="spellEnd"/>
      <w:r>
        <w:t xml:space="preserve"> is generated from a normal distribution. Table 3 presents the distribution of these parameters in the form of mean ± standard deviation. Once the parameters defining the clothing habits of occupant </w:t>
      </w:r>
      <w:proofErr w:type="spellStart"/>
      <w:r w:rsidRPr="00CA3592">
        <w:rPr>
          <w:i/>
        </w:rPr>
        <w:t>i</w:t>
      </w:r>
      <w:proofErr w:type="spellEnd"/>
      <w:r>
        <w:t xml:space="preserve"> are defined in the beginning of the run-time, during the simulation the occupant </w:t>
      </w:r>
      <w:proofErr w:type="spellStart"/>
      <w:r w:rsidRPr="00CA3592">
        <w:rPr>
          <w:i/>
        </w:rPr>
        <w:t>i</w:t>
      </w:r>
      <w:r w:rsidRPr="00CA3592">
        <w:t>'s</w:t>
      </w:r>
      <w:proofErr w:type="spellEnd"/>
      <w:r>
        <w:t xml:space="preserve"> clothing insulation level is selected on each workday. By employing the empirical relationships developed by </w:t>
      </w:r>
      <w:r>
        <w:rPr>
          <w:noProof/>
        </w:rPr>
        <w:t>Schiavon and Lee (2013)</w:t>
      </w:r>
      <w:r>
        <w:t>, the clothing insulation level during a workday is estimated as follows:</w:t>
      </w:r>
    </w:p>
    <w:p w:rsidR="00BF25DE" w:rsidRDefault="00BF25DE" w:rsidP="00051A6E">
      <w:pPr>
        <w:pStyle w:val="MTDisplayEquation"/>
        <w:spacing w:line="360" w:lineRule="auto"/>
      </w:pPr>
      <w:r>
        <w:tab/>
      </w:r>
      <w:r w:rsidRPr="00030503">
        <w:rPr>
          <w:position w:val="-6"/>
        </w:rPr>
        <w:object w:dxaOrig="1660" w:dyaOrig="360">
          <v:shape id="_x0000_i1027" type="#_x0000_t75" style="width:83pt;height:18.5pt" o:ole="">
            <v:imagedata r:id="rId12" o:title=""/>
          </v:shape>
          <o:OLEObject Type="Embed" ProgID="Equation.DSMT4" ShapeID="_x0000_i1027" DrawAspect="Content" ObjectID="_1499792894" r:id="rId13"/>
        </w:object>
      </w:r>
      <w:r>
        <w:tab/>
        <w:t>(3)</w:t>
      </w:r>
    </w:p>
    <w:p w:rsidR="00BF25DE" w:rsidRDefault="00BF25DE" w:rsidP="00051A6E">
      <w:pPr>
        <w:spacing w:after="0" w:line="360" w:lineRule="auto"/>
        <w:jc w:val="both"/>
        <w:rPr>
          <w:rFonts w:cs="Times New Roman"/>
          <w:szCs w:val="24"/>
        </w:rPr>
      </w:pPr>
      <w:r w:rsidRPr="00EE35BD">
        <w:rPr>
          <w:rFonts w:cs="Times New Roman"/>
          <w:szCs w:val="24"/>
        </w:rPr>
        <w:t>where</w:t>
      </w:r>
      <w:r>
        <w:rPr>
          <w:rFonts w:cs="Times New Roman"/>
          <w:szCs w:val="24"/>
        </w:rPr>
        <w:t xml:space="preserve"> </w:t>
      </w:r>
      <w:proofErr w:type="spellStart"/>
      <w:r w:rsidRPr="00EE35BD">
        <w:rPr>
          <w:rFonts w:cs="Times New Roman"/>
          <w:i/>
          <w:szCs w:val="24"/>
        </w:rPr>
        <w:t>clo</w:t>
      </w:r>
      <w:proofErr w:type="spellEnd"/>
      <w:r>
        <w:rPr>
          <w:rFonts w:cs="Times New Roman"/>
          <w:i/>
          <w:szCs w:val="24"/>
        </w:rPr>
        <w:t xml:space="preserve"> </w:t>
      </w:r>
      <w:r>
        <w:rPr>
          <w:rFonts w:cs="Times New Roman"/>
          <w:szCs w:val="24"/>
        </w:rPr>
        <w:t xml:space="preserve">is the clothing insulation unit of </w:t>
      </w:r>
      <w:r>
        <w:rPr>
          <w:rFonts w:cs="Times New Roman"/>
          <w:noProof/>
          <w:szCs w:val="24"/>
        </w:rPr>
        <w:t>ASHRAE Standard</w:t>
      </w:r>
      <w:r w:rsidR="00695225">
        <w:rPr>
          <w:rFonts w:cs="Times New Roman"/>
          <w:noProof/>
          <w:szCs w:val="24"/>
        </w:rPr>
        <w:t xml:space="preserve"> </w:t>
      </w:r>
      <w:r>
        <w:rPr>
          <w:rFonts w:cs="Times New Roman"/>
          <w:noProof/>
          <w:szCs w:val="24"/>
        </w:rPr>
        <w:t>55 (2010)</w:t>
      </w:r>
      <w:r>
        <w:rPr>
          <w:rFonts w:cs="Times New Roman"/>
          <w:szCs w:val="24"/>
        </w:rPr>
        <w:t xml:space="preserve">. The parameters </w:t>
      </w:r>
      <w:r w:rsidRPr="00EE35BD">
        <w:rPr>
          <w:rFonts w:cs="Times New Roman"/>
          <w:i/>
          <w:szCs w:val="24"/>
        </w:rPr>
        <w:t>c</w:t>
      </w:r>
      <w:r>
        <w:rPr>
          <w:rFonts w:cs="Times New Roman"/>
          <w:szCs w:val="24"/>
        </w:rPr>
        <w:t xml:space="preserve">, </w:t>
      </w:r>
      <w:r w:rsidRPr="00EE35BD">
        <w:rPr>
          <w:rFonts w:cs="Times New Roman"/>
          <w:i/>
          <w:szCs w:val="24"/>
        </w:rPr>
        <w:t>m</w:t>
      </w:r>
      <w:r>
        <w:rPr>
          <w:rFonts w:cs="Times New Roman"/>
          <w:szCs w:val="24"/>
        </w:rPr>
        <w:t xml:space="preserve">, </w:t>
      </w:r>
      <w:r w:rsidRPr="00EE35BD">
        <w:rPr>
          <w:rFonts w:cs="Times New Roman"/>
          <w:i/>
          <w:szCs w:val="24"/>
        </w:rPr>
        <w:t>n</w:t>
      </w:r>
      <w:r>
        <w:rPr>
          <w:rFonts w:cs="Times New Roman"/>
          <w:szCs w:val="24"/>
        </w:rPr>
        <w:t xml:space="preserve"> are the input parameters for occupant </w:t>
      </w:r>
      <w:proofErr w:type="spellStart"/>
      <w:r w:rsidRPr="00EE35BD">
        <w:rPr>
          <w:rFonts w:cs="Times New Roman"/>
          <w:i/>
          <w:szCs w:val="24"/>
        </w:rPr>
        <w:t>i</w:t>
      </w:r>
      <w:proofErr w:type="spellEnd"/>
      <w:r>
        <w:rPr>
          <w:rFonts w:cs="Times New Roman"/>
          <w:szCs w:val="24"/>
        </w:rPr>
        <w:t xml:space="preserve"> and </w:t>
      </w:r>
      <w:r w:rsidRPr="000F0120">
        <w:rPr>
          <w:rFonts w:cs="Times New Roman"/>
          <w:i/>
          <w:szCs w:val="24"/>
        </w:rPr>
        <w:t>x</w:t>
      </w:r>
      <w:r w:rsidRPr="000C2CFD">
        <w:rPr>
          <w:rFonts w:cs="Times New Roman"/>
          <w:szCs w:val="24"/>
          <w:vertAlign w:val="subscript"/>
        </w:rPr>
        <w:t>1</w:t>
      </w:r>
      <w:r>
        <w:rPr>
          <w:rFonts w:cs="Times New Roman"/>
          <w:szCs w:val="24"/>
        </w:rPr>
        <w:t xml:space="preserve"> and </w:t>
      </w:r>
      <w:r w:rsidRPr="000F0120">
        <w:rPr>
          <w:rFonts w:cs="Times New Roman"/>
          <w:i/>
          <w:szCs w:val="24"/>
        </w:rPr>
        <w:t>x</w:t>
      </w:r>
      <w:r w:rsidRPr="000C2CFD">
        <w:rPr>
          <w:rFonts w:cs="Times New Roman"/>
          <w:szCs w:val="24"/>
          <w:vertAlign w:val="subscript"/>
        </w:rPr>
        <w:t>2</w:t>
      </w:r>
      <w:r>
        <w:rPr>
          <w:rFonts w:cs="Times New Roman"/>
          <w:szCs w:val="24"/>
        </w:rPr>
        <w:t xml:space="preserve"> are the predictors for the model (see Table 3). It is worth noting that this model assumes occupants' clothing levels as a continuous quantity; meaning that occupants dynamically change their clothing level in each time-step in response to a change in the </w:t>
      </w:r>
      <w:r w:rsidR="00695225">
        <w:rPr>
          <w:rFonts w:cs="Times New Roman"/>
          <w:szCs w:val="24"/>
        </w:rPr>
        <w:t xml:space="preserve">operative </w:t>
      </w:r>
      <w:r>
        <w:rPr>
          <w:rFonts w:cs="Times New Roman"/>
          <w:szCs w:val="24"/>
        </w:rPr>
        <w:t xml:space="preserve">temperature. In reality, office occupants, once they are at work, can only make discrete levels of clothing level adjustments. Contradicting to this assumption, the evidence suggests that occupants rarely undertake clothing level adjustments during a day (less than two adjustments per year according to </w:t>
      </w:r>
      <w:r>
        <w:rPr>
          <w:rFonts w:cs="Times New Roman"/>
          <w:noProof/>
          <w:szCs w:val="24"/>
        </w:rPr>
        <w:t>Haldi and Robinson (2011))</w:t>
      </w:r>
      <w:r>
        <w:rPr>
          <w:rFonts w:cs="Times New Roman"/>
          <w:szCs w:val="24"/>
        </w:rPr>
        <w:t xml:space="preserve">. </w:t>
      </w:r>
    </w:p>
    <w:p w:rsidR="00BF25DE" w:rsidRPr="00716F43" w:rsidRDefault="00BF25DE" w:rsidP="00051A6E">
      <w:pPr>
        <w:spacing w:after="0" w:line="480" w:lineRule="auto"/>
        <w:jc w:val="both"/>
        <w:rPr>
          <w:rFonts w:cs="Times New Roman"/>
          <w:szCs w:val="24"/>
        </w:rPr>
      </w:pPr>
      <w:bookmarkStart w:id="13" w:name="_Ref403563417"/>
      <w:bookmarkStart w:id="14" w:name="_Toc415940841"/>
      <w:bookmarkStart w:id="15" w:name="_Ref403597321"/>
      <w:r w:rsidRPr="00716F43">
        <w:rPr>
          <w:rFonts w:cs="Times New Roman"/>
          <w:szCs w:val="24"/>
        </w:rPr>
        <w:t xml:space="preserve">Table </w:t>
      </w:r>
      <w:r w:rsidR="00F84CB0" w:rsidRPr="00716F43">
        <w:rPr>
          <w:rFonts w:cs="Times New Roman"/>
          <w:szCs w:val="24"/>
        </w:rPr>
        <w:fldChar w:fldCharType="begin"/>
      </w:r>
      <w:r w:rsidRPr="00716F43">
        <w:rPr>
          <w:rFonts w:cs="Times New Roman"/>
          <w:szCs w:val="24"/>
        </w:rPr>
        <w:instrText xml:space="preserve"> SEQ Table \* ARABIC </w:instrText>
      </w:r>
      <w:r w:rsidR="00F84CB0" w:rsidRPr="00716F43">
        <w:rPr>
          <w:rFonts w:cs="Times New Roman"/>
          <w:szCs w:val="24"/>
        </w:rPr>
        <w:fldChar w:fldCharType="separate"/>
      </w:r>
      <w:r w:rsidRPr="00716F43">
        <w:rPr>
          <w:rFonts w:cs="Times New Roman"/>
          <w:noProof/>
          <w:szCs w:val="24"/>
        </w:rPr>
        <w:t>3</w:t>
      </w:r>
      <w:r w:rsidR="00F84CB0" w:rsidRPr="00716F43">
        <w:rPr>
          <w:rFonts w:cs="Times New Roman"/>
          <w:szCs w:val="24"/>
        </w:rPr>
        <w:fldChar w:fldCharType="end"/>
      </w:r>
      <w:bookmarkEnd w:id="13"/>
      <w:r w:rsidRPr="00716F43">
        <w:rPr>
          <w:rFonts w:cs="Times New Roman"/>
          <w:szCs w:val="24"/>
        </w:rPr>
        <w:t>: Input parameters for the clothing insulation model (</w:t>
      </w:r>
      <w:proofErr w:type="spellStart"/>
      <w:r w:rsidRPr="00716F43">
        <w:rPr>
          <w:rFonts w:cs="Times New Roman"/>
          <w:szCs w:val="24"/>
        </w:rPr>
        <w:t>Schiavon</w:t>
      </w:r>
      <w:proofErr w:type="spellEnd"/>
      <w:r w:rsidRPr="00716F43">
        <w:rPr>
          <w:rFonts w:cs="Times New Roman"/>
          <w:szCs w:val="24"/>
        </w:rPr>
        <w:t xml:space="preserve"> and Lee 2013).</w:t>
      </w:r>
      <w:bookmarkEnd w:id="14"/>
      <w:r w:rsidRPr="00716F43">
        <w:rPr>
          <w:rFonts w:cs="Times New Roman"/>
          <w:szCs w:val="24"/>
        </w:rPr>
        <w:t xml:space="preserve"> </w:t>
      </w:r>
      <w:bookmarkEnd w:id="15"/>
    </w:p>
    <w:tbl>
      <w:tblPr>
        <w:tblStyle w:val="LightShading1"/>
        <w:tblW w:w="7312" w:type="dxa"/>
        <w:jc w:val="center"/>
        <w:tblLook w:val="06A0"/>
      </w:tblPr>
      <w:tblGrid>
        <w:gridCol w:w="1332"/>
        <w:gridCol w:w="1340"/>
        <w:gridCol w:w="1500"/>
        <w:gridCol w:w="1960"/>
        <w:gridCol w:w="1180"/>
      </w:tblGrid>
      <w:tr w:rsidR="00BF25DE" w:rsidRPr="006809B4" w:rsidTr="00051A6E">
        <w:trPr>
          <w:cnfStyle w:val="100000000000"/>
          <w:trHeight w:val="324"/>
          <w:jc w:val="center"/>
        </w:trPr>
        <w:tc>
          <w:tcPr>
            <w:cnfStyle w:val="001000000000"/>
            <w:tcW w:w="1332" w:type="dxa"/>
            <w:hideMark/>
          </w:tcPr>
          <w:p w:rsidR="00BF25DE" w:rsidRPr="006809B4" w:rsidRDefault="00BF25DE" w:rsidP="00051A6E">
            <w:pPr>
              <w:jc w:val="center"/>
              <w:rPr>
                <w:rFonts w:eastAsia="Times New Roman" w:cs="Times New Roman"/>
                <w:b w:val="0"/>
                <w:bCs w:val="0"/>
                <w:color w:val="000000"/>
                <w:sz w:val="20"/>
                <w:lang w:eastAsia="en-CA"/>
              </w:rPr>
            </w:pPr>
            <w:r w:rsidRPr="006809B4">
              <w:rPr>
                <w:rFonts w:eastAsia="Times New Roman" w:cs="Times New Roman"/>
                <w:color w:val="000000"/>
                <w:sz w:val="20"/>
                <w:lang w:eastAsia="en-CA"/>
              </w:rPr>
              <w:t>c</w:t>
            </w:r>
          </w:p>
        </w:tc>
        <w:tc>
          <w:tcPr>
            <w:tcW w:w="1340" w:type="dxa"/>
            <w:hideMark/>
          </w:tcPr>
          <w:p w:rsidR="00BF25DE" w:rsidRPr="006809B4" w:rsidRDefault="00BF25DE" w:rsidP="00051A6E">
            <w:pPr>
              <w:jc w:val="center"/>
              <w:cnfStyle w:val="100000000000"/>
              <w:rPr>
                <w:rFonts w:eastAsia="Times New Roman" w:cs="Times New Roman"/>
                <w:b w:val="0"/>
                <w:bCs w:val="0"/>
                <w:color w:val="000000"/>
                <w:sz w:val="20"/>
                <w:lang w:eastAsia="en-CA"/>
              </w:rPr>
            </w:pPr>
            <w:r>
              <w:rPr>
                <w:rFonts w:eastAsia="Times New Roman" w:cs="Times New Roman"/>
                <w:color w:val="000000"/>
                <w:sz w:val="20"/>
                <w:lang w:eastAsia="en-CA"/>
              </w:rPr>
              <w:t>m</w:t>
            </w:r>
          </w:p>
        </w:tc>
        <w:tc>
          <w:tcPr>
            <w:tcW w:w="1500" w:type="dxa"/>
            <w:hideMark/>
          </w:tcPr>
          <w:p w:rsidR="00BF25DE" w:rsidRPr="006809B4" w:rsidRDefault="00BF25DE" w:rsidP="00051A6E">
            <w:pPr>
              <w:jc w:val="center"/>
              <w:cnfStyle w:val="100000000000"/>
              <w:rPr>
                <w:rFonts w:eastAsia="Times New Roman" w:cs="Times New Roman"/>
                <w:b w:val="0"/>
                <w:bCs w:val="0"/>
                <w:color w:val="000000"/>
                <w:sz w:val="20"/>
                <w:lang w:eastAsia="en-CA"/>
              </w:rPr>
            </w:pPr>
            <w:r>
              <w:rPr>
                <w:rFonts w:eastAsia="Times New Roman" w:cs="Times New Roman"/>
                <w:color w:val="000000"/>
                <w:sz w:val="20"/>
                <w:lang w:eastAsia="en-CA"/>
              </w:rPr>
              <w:t>n</w:t>
            </w:r>
          </w:p>
        </w:tc>
        <w:tc>
          <w:tcPr>
            <w:tcW w:w="1960" w:type="dxa"/>
            <w:hideMark/>
          </w:tcPr>
          <w:p w:rsidR="00BF25DE" w:rsidRPr="006809B4" w:rsidRDefault="00BF25DE" w:rsidP="00051A6E">
            <w:pPr>
              <w:jc w:val="center"/>
              <w:cnfStyle w:val="100000000000"/>
              <w:rPr>
                <w:rFonts w:eastAsia="Times New Roman" w:cs="Times New Roman"/>
                <w:b w:val="0"/>
                <w:bCs w:val="0"/>
                <w:color w:val="000000"/>
                <w:sz w:val="20"/>
                <w:lang w:eastAsia="en-CA"/>
              </w:rPr>
            </w:pPr>
            <w:r w:rsidRPr="006809B4">
              <w:rPr>
                <w:rFonts w:eastAsia="Times New Roman" w:cs="Times New Roman"/>
                <w:color w:val="000000"/>
                <w:sz w:val="20"/>
                <w:lang w:eastAsia="en-CA"/>
              </w:rPr>
              <w:t>x</w:t>
            </w:r>
            <w:r w:rsidRPr="006809B4">
              <w:rPr>
                <w:rFonts w:eastAsia="Times New Roman" w:cs="Times New Roman"/>
                <w:color w:val="000000"/>
                <w:sz w:val="20"/>
                <w:vertAlign w:val="subscript"/>
                <w:lang w:eastAsia="en-CA"/>
              </w:rPr>
              <w:t>1</w:t>
            </w:r>
            <w:r>
              <w:rPr>
                <w:rFonts w:eastAsia="Times New Roman" w:cs="Times New Roman"/>
                <w:color w:val="000000"/>
                <w:sz w:val="20"/>
                <w:vertAlign w:val="subscript"/>
                <w:lang w:eastAsia="en-CA"/>
              </w:rPr>
              <w:t xml:space="preserve"> </w:t>
            </w:r>
            <w:r w:rsidRPr="008860AE">
              <w:rPr>
                <w:rFonts w:eastAsia="Times New Roman" w:cs="Times New Roman"/>
                <w:color w:val="000000"/>
                <w:sz w:val="20"/>
                <w:szCs w:val="20"/>
                <w:lang w:eastAsia="en-CA"/>
              </w:rPr>
              <w:t>(</w:t>
            </w:r>
            <w:r w:rsidRPr="008860AE">
              <w:rPr>
                <w:rFonts w:cs="Times New Roman"/>
                <w:color w:val="545454"/>
                <w:sz w:val="20"/>
                <w:szCs w:val="20"/>
                <w:shd w:val="clear" w:color="auto" w:fill="FFFFFF"/>
              </w:rPr>
              <w:t>°C</w:t>
            </w:r>
            <w:r w:rsidRPr="008860AE">
              <w:rPr>
                <w:rFonts w:eastAsia="Times New Roman" w:cs="Times New Roman"/>
                <w:color w:val="000000"/>
                <w:sz w:val="20"/>
                <w:szCs w:val="20"/>
                <w:lang w:eastAsia="en-CA"/>
              </w:rPr>
              <w:t>)</w:t>
            </w:r>
          </w:p>
        </w:tc>
        <w:tc>
          <w:tcPr>
            <w:tcW w:w="1180" w:type="dxa"/>
            <w:hideMark/>
          </w:tcPr>
          <w:p w:rsidR="00BF25DE" w:rsidRPr="006809B4" w:rsidRDefault="00BF25DE" w:rsidP="00051A6E">
            <w:pPr>
              <w:jc w:val="center"/>
              <w:cnfStyle w:val="100000000000"/>
              <w:rPr>
                <w:rFonts w:eastAsia="Times New Roman" w:cs="Times New Roman"/>
                <w:b w:val="0"/>
                <w:bCs w:val="0"/>
                <w:color w:val="000000"/>
                <w:sz w:val="20"/>
                <w:lang w:eastAsia="en-CA"/>
              </w:rPr>
            </w:pPr>
            <w:r w:rsidRPr="006809B4">
              <w:rPr>
                <w:rFonts w:eastAsia="Times New Roman" w:cs="Times New Roman"/>
                <w:color w:val="000000"/>
                <w:sz w:val="20"/>
                <w:lang w:eastAsia="en-CA"/>
              </w:rPr>
              <w:t>x</w:t>
            </w:r>
            <w:r w:rsidRPr="006809B4">
              <w:rPr>
                <w:rFonts w:eastAsia="Times New Roman" w:cs="Times New Roman"/>
                <w:color w:val="000000"/>
                <w:sz w:val="20"/>
                <w:vertAlign w:val="subscript"/>
                <w:lang w:eastAsia="en-CA"/>
              </w:rPr>
              <w:t>2</w:t>
            </w:r>
            <w:r>
              <w:rPr>
                <w:rFonts w:eastAsia="Times New Roman" w:cs="Times New Roman"/>
                <w:color w:val="000000"/>
                <w:sz w:val="20"/>
                <w:vertAlign w:val="subscript"/>
                <w:lang w:eastAsia="en-CA"/>
              </w:rPr>
              <w:t xml:space="preserve"> </w:t>
            </w:r>
            <w:r w:rsidRPr="008860AE">
              <w:rPr>
                <w:rFonts w:eastAsia="Times New Roman" w:cs="Times New Roman"/>
                <w:color w:val="000000"/>
                <w:sz w:val="20"/>
                <w:lang w:eastAsia="en-CA"/>
              </w:rPr>
              <w:t>(°C)</w:t>
            </w:r>
          </w:p>
        </w:tc>
      </w:tr>
      <w:tr w:rsidR="00BF25DE" w:rsidRPr="006809B4" w:rsidTr="00695225">
        <w:trPr>
          <w:trHeight w:val="648"/>
          <w:jc w:val="center"/>
        </w:trPr>
        <w:tc>
          <w:tcPr>
            <w:cnfStyle w:val="001000000000"/>
            <w:tcW w:w="1332" w:type="dxa"/>
            <w:vAlign w:val="center"/>
            <w:hideMark/>
          </w:tcPr>
          <w:p w:rsidR="001A7D3E" w:rsidRDefault="0051543B">
            <w:pPr>
              <w:jc w:val="center"/>
              <w:rPr>
                <w:rFonts w:eastAsia="Times New Roman" w:cs="Times New Roman"/>
                <w:b w:val="0"/>
                <w:color w:val="000000"/>
                <w:sz w:val="20"/>
                <w:lang w:eastAsia="en-CA"/>
              </w:rPr>
            </w:pPr>
            <w:r>
              <w:rPr>
                <w:rFonts w:eastAsia="Times New Roman" w:cs="Times New Roman"/>
                <w:color w:val="000000"/>
                <w:sz w:val="20"/>
                <w:lang w:eastAsia="en-CA"/>
              </w:rPr>
              <w:t>0.21±0.10</w:t>
            </w:r>
          </w:p>
        </w:tc>
        <w:tc>
          <w:tcPr>
            <w:tcW w:w="1340" w:type="dxa"/>
            <w:vAlign w:val="center"/>
            <w:hideMark/>
          </w:tcPr>
          <w:p w:rsidR="001A7D3E" w:rsidRDefault="008E1C43">
            <w:pPr>
              <w:jc w:val="center"/>
              <w:cnfStyle w:val="000000000000"/>
              <w:rPr>
                <w:rFonts w:eastAsia="Times New Roman" w:cs="Times New Roman"/>
                <w:color w:val="000000"/>
                <w:sz w:val="20"/>
                <w:lang w:eastAsia="en-CA"/>
              </w:rPr>
            </w:pPr>
            <w:r>
              <w:rPr>
                <w:rFonts w:eastAsia="Times New Roman" w:cs="Times New Roman"/>
                <w:color w:val="000000"/>
                <w:sz w:val="20"/>
                <w:lang w:eastAsia="en-CA"/>
              </w:rPr>
              <w:t>˗0.016±0.010</w:t>
            </w:r>
          </w:p>
        </w:tc>
        <w:tc>
          <w:tcPr>
            <w:tcW w:w="1500" w:type="dxa"/>
            <w:vAlign w:val="center"/>
            <w:hideMark/>
          </w:tcPr>
          <w:p w:rsidR="001A7D3E" w:rsidRDefault="008E1C43">
            <w:pPr>
              <w:jc w:val="center"/>
              <w:cnfStyle w:val="000000000000"/>
              <w:rPr>
                <w:rFonts w:eastAsia="Times New Roman" w:cs="Times New Roman"/>
                <w:color w:val="000000"/>
                <w:sz w:val="20"/>
                <w:lang w:eastAsia="en-CA"/>
              </w:rPr>
            </w:pPr>
            <w:r>
              <w:rPr>
                <w:rFonts w:eastAsia="Times New Roman" w:cs="Times New Roman"/>
                <w:color w:val="000000"/>
                <w:sz w:val="20"/>
                <w:lang w:eastAsia="en-CA"/>
              </w:rPr>
              <w:t>˗0.0063±0.0003</w:t>
            </w:r>
          </w:p>
        </w:tc>
        <w:tc>
          <w:tcPr>
            <w:tcW w:w="1960" w:type="dxa"/>
            <w:vAlign w:val="center"/>
            <w:hideMark/>
          </w:tcPr>
          <w:p w:rsidR="001A7D3E" w:rsidRDefault="008E1C43">
            <w:pPr>
              <w:jc w:val="center"/>
              <w:cnfStyle w:val="000000000000"/>
              <w:rPr>
                <w:rFonts w:eastAsia="Times New Roman" w:cs="Times New Roman"/>
                <w:color w:val="000000"/>
                <w:sz w:val="20"/>
                <w:lang w:eastAsia="en-CA"/>
              </w:rPr>
            </w:pPr>
            <w:r>
              <w:rPr>
                <w:rFonts w:eastAsia="Times New Roman" w:cs="Times New Roman"/>
                <w:color w:val="000000"/>
                <w:sz w:val="20"/>
                <w:lang w:eastAsia="en-CA"/>
              </w:rPr>
              <w:t>Outdoor temperature at 6h00</w:t>
            </w:r>
          </w:p>
        </w:tc>
        <w:tc>
          <w:tcPr>
            <w:tcW w:w="1180" w:type="dxa"/>
            <w:vAlign w:val="center"/>
            <w:hideMark/>
          </w:tcPr>
          <w:p w:rsidR="001A7D3E" w:rsidRDefault="008E1C43">
            <w:pPr>
              <w:jc w:val="center"/>
              <w:cnfStyle w:val="000000000000"/>
              <w:rPr>
                <w:rFonts w:eastAsia="Times New Roman" w:cs="Times New Roman"/>
                <w:color w:val="000000"/>
                <w:sz w:val="20"/>
                <w:lang w:eastAsia="en-CA"/>
              </w:rPr>
            </w:pPr>
            <w:r>
              <w:rPr>
                <w:rFonts w:eastAsia="Times New Roman" w:cs="Times New Roman"/>
                <w:color w:val="000000"/>
                <w:sz w:val="20"/>
                <w:lang w:eastAsia="en-CA"/>
              </w:rPr>
              <w:t>Operative temperature</w:t>
            </w:r>
          </w:p>
        </w:tc>
      </w:tr>
    </w:tbl>
    <w:p w:rsidR="00BF25DE" w:rsidRDefault="00BF25DE" w:rsidP="00051A6E">
      <w:pPr>
        <w:spacing w:before="240" w:after="0" w:line="360" w:lineRule="auto"/>
        <w:jc w:val="both"/>
        <w:rPr>
          <w:rFonts w:cs="Times New Roman"/>
          <w:szCs w:val="24"/>
        </w:rPr>
      </w:pPr>
      <w:r>
        <w:rPr>
          <w:rFonts w:cs="Times New Roman"/>
          <w:szCs w:val="24"/>
        </w:rPr>
        <w:t xml:space="preserve">In the beginning of each run-time, parameter inputs for the behaviour models predicting the likelihood of an adaptive occupant action over lights, blinds, and windows are generated from a normal distribution. These parameters are inputs for the models that mimic the behavioural </w:t>
      </w:r>
      <w:r>
        <w:rPr>
          <w:rFonts w:cs="Times New Roman"/>
          <w:szCs w:val="24"/>
        </w:rPr>
        <w:lastRenderedPageBreak/>
        <w:t xml:space="preserve">tendency of occupant </w:t>
      </w:r>
      <w:proofErr w:type="spellStart"/>
      <w:r w:rsidRPr="000C2CFD">
        <w:rPr>
          <w:rFonts w:cs="Times New Roman"/>
          <w:i/>
          <w:szCs w:val="24"/>
        </w:rPr>
        <w:t>i</w:t>
      </w:r>
      <w:proofErr w:type="spellEnd"/>
      <w:r>
        <w:rPr>
          <w:rFonts w:cs="Times New Roman"/>
          <w:szCs w:val="24"/>
        </w:rPr>
        <w:t xml:space="preserve"> in using lighting, blinds, and windows.</w:t>
      </w:r>
      <w:r w:rsidRPr="000E1D31">
        <w:rPr>
          <w:rFonts w:cs="Times New Roman"/>
          <w:szCs w:val="24"/>
        </w:rPr>
        <w:t xml:space="preserve"> </w:t>
      </w:r>
      <w:r>
        <w:t>Tables 4</w:t>
      </w:r>
      <w:r w:rsidRPr="008529C3">
        <w:rPr>
          <w:rFonts w:cs="Times New Roman"/>
          <w:szCs w:val="24"/>
        </w:rPr>
        <w:t xml:space="preserve"> </w:t>
      </w:r>
      <w:r>
        <w:rPr>
          <w:rFonts w:cs="Times New Roman"/>
          <w:szCs w:val="24"/>
        </w:rPr>
        <w:t xml:space="preserve">and 5 present the distribution of these parameters in the form of mean ± standard deviation. </w:t>
      </w:r>
    </w:p>
    <w:p w:rsidR="00BF25DE" w:rsidRDefault="00BF25DE" w:rsidP="00051A6E">
      <w:pPr>
        <w:spacing w:after="0" w:line="360" w:lineRule="auto"/>
        <w:jc w:val="both"/>
        <w:rPr>
          <w:rFonts w:cs="Times New Roman"/>
          <w:szCs w:val="24"/>
        </w:rPr>
      </w:pPr>
      <w:r>
        <w:rPr>
          <w:rFonts w:cs="Times New Roman"/>
          <w:szCs w:val="24"/>
        </w:rPr>
        <w:t xml:space="preserve">Once the parameters representing the behaviour models for occupant </w:t>
      </w:r>
      <w:proofErr w:type="spellStart"/>
      <w:r w:rsidRPr="007D20AC">
        <w:rPr>
          <w:rFonts w:cs="Times New Roman"/>
          <w:i/>
          <w:szCs w:val="24"/>
        </w:rPr>
        <w:t>i</w:t>
      </w:r>
      <w:proofErr w:type="spellEnd"/>
      <w:r>
        <w:rPr>
          <w:rFonts w:cs="Times New Roman"/>
          <w:i/>
          <w:szCs w:val="24"/>
        </w:rPr>
        <w:t xml:space="preserve"> </w:t>
      </w:r>
      <w:r>
        <w:rPr>
          <w:rFonts w:cs="Times New Roman"/>
          <w:szCs w:val="24"/>
        </w:rPr>
        <w:t>are generated, the likelihood of undertaking these behaviours in the next time-step (i.e., discrete-time Markov) or finding an adaptive state in the active position (e.g., open windows, switched-on lights, closed blinds) (i.e., Bernoulli) are computed during the simulation via a logistic function as follows:</w:t>
      </w:r>
    </w:p>
    <w:p w:rsidR="00BF25DE" w:rsidRDefault="00BF25DE" w:rsidP="00051A6E">
      <w:pPr>
        <w:pStyle w:val="MTDisplayEquation"/>
        <w:spacing w:line="360" w:lineRule="auto"/>
      </w:pPr>
      <w:r>
        <w:tab/>
      </w:r>
      <w:r w:rsidRPr="00030503">
        <w:rPr>
          <w:position w:val="-68"/>
        </w:rPr>
        <w:object w:dxaOrig="5179" w:dyaOrig="1480">
          <v:shape id="_x0000_i1028" type="#_x0000_t75" style="width:259pt;height:73pt" o:ole="">
            <v:imagedata r:id="rId14" o:title=""/>
          </v:shape>
          <o:OLEObject Type="Embed" ProgID="Equation.DSMT4" ShapeID="_x0000_i1028" DrawAspect="Content" ObjectID="_1499792895" r:id="rId15"/>
        </w:object>
      </w:r>
      <w:r>
        <w:tab/>
        <w:t>(4)</w:t>
      </w:r>
    </w:p>
    <w:p w:rsidR="00BF25DE" w:rsidRDefault="00BF25DE" w:rsidP="00051A6E">
      <w:pPr>
        <w:spacing w:after="0" w:line="360" w:lineRule="auto"/>
        <w:jc w:val="both"/>
        <w:rPr>
          <w:rFonts w:cs="Times New Roman"/>
          <w:szCs w:val="24"/>
        </w:rPr>
      </w:pPr>
      <w:r>
        <w:rPr>
          <w:rFonts w:cs="Times New Roman"/>
          <w:szCs w:val="24"/>
        </w:rPr>
        <w:t xml:space="preserve">where </w:t>
      </w:r>
      <w:r w:rsidRPr="00A50AED">
        <w:rPr>
          <w:rFonts w:cs="Times New Roman"/>
          <w:i/>
          <w:szCs w:val="24"/>
        </w:rPr>
        <w:t>a</w:t>
      </w:r>
      <w:r>
        <w:rPr>
          <w:rFonts w:cs="Times New Roman"/>
          <w:szCs w:val="24"/>
        </w:rPr>
        <w:t xml:space="preserve"> and </w:t>
      </w:r>
      <w:r w:rsidRPr="00A50AED">
        <w:rPr>
          <w:rFonts w:cs="Times New Roman"/>
          <w:i/>
          <w:szCs w:val="24"/>
        </w:rPr>
        <w:t>b</w:t>
      </w:r>
      <w:r w:rsidRPr="000F0120">
        <w:rPr>
          <w:rFonts w:cs="Times New Roman"/>
          <w:szCs w:val="24"/>
          <w:vertAlign w:val="subscript"/>
        </w:rPr>
        <w:t>1</w:t>
      </w:r>
      <w:r w:rsidRPr="00A50AED">
        <w:rPr>
          <w:rFonts w:cs="Times New Roman"/>
          <w:i/>
          <w:szCs w:val="24"/>
          <w:vertAlign w:val="subscript"/>
        </w:rPr>
        <w:t>,..,k</w:t>
      </w:r>
      <w:r>
        <w:rPr>
          <w:rFonts w:cs="Times New Roman"/>
          <w:szCs w:val="24"/>
        </w:rPr>
        <w:t xml:space="preserve"> are the parameters of the models, </w:t>
      </w:r>
      <w:r w:rsidRPr="00A50AED">
        <w:rPr>
          <w:rFonts w:cs="Times New Roman"/>
          <w:i/>
          <w:szCs w:val="24"/>
        </w:rPr>
        <w:t>x</w:t>
      </w:r>
      <w:r w:rsidRPr="000F0120">
        <w:rPr>
          <w:rFonts w:cs="Times New Roman"/>
          <w:szCs w:val="24"/>
          <w:vertAlign w:val="subscript"/>
        </w:rPr>
        <w:t>1</w:t>
      </w:r>
      <w:r w:rsidRPr="00A50AED">
        <w:rPr>
          <w:rFonts w:cs="Times New Roman"/>
          <w:i/>
          <w:szCs w:val="24"/>
          <w:vertAlign w:val="subscript"/>
        </w:rPr>
        <w:t>,..,k</w:t>
      </w:r>
      <w:r>
        <w:rPr>
          <w:rFonts w:cs="Times New Roman"/>
          <w:szCs w:val="24"/>
          <w:vertAlign w:val="subscript"/>
        </w:rPr>
        <w:t xml:space="preserve"> </w:t>
      </w:r>
      <w:r>
        <w:rPr>
          <w:rFonts w:cs="Times New Roman"/>
          <w:szCs w:val="24"/>
        </w:rPr>
        <w:t xml:space="preserve">are the predictors of the models. </w:t>
      </w:r>
      <w:r w:rsidRPr="007116D6">
        <w:rPr>
          <w:rFonts w:cs="Times New Roman"/>
          <w:szCs w:val="24"/>
        </w:rPr>
        <w:t xml:space="preserve">The predictors can be continuous sensory measurements such as indoor temperature or </w:t>
      </w:r>
      <w:proofErr w:type="spellStart"/>
      <w:r w:rsidRPr="007116D6">
        <w:rPr>
          <w:rFonts w:cs="Times New Roman"/>
          <w:szCs w:val="24"/>
        </w:rPr>
        <w:t>workplane</w:t>
      </w:r>
      <w:proofErr w:type="spellEnd"/>
      <w:r w:rsidRPr="007116D6">
        <w:rPr>
          <w:rFonts w:cs="Times New Roman"/>
          <w:szCs w:val="24"/>
        </w:rPr>
        <w:t xml:space="preserve"> </w:t>
      </w:r>
      <w:proofErr w:type="spellStart"/>
      <w:r w:rsidRPr="007116D6">
        <w:rPr>
          <w:rFonts w:cs="Times New Roman"/>
          <w:szCs w:val="24"/>
        </w:rPr>
        <w:t>illuminance</w:t>
      </w:r>
      <w:proofErr w:type="spellEnd"/>
      <w:r w:rsidRPr="007116D6">
        <w:rPr>
          <w:rFonts w:cs="Times New Roman"/>
          <w:szCs w:val="24"/>
        </w:rPr>
        <w:t xml:space="preserve">, or they can be binary indicators such as </w:t>
      </w:r>
      <w:r>
        <w:rPr>
          <w:rFonts w:cs="Times New Roman"/>
          <w:szCs w:val="24"/>
        </w:rPr>
        <w:t xml:space="preserve">the </w:t>
      </w:r>
      <w:r w:rsidRPr="007116D6">
        <w:rPr>
          <w:rFonts w:cs="Times New Roman"/>
          <w:szCs w:val="24"/>
        </w:rPr>
        <w:t xml:space="preserve">occurrence of rain </w:t>
      </w:r>
      <w:r>
        <w:rPr>
          <w:rFonts w:cs="Times New Roman"/>
          <w:noProof/>
          <w:szCs w:val="24"/>
        </w:rPr>
        <w:t>(Haldi and Robinson 2011)</w:t>
      </w:r>
      <w:r>
        <w:rPr>
          <w:rFonts w:cs="Times New Roman"/>
          <w:szCs w:val="24"/>
        </w:rPr>
        <w:t xml:space="preserve">. The variable </w:t>
      </w:r>
      <w:r w:rsidRPr="008A4828">
        <w:rPr>
          <w:rFonts w:cs="Times New Roman"/>
          <w:i/>
          <w:szCs w:val="24"/>
        </w:rPr>
        <w:t>S</w:t>
      </w:r>
      <w:r>
        <w:rPr>
          <w:rFonts w:cs="Times New Roman"/>
          <w:szCs w:val="24"/>
        </w:rPr>
        <w:t xml:space="preserve"> in Eqn. (3) stands for the adaptive state (i.e., lighting, blinds, and window) and </w:t>
      </w:r>
      <w:r w:rsidRPr="008A4828">
        <w:rPr>
          <w:rFonts w:cs="Times New Roman"/>
          <w:i/>
          <w:szCs w:val="24"/>
        </w:rPr>
        <w:t>t</w:t>
      </w:r>
      <w:r>
        <w:rPr>
          <w:rFonts w:cs="Times New Roman"/>
          <w:szCs w:val="24"/>
        </w:rPr>
        <w:t xml:space="preserve"> stands for the time-step index. Note that </w:t>
      </w:r>
      <w:proofErr w:type="spellStart"/>
      <w:r>
        <w:rPr>
          <w:rFonts w:cs="Times New Roman"/>
          <w:szCs w:val="24"/>
        </w:rPr>
        <w:t>Newsham</w:t>
      </w:r>
      <w:proofErr w:type="spellEnd"/>
      <w:r>
        <w:rPr>
          <w:rFonts w:cs="Times New Roman"/>
          <w:szCs w:val="24"/>
        </w:rPr>
        <w:t xml:space="preserve"> (1994)'s and Reinhart (2004)'s blinds use models were originally derived as deterministic step-functions. In an effort to maintain a consistent simulation framework, these deterministic models were smoothened analytically as a logistic function.</w:t>
      </w:r>
    </w:p>
    <w:p w:rsidR="00CA2052" w:rsidRDefault="00BF25DE" w:rsidP="00051A6E">
      <w:pPr>
        <w:spacing w:after="0" w:line="360" w:lineRule="auto"/>
        <w:jc w:val="both"/>
        <w:rPr>
          <w:rFonts w:cs="Times New Roman"/>
          <w:szCs w:val="24"/>
        </w:rPr>
      </w:pPr>
      <w:r w:rsidRPr="007116D6">
        <w:rPr>
          <w:rFonts w:cs="Times New Roman"/>
          <w:szCs w:val="24"/>
        </w:rPr>
        <w:t xml:space="preserve">During </w:t>
      </w:r>
      <w:r>
        <w:rPr>
          <w:rFonts w:cs="Times New Roman"/>
          <w:szCs w:val="24"/>
        </w:rPr>
        <w:t>a</w:t>
      </w:r>
      <w:r w:rsidRPr="007116D6">
        <w:rPr>
          <w:rFonts w:cs="Times New Roman"/>
          <w:szCs w:val="24"/>
        </w:rPr>
        <w:t xml:space="preserve"> simulation, when Eqn. </w:t>
      </w:r>
      <w:r>
        <w:rPr>
          <w:rFonts w:cs="Times New Roman"/>
          <w:szCs w:val="24"/>
        </w:rPr>
        <w:t>(3)</w:t>
      </w:r>
      <w:r w:rsidRPr="007116D6">
        <w:rPr>
          <w:rFonts w:cs="Times New Roman"/>
          <w:szCs w:val="24"/>
        </w:rPr>
        <w:t xml:space="preserve"> </w:t>
      </w:r>
      <w:r>
        <w:rPr>
          <w:rFonts w:cs="Times New Roman"/>
          <w:szCs w:val="24"/>
        </w:rPr>
        <w:t>is</w:t>
      </w:r>
      <w:r w:rsidRPr="007116D6">
        <w:rPr>
          <w:rFonts w:cs="Times New Roman"/>
          <w:szCs w:val="24"/>
        </w:rPr>
        <w:t xml:space="preserve"> invoked, a random number </w:t>
      </w:r>
      <w:r>
        <w:rPr>
          <w:rFonts w:cs="Times New Roman"/>
          <w:szCs w:val="24"/>
        </w:rPr>
        <w:t>i</w:t>
      </w:r>
      <w:r w:rsidRPr="007116D6">
        <w:rPr>
          <w:rFonts w:cs="Times New Roman"/>
          <w:szCs w:val="24"/>
        </w:rPr>
        <w:t xml:space="preserve">s sampled from a uniform distribution [0,1]. This number </w:t>
      </w:r>
      <w:r>
        <w:rPr>
          <w:rFonts w:cs="Times New Roman"/>
          <w:szCs w:val="24"/>
        </w:rPr>
        <w:t>i</w:t>
      </w:r>
      <w:r w:rsidRPr="007116D6">
        <w:rPr>
          <w:rFonts w:cs="Times New Roman"/>
          <w:szCs w:val="24"/>
        </w:rPr>
        <w:t xml:space="preserve">s then compared to the likelihood estimate from Eqn. </w:t>
      </w:r>
      <w:r>
        <w:rPr>
          <w:rFonts w:cs="Times New Roman"/>
          <w:szCs w:val="24"/>
        </w:rPr>
        <w:t>(3)</w:t>
      </w:r>
      <w:r w:rsidRPr="007116D6">
        <w:rPr>
          <w:rFonts w:cs="Times New Roman"/>
          <w:szCs w:val="24"/>
        </w:rPr>
        <w:t xml:space="preserve">. If </w:t>
      </w:r>
      <w:r>
        <w:rPr>
          <w:rFonts w:cs="Times New Roman"/>
          <w:szCs w:val="24"/>
        </w:rPr>
        <w:t>the likelihood estimate exceeds</w:t>
      </w:r>
      <w:r w:rsidRPr="007116D6">
        <w:rPr>
          <w:rFonts w:cs="Times New Roman"/>
          <w:szCs w:val="24"/>
        </w:rPr>
        <w:t xml:space="preserve"> the random number, the occupant action </w:t>
      </w:r>
      <w:r>
        <w:rPr>
          <w:rFonts w:cs="Times New Roman"/>
          <w:szCs w:val="24"/>
        </w:rPr>
        <w:t>is</w:t>
      </w:r>
      <w:r w:rsidRPr="007116D6">
        <w:rPr>
          <w:rFonts w:cs="Times New Roman"/>
          <w:szCs w:val="24"/>
        </w:rPr>
        <w:t xml:space="preserve"> predicted. These random processes, once incorporated in a </w:t>
      </w:r>
      <w:r>
        <w:rPr>
          <w:rFonts w:cs="Times New Roman"/>
          <w:szCs w:val="24"/>
        </w:rPr>
        <w:t>discrete time</w:t>
      </w:r>
      <w:r w:rsidRPr="007116D6">
        <w:rPr>
          <w:rFonts w:cs="Times New Roman"/>
          <w:szCs w:val="24"/>
        </w:rPr>
        <w:t xml:space="preserve"> simulation, yield </w:t>
      </w:r>
      <w:r>
        <w:rPr>
          <w:rFonts w:cs="Times New Roman"/>
          <w:szCs w:val="24"/>
        </w:rPr>
        <w:t>time-step size</w:t>
      </w:r>
      <w:r w:rsidRPr="007116D6">
        <w:rPr>
          <w:rFonts w:cs="Times New Roman"/>
          <w:szCs w:val="24"/>
        </w:rPr>
        <w:t xml:space="preserve"> dependent solutions. Therefore, a </w:t>
      </w:r>
      <w:r>
        <w:rPr>
          <w:rFonts w:cs="Times New Roman"/>
          <w:szCs w:val="24"/>
        </w:rPr>
        <w:t>time-step size</w:t>
      </w:r>
      <w:r w:rsidRPr="007116D6">
        <w:rPr>
          <w:rFonts w:cs="Times New Roman"/>
          <w:szCs w:val="24"/>
        </w:rPr>
        <w:t xml:space="preserve"> was prescribed in most of the </w:t>
      </w:r>
      <w:r>
        <w:rPr>
          <w:rFonts w:cs="Times New Roman"/>
          <w:szCs w:val="24"/>
        </w:rPr>
        <w:t xml:space="preserve">reviewed </w:t>
      </w:r>
      <w:r w:rsidRPr="007116D6">
        <w:rPr>
          <w:rFonts w:cs="Times New Roman"/>
          <w:szCs w:val="24"/>
        </w:rPr>
        <w:t>occupant models (typically 5 min</w:t>
      </w:r>
      <w:r>
        <w:rPr>
          <w:rFonts w:cs="Times New Roman"/>
          <w:szCs w:val="24"/>
        </w:rPr>
        <w:t>ute</w:t>
      </w:r>
      <w:r w:rsidRPr="007116D6">
        <w:rPr>
          <w:rFonts w:cs="Times New Roman"/>
          <w:szCs w:val="24"/>
        </w:rPr>
        <w:t>s).</w:t>
      </w:r>
      <w:r>
        <w:rPr>
          <w:rFonts w:cs="Times New Roman"/>
          <w:szCs w:val="24"/>
        </w:rPr>
        <w:t xml:space="preserve"> </w:t>
      </w:r>
      <w:r w:rsidRPr="007116D6">
        <w:rPr>
          <w:rFonts w:cs="Times New Roman"/>
          <w:szCs w:val="24"/>
        </w:rPr>
        <w:t xml:space="preserve">There </w:t>
      </w:r>
      <w:r>
        <w:rPr>
          <w:rFonts w:cs="Times New Roman"/>
          <w:szCs w:val="24"/>
        </w:rPr>
        <w:t xml:space="preserve">were two exceptions to calling the behaviour models in every time-step: (a) calling after a change in the indoor climate and (b) calling after a change in the occupancy state. </w:t>
      </w:r>
      <w:r>
        <w:rPr>
          <w:rFonts w:cs="Times New Roman"/>
          <w:noProof/>
          <w:szCs w:val="24"/>
        </w:rPr>
        <w:t>Rijal et al. (2008)</w:t>
      </w:r>
      <w:r>
        <w:rPr>
          <w:rFonts w:cs="Times New Roman"/>
          <w:szCs w:val="24"/>
        </w:rPr>
        <w:t>'s</w:t>
      </w:r>
      <w:r w:rsidRPr="007116D6">
        <w:rPr>
          <w:rFonts w:cs="Times New Roman"/>
          <w:szCs w:val="24"/>
        </w:rPr>
        <w:t xml:space="preserve"> model </w:t>
      </w:r>
      <w:r>
        <w:rPr>
          <w:rFonts w:cs="Times New Roman"/>
          <w:szCs w:val="24"/>
        </w:rPr>
        <w:t xml:space="preserve">was invoked only </w:t>
      </w:r>
      <w:r w:rsidRPr="007116D6">
        <w:rPr>
          <w:rFonts w:cs="Times New Roman"/>
          <w:szCs w:val="24"/>
        </w:rPr>
        <w:t xml:space="preserve">when </w:t>
      </w:r>
      <w:r>
        <w:rPr>
          <w:rFonts w:cs="Times New Roman"/>
          <w:szCs w:val="24"/>
        </w:rPr>
        <w:t>the predicted mean vote (</w:t>
      </w:r>
      <w:r w:rsidRPr="007116D6">
        <w:rPr>
          <w:rFonts w:cs="Times New Roman"/>
          <w:szCs w:val="24"/>
        </w:rPr>
        <w:t>PMV</w:t>
      </w:r>
      <w:r>
        <w:rPr>
          <w:rFonts w:cs="Times New Roman"/>
          <w:szCs w:val="24"/>
        </w:rPr>
        <w:t>)</w:t>
      </w:r>
      <w:r w:rsidRPr="007116D6">
        <w:rPr>
          <w:rFonts w:cs="Times New Roman"/>
          <w:szCs w:val="24"/>
        </w:rPr>
        <w:t xml:space="preserve"> falls below -0.5 or</w:t>
      </w:r>
      <w:r w:rsidR="00CE3E3A">
        <w:rPr>
          <w:rFonts w:cs="Times New Roman"/>
          <w:szCs w:val="24"/>
        </w:rPr>
        <w:t xml:space="preserve"> </w:t>
      </w:r>
      <w:r w:rsidRPr="007116D6">
        <w:rPr>
          <w:rFonts w:cs="Times New Roman"/>
          <w:szCs w:val="24"/>
        </w:rPr>
        <w:t>rises above +0.5</w:t>
      </w:r>
      <w:r>
        <w:rPr>
          <w:rFonts w:cs="Times New Roman"/>
          <w:szCs w:val="24"/>
        </w:rPr>
        <w:t xml:space="preserve">. In </w:t>
      </w:r>
      <w:r>
        <w:rPr>
          <w:rFonts w:cs="Times New Roman"/>
          <w:noProof/>
          <w:szCs w:val="24"/>
        </w:rPr>
        <w:t>Newsham (1994)</w:t>
      </w:r>
      <w:r>
        <w:rPr>
          <w:rFonts w:cs="Times New Roman"/>
          <w:szCs w:val="24"/>
        </w:rPr>
        <w:t xml:space="preserve">'s and </w:t>
      </w:r>
      <w:r>
        <w:rPr>
          <w:rFonts w:cs="Times New Roman"/>
          <w:noProof/>
          <w:szCs w:val="24"/>
        </w:rPr>
        <w:t>Reinhart (2004)</w:t>
      </w:r>
      <w:r>
        <w:rPr>
          <w:rFonts w:cs="Times New Roman"/>
          <w:szCs w:val="24"/>
        </w:rPr>
        <w:t xml:space="preserve">'s blind use models, simulated occupants are only permitted to open their blinds in the time-step after arrival. Similarly, in </w:t>
      </w:r>
      <w:r>
        <w:rPr>
          <w:rFonts w:cs="Times New Roman"/>
          <w:noProof/>
          <w:szCs w:val="24"/>
        </w:rPr>
        <w:t>Reinhart (2004)</w:t>
      </w:r>
      <w:r>
        <w:rPr>
          <w:rFonts w:cs="Times New Roman"/>
          <w:szCs w:val="24"/>
        </w:rPr>
        <w:t xml:space="preserve">'s light use model, the switch-off actions are only permitted in the time-step before departure. </w:t>
      </w:r>
      <w:r>
        <w:t>Tables 4 and 5</w:t>
      </w:r>
      <w:r>
        <w:rPr>
          <w:rFonts w:cs="Times New Roman"/>
          <w:szCs w:val="24"/>
        </w:rPr>
        <w:t xml:space="preserve"> also present a summary of the time instants during which these occupant behaviour models are invoked during a simulation.</w:t>
      </w:r>
      <w:bookmarkStart w:id="16" w:name="_Ref403563637"/>
      <w:bookmarkStart w:id="17" w:name="_Ref403597324"/>
      <w:bookmarkStart w:id="18" w:name="_Toc415940842"/>
    </w:p>
    <w:p w:rsidR="00BF25DE" w:rsidRPr="00716F43" w:rsidRDefault="00BF25DE" w:rsidP="00051A6E">
      <w:pPr>
        <w:spacing w:after="0" w:line="360" w:lineRule="auto"/>
        <w:jc w:val="both"/>
        <w:rPr>
          <w:rFonts w:cs="Times New Roman"/>
          <w:szCs w:val="24"/>
        </w:rPr>
      </w:pPr>
      <w:r w:rsidRPr="00716F43">
        <w:rPr>
          <w:rFonts w:cs="Times New Roman"/>
          <w:szCs w:val="24"/>
        </w:rPr>
        <w:lastRenderedPageBreak/>
        <w:t xml:space="preserve">Table </w:t>
      </w:r>
      <w:r w:rsidR="00F84CB0" w:rsidRPr="00716F43">
        <w:rPr>
          <w:rFonts w:cs="Times New Roman"/>
          <w:szCs w:val="24"/>
        </w:rPr>
        <w:fldChar w:fldCharType="begin"/>
      </w:r>
      <w:r w:rsidRPr="00716F43">
        <w:rPr>
          <w:rFonts w:cs="Times New Roman"/>
          <w:szCs w:val="24"/>
        </w:rPr>
        <w:instrText xml:space="preserve"> SEQ Table \* ARABIC </w:instrText>
      </w:r>
      <w:r w:rsidR="00F84CB0" w:rsidRPr="00716F43">
        <w:rPr>
          <w:rFonts w:cs="Times New Roman"/>
          <w:szCs w:val="24"/>
        </w:rPr>
        <w:fldChar w:fldCharType="separate"/>
      </w:r>
      <w:r w:rsidRPr="00716F43">
        <w:rPr>
          <w:rFonts w:cs="Times New Roman"/>
          <w:noProof/>
          <w:szCs w:val="24"/>
        </w:rPr>
        <w:t>4</w:t>
      </w:r>
      <w:r w:rsidR="00F84CB0" w:rsidRPr="00716F43">
        <w:rPr>
          <w:rFonts w:cs="Times New Roman"/>
          <w:szCs w:val="24"/>
        </w:rPr>
        <w:fldChar w:fldCharType="end"/>
      </w:r>
      <w:bookmarkEnd w:id="16"/>
      <w:r w:rsidRPr="00716F43">
        <w:rPr>
          <w:rFonts w:cs="Times New Roman"/>
          <w:szCs w:val="24"/>
        </w:rPr>
        <w:t>: Parameters used in the lighting and blinds use models.</w:t>
      </w:r>
      <w:bookmarkEnd w:id="17"/>
      <w:bookmarkEnd w:id="18"/>
    </w:p>
    <w:tbl>
      <w:tblPr>
        <w:tblW w:w="9140" w:type="dxa"/>
        <w:tblInd w:w="98" w:type="dxa"/>
        <w:tblLook w:val="04A0"/>
      </w:tblPr>
      <w:tblGrid>
        <w:gridCol w:w="1116"/>
        <w:gridCol w:w="976"/>
        <w:gridCol w:w="1049"/>
        <w:gridCol w:w="1524"/>
        <w:gridCol w:w="1049"/>
        <w:gridCol w:w="1135"/>
        <w:gridCol w:w="976"/>
        <w:gridCol w:w="1315"/>
      </w:tblGrid>
      <w:tr w:rsidR="00BF25DE" w:rsidRPr="00B04225" w:rsidTr="00051A6E">
        <w:trPr>
          <w:trHeight w:val="510"/>
        </w:trPr>
        <w:tc>
          <w:tcPr>
            <w:tcW w:w="1120" w:type="dxa"/>
            <w:tcBorders>
              <w:top w:val="single" w:sz="4" w:space="0" w:color="auto"/>
              <w:left w:val="single" w:sz="4" w:space="0" w:color="auto"/>
              <w:bottom w:val="nil"/>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Occupant behaviours</w:t>
            </w:r>
          </w:p>
        </w:tc>
        <w:tc>
          <w:tcPr>
            <w:tcW w:w="960" w:type="dxa"/>
            <w:tcBorders>
              <w:top w:val="single" w:sz="4" w:space="0" w:color="auto"/>
              <w:left w:val="nil"/>
              <w:bottom w:val="nil"/>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Models</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a</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b</w:t>
            </w:r>
            <w:r w:rsidRPr="00B04225">
              <w:rPr>
                <w:rFonts w:eastAsia="Times New Roman" w:cs="Times New Roman"/>
                <w:b/>
                <w:bCs/>
                <w:color w:val="000000"/>
                <w:sz w:val="19"/>
                <w:szCs w:val="19"/>
                <w:vertAlign w:val="subscript"/>
                <w:lang w:eastAsia="en-CA"/>
              </w:rPr>
              <w:t>1</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b</w:t>
            </w:r>
            <w:r w:rsidRPr="00B04225">
              <w:rPr>
                <w:rFonts w:eastAsia="Times New Roman" w:cs="Times New Roman"/>
                <w:b/>
                <w:bCs/>
                <w:color w:val="000000"/>
                <w:sz w:val="19"/>
                <w:szCs w:val="19"/>
                <w:vertAlign w:val="subscript"/>
                <w:lang w:eastAsia="en-CA"/>
              </w:rPr>
              <w:t>2</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x</w:t>
            </w:r>
            <w:r w:rsidRPr="00B04225">
              <w:rPr>
                <w:rFonts w:eastAsia="Times New Roman" w:cs="Times New Roman"/>
                <w:b/>
                <w:bCs/>
                <w:color w:val="000000"/>
                <w:sz w:val="19"/>
                <w:szCs w:val="19"/>
                <w:vertAlign w:val="subscript"/>
                <w:lang w:eastAsia="en-CA"/>
              </w:rPr>
              <w:t>1</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x</w:t>
            </w:r>
            <w:r w:rsidRPr="00B04225">
              <w:rPr>
                <w:rFonts w:eastAsia="Times New Roman" w:cs="Times New Roman"/>
                <w:b/>
                <w:bCs/>
                <w:color w:val="000000"/>
                <w:sz w:val="19"/>
                <w:szCs w:val="19"/>
                <w:vertAlign w:val="subscript"/>
                <w:lang w:eastAsia="en-CA"/>
              </w:rPr>
              <w:t>2</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jc w:val="center"/>
              <w:rPr>
                <w:rFonts w:eastAsia="Times New Roman" w:cs="Times New Roman"/>
                <w:b/>
                <w:bCs/>
                <w:color w:val="000000"/>
                <w:sz w:val="19"/>
                <w:szCs w:val="19"/>
                <w:lang w:eastAsia="en-CA"/>
              </w:rPr>
            </w:pPr>
            <w:r w:rsidRPr="00B04225">
              <w:rPr>
                <w:rFonts w:eastAsia="Times New Roman" w:cs="Times New Roman"/>
                <w:b/>
                <w:bCs/>
                <w:color w:val="000000"/>
                <w:sz w:val="19"/>
                <w:szCs w:val="19"/>
                <w:lang w:eastAsia="en-CA"/>
              </w:rPr>
              <w:t>Calling Point</w:t>
            </w:r>
          </w:p>
        </w:tc>
      </w:tr>
      <w:tr w:rsidR="00BF25DE" w:rsidRPr="00B04225" w:rsidTr="00051A6E">
        <w:trPr>
          <w:trHeight w:val="765"/>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r w:rsidRPr="008860AE">
              <w:rPr>
                <w:rFonts w:eastAsia="Times New Roman" w:cs="Times New Roman"/>
                <w:bCs/>
                <w:color w:val="000000"/>
                <w:sz w:val="19"/>
                <w:szCs w:val="19"/>
                <w:lang w:eastAsia="en-CA"/>
              </w:rPr>
              <w:t>Predicting light switch-on action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D53A5F">
              <w:rPr>
                <w:rFonts w:eastAsia="Times New Roman" w:cs="Times New Roman"/>
                <w:color w:val="000000"/>
                <w:sz w:val="19"/>
                <w:szCs w:val="19"/>
                <w:lang w:eastAsia="en-CA"/>
              </w:rPr>
              <w:t>Hunt (1979)</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2±0.2</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˗0.018±0.004</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At arrival and in the end of the lunch break</w:t>
            </w:r>
          </w:p>
        </w:tc>
      </w:tr>
      <w:tr w:rsidR="00BF25DE" w:rsidRPr="00B04225" w:rsidTr="00051A6E">
        <w:trPr>
          <w:trHeight w:val="510"/>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D53A5F">
              <w:rPr>
                <w:rFonts w:eastAsia="Times New Roman" w:cs="Times New Roman"/>
                <w:color w:val="000000"/>
                <w:sz w:val="19"/>
                <w:szCs w:val="19"/>
                <w:lang w:eastAsia="en-CA"/>
              </w:rPr>
              <w:t>Reinhart (2004)</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1.6±0.3</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˗0.009±0.002</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At arrival</w:t>
            </w:r>
            <w:r w:rsidR="00CE3E3A">
              <w:rPr>
                <w:rFonts w:eastAsia="Times New Roman" w:cs="Times New Roman"/>
                <w:color w:val="000000"/>
                <w:sz w:val="19"/>
                <w:szCs w:val="19"/>
                <w:lang w:eastAsia="en-CA"/>
              </w:rPr>
              <w:t xml:space="preserve"> </w:t>
            </w:r>
            <w:r w:rsidRPr="00B04225">
              <w:rPr>
                <w:rFonts w:eastAsia="Times New Roman" w:cs="Times New Roman"/>
                <w:color w:val="000000"/>
                <w:sz w:val="19"/>
                <w:szCs w:val="19"/>
                <w:lang w:eastAsia="en-CA"/>
              </w:rPr>
              <w:t xml:space="preserve"> </w:t>
            </w:r>
          </w:p>
        </w:tc>
      </w:tr>
      <w:tr w:rsidR="00BF25DE" w:rsidRPr="00B04225" w:rsidTr="00051A6E">
        <w:trPr>
          <w:trHeight w:val="765"/>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p>
        </w:tc>
        <w:tc>
          <w:tcPr>
            <w:tcW w:w="960" w:type="dxa"/>
            <w:vMerge/>
            <w:tcBorders>
              <w:top w:val="nil"/>
              <w:left w:val="single" w:sz="4" w:space="0" w:color="auto"/>
              <w:bottom w:val="single" w:sz="4" w:space="0" w:color="000000"/>
              <w:right w:val="single" w:sz="4" w:space="0" w:color="auto"/>
            </w:tcBorders>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˗3.9±0.5</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˗0.002±0.0005</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During intermediate occupancy at 5 min time-step size</w:t>
            </w:r>
          </w:p>
        </w:tc>
      </w:tr>
      <w:tr w:rsidR="00BF25DE" w:rsidRPr="00B04225" w:rsidTr="00051A6E">
        <w:trPr>
          <w:trHeight w:val="765"/>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r w:rsidRPr="008860AE">
              <w:rPr>
                <w:rFonts w:eastAsia="Times New Roman" w:cs="Times New Roman"/>
                <w:bCs/>
                <w:color w:val="000000"/>
                <w:sz w:val="19"/>
                <w:szCs w:val="19"/>
                <w:lang w:eastAsia="en-CA"/>
              </w:rPr>
              <w:t>Predicting light switch-off action</w:t>
            </w:r>
          </w:p>
        </w:tc>
        <w:tc>
          <w:tcPr>
            <w:tcW w:w="960" w:type="dxa"/>
            <w:tcBorders>
              <w:top w:val="nil"/>
              <w:left w:val="nil"/>
              <w:bottom w:val="single" w:sz="4" w:space="0" w:color="auto"/>
              <w:right w:val="single" w:sz="4" w:space="0" w:color="auto"/>
            </w:tcBorders>
            <w:shd w:val="clear" w:color="auto" w:fill="auto"/>
            <w:vAlign w:val="center"/>
            <w:hideMark/>
          </w:tcPr>
          <w:p w:rsidR="00BF25DE" w:rsidRPr="00B04225" w:rsidRDefault="00051A6E" w:rsidP="00051A6E">
            <w:pPr>
              <w:spacing w:after="0" w:line="240" w:lineRule="auto"/>
              <w:rPr>
                <w:rFonts w:eastAsia="Times New Roman" w:cs="Times New Roman"/>
                <w:color w:val="000000"/>
                <w:sz w:val="19"/>
                <w:szCs w:val="19"/>
                <w:lang w:eastAsia="en-CA"/>
              </w:rPr>
            </w:pPr>
            <w:r>
              <w:rPr>
                <w:rFonts w:eastAsia="Times New Roman" w:cs="Times New Roman"/>
                <w:color w:val="000000"/>
                <w:sz w:val="19"/>
                <w:szCs w:val="19"/>
                <w:lang w:eastAsia="en-CA"/>
              </w:rPr>
              <w:t>Boyce</w:t>
            </w:r>
            <w:r w:rsidR="00BF25DE" w:rsidRPr="00D53A5F">
              <w:rPr>
                <w:rFonts w:eastAsia="Times New Roman" w:cs="Times New Roman"/>
                <w:color w:val="000000"/>
                <w:sz w:val="19"/>
                <w:szCs w:val="19"/>
                <w:lang w:eastAsia="en-CA"/>
              </w:rPr>
              <w:t xml:space="preserve"> et al. (2006)</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˗4.0±0.8</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0.006±0.001</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During Intermediate occupancy at 5 min time-step size</w:t>
            </w:r>
          </w:p>
        </w:tc>
      </w:tr>
      <w:tr w:rsidR="00BF25DE" w:rsidRPr="00B04225" w:rsidTr="00051A6E">
        <w:trPr>
          <w:trHeight w:val="525"/>
        </w:trPr>
        <w:tc>
          <w:tcPr>
            <w:tcW w:w="1120" w:type="dxa"/>
            <w:vMerge/>
            <w:tcBorders>
              <w:top w:val="nil"/>
              <w:left w:val="single" w:sz="4" w:space="0" w:color="auto"/>
              <w:bottom w:val="single" w:sz="4" w:space="0" w:color="auto"/>
              <w:right w:val="single" w:sz="4" w:space="0" w:color="auto"/>
            </w:tcBorders>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p>
        </w:tc>
        <w:tc>
          <w:tcPr>
            <w:tcW w:w="960" w:type="dxa"/>
            <w:tcBorders>
              <w:top w:val="nil"/>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D53A5F">
              <w:rPr>
                <w:rFonts w:eastAsia="Times New Roman" w:cs="Times New Roman"/>
                <w:color w:val="000000"/>
                <w:sz w:val="19"/>
                <w:szCs w:val="19"/>
                <w:lang w:eastAsia="en-CA"/>
              </w:rPr>
              <w:t>Reinhart (2004)</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˗1.3±0.3</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0.003±0.001</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Duration of absence</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At departure</w:t>
            </w:r>
            <w:r>
              <w:rPr>
                <w:rFonts w:eastAsia="Times New Roman" w:cs="Times New Roman"/>
                <w:color w:val="000000"/>
                <w:sz w:val="19"/>
                <w:szCs w:val="19"/>
                <w:lang w:eastAsia="en-CA"/>
              </w:rPr>
              <w:t xml:space="preserve"> and lunch break</w:t>
            </w:r>
          </w:p>
        </w:tc>
      </w:tr>
      <w:tr w:rsidR="00BF25DE" w:rsidRPr="00B04225" w:rsidTr="00051A6E">
        <w:trPr>
          <w:trHeight w:val="102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r w:rsidRPr="008860AE">
              <w:rPr>
                <w:rFonts w:eastAsia="Times New Roman" w:cs="Times New Roman"/>
                <w:bCs/>
                <w:color w:val="000000"/>
                <w:sz w:val="19"/>
                <w:szCs w:val="19"/>
                <w:lang w:eastAsia="en-CA"/>
              </w:rPr>
              <w:t>Predicting blinds closing action</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D53A5F">
              <w:rPr>
                <w:rFonts w:eastAsia="Times New Roman" w:cs="Times New Roman"/>
                <w:color w:val="000000"/>
                <w:sz w:val="19"/>
                <w:szCs w:val="19"/>
                <w:lang w:eastAsia="en-CA"/>
              </w:rPr>
              <w:t>Reinhart (2004)</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˗610±120</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14.4±2.9</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 xml:space="preserve">Direct solar irradiance on the </w:t>
            </w:r>
            <w:proofErr w:type="spellStart"/>
            <w:r w:rsidRPr="00B04225">
              <w:rPr>
                <w:rFonts w:eastAsia="Times New Roman" w:cs="Times New Roman"/>
                <w:color w:val="000000"/>
                <w:sz w:val="19"/>
                <w:szCs w:val="19"/>
                <w:lang w:eastAsia="en-CA"/>
              </w:rPr>
              <w:t>workplane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During intermediate occupancy at any time-step size</w:t>
            </w:r>
          </w:p>
        </w:tc>
      </w:tr>
      <w:tr w:rsidR="00BF25DE" w:rsidRPr="00B04225" w:rsidTr="00051A6E">
        <w:trPr>
          <w:trHeight w:val="765"/>
        </w:trPr>
        <w:tc>
          <w:tcPr>
            <w:tcW w:w="1120" w:type="dxa"/>
            <w:vMerge/>
            <w:tcBorders>
              <w:top w:val="nil"/>
              <w:left w:val="single" w:sz="4" w:space="0" w:color="auto"/>
              <w:bottom w:val="single" w:sz="4" w:space="0" w:color="auto"/>
              <w:right w:val="single" w:sz="4" w:space="0" w:color="auto"/>
            </w:tcBorders>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p>
        </w:tc>
        <w:tc>
          <w:tcPr>
            <w:tcW w:w="960" w:type="dxa"/>
            <w:tcBorders>
              <w:top w:val="nil"/>
              <w:left w:val="single" w:sz="4" w:space="0" w:color="auto"/>
              <w:bottom w:val="nil"/>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roofErr w:type="spellStart"/>
            <w:r w:rsidRPr="00D53A5F">
              <w:rPr>
                <w:rFonts w:eastAsia="Times New Roman" w:cs="Times New Roman"/>
                <w:color w:val="000000"/>
                <w:sz w:val="19"/>
                <w:szCs w:val="19"/>
                <w:lang w:eastAsia="en-CA"/>
              </w:rPr>
              <w:t>Newsham</w:t>
            </w:r>
            <w:proofErr w:type="spellEnd"/>
            <w:r w:rsidRPr="00D53A5F">
              <w:rPr>
                <w:rFonts w:eastAsia="Times New Roman" w:cs="Times New Roman"/>
                <w:color w:val="000000"/>
                <w:sz w:val="19"/>
                <w:szCs w:val="19"/>
                <w:lang w:eastAsia="en-CA"/>
              </w:rPr>
              <w:t xml:space="preserve"> (1994)</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˗1450±250</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6.5±1.3</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Transmitted direct solar irradiance</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During intermediate occupancy at any time-step size</w:t>
            </w:r>
          </w:p>
        </w:tc>
      </w:tr>
      <w:tr w:rsidR="00BF25DE" w:rsidRPr="00B04225" w:rsidTr="00051A6E">
        <w:trPr>
          <w:trHeight w:val="765"/>
        </w:trPr>
        <w:tc>
          <w:tcPr>
            <w:tcW w:w="1120" w:type="dxa"/>
            <w:vMerge/>
            <w:tcBorders>
              <w:top w:val="nil"/>
              <w:left w:val="single" w:sz="4" w:space="0" w:color="auto"/>
              <w:bottom w:val="single" w:sz="4" w:space="0" w:color="auto"/>
              <w:right w:val="single" w:sz="4" w:space="0" w:color="auto"/>
            </w:tcBorders>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roofErr w:type="spellStart"/>
            <w:r w:rsidRPr="00D53A5F">
              <w:rPr>
                <w:rFonts w:eastAsia="Times New Roman" w:cs="Times New Roman"/>
                <w:color w:val="000000"/>
                <w:sz w:val="19"/>
                <w:szCs w:val="19"/>
                <w:lang w:eastAsia="en-CA"/>
              </w:rPr>
              <w:t>Haldi</w:t>
            </w:r>
            <w:proofErr w:type="spellEnd"/>
            <w:r w:rsidRPr="00D53A5F">
              <w:rPr>
                <w:rFonts w:eastAsia="Times New Roman" w:cs="Times New Roman"/>
                <w:color w:val="000000"/>
                <w:sz w:val="19"/>
                <w:szCs w:val="19"/>
                <w:lang w:eastAsia="en-CA"/>
              </w:rPr>
              <w:t xml:space="preserve"> and Robinson (2010)</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˗7.4±0.16</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0.0010±0.0001</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2.17±0.16</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Unshaded</w:t>
            </w:r>
            <w:proofErr w:type="spellEnd"/>
            <w:r w:rsidRPr="00B04225">
              <w:rPr>
                <w:rFonts w:eastAsia="Times New Roman" w:cs="Times New Roman"/>
                <w:color w:val="000000"/>
                <w:sz w:val="19"/>
                <w:szCs w:val="19"/>
                <w:lang w:eastAsia="en-CA"/>
              </w:rPr>
              <w:t xml:space="preserve"> window fraction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At arrival</w:t>
            </w:r>
          </w:p>
        </w:tc>
      </w:tr>
      <w:tr w:rsidR="00BF25DE" w:rsidRPr="00B04225" w:rsidTr="00051A6E">
        <w:trPr>
          <w:trHeight w:val="765"/>
        </w:trPr>
        <w:tc>
          <w:tcPr>
            <w:tcW w:w="1120" w:type="dxa"/>
            <w:vMerge/>
            <w:tcBorders>
              <w:top w:val="nil"/>
              <w:left w:val="single" w:sz="4" w:space="0" w:color="auto"/>
              <w:bottom w:val="single" w:sz="4" w:space="0" w:color="auto"/>
              <w:right w:val="single" w:sz="4" w:space="0" w:color="auto"/>
            </w:tcBorders>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˗8.0±0.1</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0.0008±0.0001</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1.27±0.09</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Unshaded</w:t>
            </w:r>
            <w:proofErr w:type="spellEnd"/>
            <w:r w:rsidRPr="00B04225">
              <w:rPr>
                <w:rFonts w:eastAsia="Times New Roman" w:cs="Times New Roman"/>
                <w:color w:val="000000"/>
                <w:sz w:val="19"/>
                <w:szCs w:val="19"/>
                <w:lang w:eastAsia="en-CA"/>
              </w:rPr>
              <w:t xml:space="preserve"> window fraction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During intermediate occupancy at 5 min time-step size</w:t>
            </w:r>
          </w:p>
        </w:tc>
      </w:tr>
      <w:tr w:rsidR="00BF25DE" w:rsidRPr="00B04225" w:rsidTr="00051A6E">
        <w:trPr>
          <w:trHeight w:val="471"/>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BF25DE" w:rsidRPr="008860AE" w:rsidRDefault="00BF25DE" w:rsidP="00051A6E">
            <w:pPr>
              <w:spacing w:after="0" w:line="240" w:lineRule="auto"/>
              <w:rPr>
                <w:rFonts w:eastAsia="Times New Roman" w:cs="Times New Roman"/>
                <w:bCs/>
                <w:color w:val="000000"/>
                <w:sz w:val="19"/>
                <w:szCs w:val="19"/>
                <w:lang w:eastAsia="en-CA"/>
              </w:rPr>
            </w:pPr>
            <w:r w:rsidRPr="008860AE">
              <w:rPr>
                <w:rFonts w:eastAsia="Times New Roman" w:cs="Times New Roman"/>
                <w:bCs/>
                <w:color w:val="000000"/>
                <w:sz w:val="19"/>
                <w:szCs w:val="19"/>
                <w:lang w:eastAsia="en-CA"/>
              </w:rPr>
              <w:t>Predicting blinds opening action</w:t>
            </w:r>
          </w:p>
        </w:tc>
        <w:tc>
          <w:tcPr>
            <w:tcW w:w="960" w:type="dxa"/>
            <w:tcBorders>
              <w:top w:val="nil"/>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1031CE">
              <w:rPr>
                <w:rFonts w:eastAsia="Times New Roman" w:cs="Times New Roman"/>
                <w:color w:val="000000"/>
                <w:sz w:val="19"/>
                <w:szCs w:val="19"/>
                <w:lang w:eastAsia="en-CA"/>
              </w:rPr>
              <w:t>Reinhart (2004)</w:t>
            </w:r>
          </w:p>
        </w:tc>
        <w:tc>
          <w:tcPr>
            <w:tcW w:w="706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Probability of opening the blinds is 1 at arrival</w:t>
            </w:r>
          </w:p>
        </w:tc>
      </w:tr>
      <w:tr w:rsidR="00BF25DE" w:rsidRPr="00B04225" w:rsidTr="00051A6E">
        <w:trPr>
          <w:trHeight w:val="37"/>
        </w:trPr>
        <w:tc>
          <w:tcPr>
            <w:tcW w:w="1120" w:type="dxa"/>
            <w:vMerge/>
            <w:tcBorders>
              <w:top w:val="nil"/>
              <w:left w:val="single" w:sz="4" w:space="0" w:color="auto"/>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b/>
                <w:bCs/>
                <w:color w:val="000000"/>
                <w:sz w:val="19"/>
                <w:szCs w:val="19"/>
                <w:lang w:eastAsia="en-CA"/>
              </w:rPr>
            </w:pPr>
          </w:p>
        </w:tc>
        <w:tc>
          <w:tcPr>
            <w:tcW w:w="960" w:type="dxa"/>
            <w:tcBorders>
              <w:top w:val="single" w:sz="4" w:space="0" w:color="auto"/>
              <w:left w:val="nil"/>
              <w:bottom w:val="nil"/>
              <w:right w:val="single" w:sz="4" w:space="0" w:color="auto"/>
            </w:tcBorders>
            <w:shd w:val="clear" w:color="auto" w:fill="auto"/>
            <w:vAlign w:val="center"/>
            <w:hideMark/>
          </w:tcPr>
          <w:p w:rsidR="00BF25DE" w:rsidRDefault="00BF25DE" w:rsidP="00051A6E">
            <w:pPr>
              <w:spacing w:after="0" w:line="240" w:lineRule="auto"/>
              <w:rPr>
                <w:rFonts w:eastAsia="Times New Roman" w:cs="Times New Roman"/>
                <w:color w:val="000000"/>
                <w:sz w:val="19"/>
                <w:szCs w:val="19"/>
                <w:lang w:eastAsia="en-CA"/>
              </w:rPr>
            </w:pPr>
          </w:p>
        </w:tc>
        <w:tc>
          <w:tcPr>
            <w:tcW w:w="7060" w:type="dxa"/>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
        </w:tc>
      </w:tr>
      <w:tr w:rsidR="00BF25DE" w:rsidRPr="00B04225" w:rsidTr="00051A6E">
        <w:trPr>
          <w:trHeight w:val="510"/>
        </w:trPr>
        <w:tc>
          <w:tcPr>
            <w:tcW w:w="1120" w:type="dxa"/>
            <w:vMerge/>
            <w:tcBorders>
              <w:top w:val="nil"/>
              <w:left w:val="single" w:sz="4" w:space="0" w:color="auto"/>
              <w:bottom w:val="single" w:sz="4" w:space="0" w:color="auto"/>
              <w:right w:val="single" w:sz="4" w:space="0" w:color="auto"/>
            </w:tcBorders>
            <w:vAlign w:val="center"/>
            <w:hideMark/>
          </w:tcPr>
          <w:p w:rsidR="00BF25DE" w:rsidRPr="00B04225" w:rsidRDefault="00BF25DE" w:rsidP="00051A6E">
            <w:pPr>
              <w:spacing w:after="0" w:line="240" w:lineRule="auto"/>
              <w:rPr>
                <w:rFonts w:eastAsia="Times New Roman" w:cs="Times New Roman"/>
                <w:b/>
                <w:bCs/>
                <w:color w:val="000000"/>
                <w:sz w:val="19"/>
                <w:szCs w:val="19"/>
                <w:lang w:eastAsia="en-CA"/>
              </w:rPr>
            </w:pPr>
          </w:p>
        </w:tc>
        <w:tc>
          <w:tcPr>
            <w:tcW w:w="960" w:type="dxa"/>
            <w:tcBorders>
              <w:top w:val="nil"/>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roofErr w:type="spellStart"/>
            <w:r w:rsidRPr="001031CE">
              <w:rPr>
                <w:rFonts w:eastAsia="Times New Roman" w:cs="Times New Roman"/>
                <w:color w:val="000000"/>
                <w:sz w:val="19"/>
                <w:szCs w:val="19"/>
                <w:lang w:eastAsia="en-CA"/>
              </w:rPr>
              <w:t>Newsham</w:t>
            </w:r>
            <w:proofErr w:type="spellEnd"/>
            <w:r w:rsidRPr="001031CE">
              <w:rPr>
                <w:rFonts w:eastAsia="Times New Roman" w:cs="Times New Roman"/>
                <w:color w:val="000000"/>
                <w:sz w:val="19"/>
                <w:szCs w:val="19"/>
                <w:lang w:eastAsia="en-CA"/>
              </w:rPr>
              <w:t xml:space="preserve"> (1994)</w:t>
            </w:r>
          </w:p>
        </w:tc>
        <w:tc>
          <w:tcPr>
            <w:tcW w:w="7060" w:type="dxa"/>
            <w:gridSpan w:val="6"/>
            <w:vMerge/>
            <w:tcBorders>
              <w:top w:val="single" w:sz="4" w:space="0" w:color="000000"/>
              <w:left w:val="single" w:sz="4" w:space="0" w:color="auto"/>
              <w:bottom w:val="single" w:sz="4" w:space="0" w:color="auto"/>
              <w:right w:val="single" w:sz="4" w:space="0" w:color="auto"/>
            </w:tcBorders>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
        </w:tc>
      </w:tr>
      <w:tr w:rsidR="00BF25DE" w:rsidRPr="00B04225" w:rsidTr="00051A6E">
        <w:trPr>
          <w:trHeight w:val="735"/>
        </w:trPr>
        <w:tc>
          <w:tcPr>
            <w:tcW w:w="1120" w:type="dxa"/>
            <w:vMerge/>
            <w:tcBorders>
              <w:top w:val="nil"/>
              <w:left w:val="single" w:sz="4" w:space="0" w:color="auto"/>
              <w:bottom w:val="single" w:sz="4" w:space="0" w:color="auto"/>
              <w:right w:val="single" w:sz="4" w:space="0" w:color="auto"/>
            </w:tcBorders>
            <w:vAlign w:val="center"/>
            <w:hideMark/>
          </w:tcPr>
          <w:p w:rsidR="00BF25DE" w:rsidRPr="00B04225" w:rsidRDefault="00BF25DE" w:rsidP="00051A6E">
            <w:pPr>
              <w:spacing w:after="0" w:line="240" w:lineRule="auto"/>
              <w:rPr>
                <w:rFonts w:eastAsia="Times New Roman" w:cs="Times New Roman"/>
                <w:b/>
                <w:bCs/>
                <w:color w:val="000000"/>
                <w:sz w:val="19"/>
                <w:szCs w:val="19"/>
                <w:lang w:eastAsia="en-CA"/>
              </w:rPr>
            </w:pP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roofErr w:type="spellStart"/>
            <w:r w:rsidRPr="001031CE">
              <w:rPr>
                <w:rFonts w:eastAsia="Times New Roman" w:cs="Times New Roman"/>
                <w:color w:val="000000"/>
                <w:sz w:val="19"/>
                <w:szCs w:val="19"/>
                <w:lang w:eastAsia="en-CA"/>
              </w:rPr>
              <w:t>Haldi</w:t>
            </w:r>
            <w:proofErr w:type="spellEnd"/>
            <w:r w:rsidRPr="001031CE">
              <w:rPr>
                <w:rFonts w:eastAsia="Times New Roman" w:cs="Times New Roman"/>
                <w:color w:val="000000"/>
                <w:sz w:val="19"/>
                <w:szCs w:val="19"/>
                <w:lang w:eastAsia="en-CA"/>
              </w:rPr>
              <w:t xml:space="preserve"> and Robinson (2010)</w:t>
            </w: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˗1.5±0.1</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˗0.0007±0.00005</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˗3.14±0.07</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Unshaded</w:t>
            </w:r>
            <w:proofErr w:type="spellEnd"/>
            <w:r w:rsidRPr="00B04225">
              <w:rPr>
                <w:rFonts w:eastAsia="Times New Roman" w:cs="Times New Roman"/>
                <w:color w:val="000000"/>
                <w:sz w:val="19"/>
                <w:szCs w:val="19"/>
                <w:lang w:eastAsia="en-CA"/>
              </w:rPr>
              <w:t xml:space="preserve"> window fraction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At arrival</w:t>
            </w:r>
          </w:p>
        </w:tc>
      </w:tr>
      <w:tr w:rsidR="00BF25DE" w:rsidRPr="00B04225" w:rsidTr="00051A6E">
        <w:trPr>
          <w:trHeight w:val="765"/>
        </w:trPr>
        <w:tc>
          <w:tcPr>
            <w:tcW w:w="1120" w:type="dxa"/>
            <w:vMerge/>
            <w:tcBorders>
              <w:top w:val="nil"/>
              <w:left w:val="single" w:sz="4" w:space="0" w:color="auto"/>
              <w:bottom w:val="single" w:sz="4" w:space="0" w:color="auto"/>
              <w:right w:val="single" w:sz="4" w:space="0" w:color="auto"/>
            </w:tcBorders>
            <w:vAlign w:val="center"/>
            <w:hideMark/>
          </w:tcPr>
          <w:p w:rsidR="00BF25DE" w:rsidRPr="00B04225" w:rsidRDefault="00BF25DE" w:rsidP="00051A6E">
            <w:pPr>
              <w:spacing w:after="0" w:line="240" w:lineRule="auto"/>
              <w:rPr>
                <w:rFonts w:eastAsia="Times New Roman" w:cs="Times New Roman"/>
                <w:b/>
                <w:bCs/>
                <w:color w:val="000000"/>
                <w:sz w:val="19"/>
                <w:szCs w:val="19"/>
                <w:lang w:eastAsia="en-CA"/>
              </w:rPr>
            </w:pPr>
          </w:p>
        </w:tc>
        <w:tc>
          <w:tcPr>
            <w:tcW w:w="960" w:type="dxa"/>
            <w:vMerge/>
            <w:tcBorders>
              <w:top w:val="nil"/>
              <w:left w:val="single" w:sz="4" w:space="0" w:color="auto"/>
              <w:bottom w:val="single" w:sz="4" w:space="0" w:color="auto"/>
              <w:right w:val="single" w:sz="4" w:space="0" w:color="auto"/>
            </w:tcBorders>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p>
        </w:tc>
        <w:tc>
          <w:tcPr>
            <w:tcW w:w="960" w:type="dxa"/>
            <w:tcBorders>
              <w:top w:val="single" w:sz="4" w:space="0" w:color="auto"/>
              <w:left w:val="single" w:sz="4" w:space="0" w:color="auto"/>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˗3.6±0.03</w:t>
            </w:r>
          </w:p>
        </w:tc>
        <w:tc>
          <w:tcPr>
            <w:tcW w:w="13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˗0.0003±0.00002</w:t>
            </w:r>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r w:rsidRPr="00B04225">
              <w:rPr>
                <w:rFonts w:eastAsia="Times New Roman" w:cs="Times New Roman"/>
                <w:color w:val="000000"/>
                <w:sz w:val="19"/>
                <w:szCs w:val="19"/>
                <w:lang w:eastAsia="en-CA"/>
              </w:rPr>
              <w:t>˗2.7±0.04</w:t>
            </w:r>
          </w:p>
        </w:tc>
        <w:tc>
          <w:tcPr>
            <w:tcW w:w="110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Workplane</w:t>
            </w:r>
            <w:proofErr w:type="spellEnd"/>
            <w:r w:rsidRPr="00B04225">
              <w:rPr>
                <w:rFonts w:eastAsia="Times New Roman" w:cs="Times New Roman"/>
                <w:color w:val="000000"/>
                <w:sz w:val="19"/>
                <w:szCs w:val="19"/>
                <w:lang w:eastAsia="en-CA"/>
              </w:rPr>
              <w:t xml:space="preserve"> </w:t>
            </w:r>
            <w:proofErr w:type="spellStart"/>
            <w:r w:rsidRPr="00B04225">
              <w:rPr>
                <w:rFonts w:eastAsia="Times New Roman" w:cs="Times New Roman"/>
                <w:color w:val="000000"/>
                <w:sz w:val="19"/>
                <w:szCs w:val="19"/>
                <w:lang w:eastAsia="en-CA"/>
              </w:rPr>
              <w:t>illuminance</w:t>
            </w:r>
            <w:proofErr w:type="spellEnd"/>
          </w:p>
        </w:tc>
        <w:tc>
          <w:tcPr>
            <w:tcW w:w="960" w:type="dxa"/>
            <w:tcBorders>
              <w:top w:val="single" w:sz="4" w:space="0" w:color="auto"/>
              <w:left w:val="nil"/>
              <w:bottom w:val="single" w:sz="4" w:space="0" w:color="auto"/>
              <w:right w:val="nil"/>
            </w:tcBorders>
            <w:shd w:val="clear" w:color="auto" w:fill="auto"/>
            <w:vAlign w:val="center"/>
            <w:hideMark/>
          </w:tcPr>
          <w:p w:rsidR="00BF25DE" w:rsidRPr="00B04225" w:rsidRDefault="00BF25DE" w:rsidP="00051A6E">
            <w:pPr>
              <w:spacing w:after="0" w:line="240" w:lineRule="auto"/>
              <w:jc w:val="center"/>
              <w:rPr>
                <w:rFonts w:eastAsia="Times New Roman" w:cs="Times New Roman"/>
                <w:color w:val="000000"/>
                <w:sz w:val="19"/>
                <w:szCs w:val="19"/>
                <w:lang w:eastAsia="en-CA"/>
              </w:rPr>
            </w:pPr>
            <w:proofErr w:type="spellStart"/>
            <w:r w:rsidRPr="00B04225">
              <w:rPr>
                <w:rFonts w:eastAsia="Times New Roman" w:cs="Times New Roman"/>
                <w:color w:val="000000"/>
                <w:sz w:val="19"/>
                <w:szCs w:val="19"/>
                <w:lang w:eastAsia="en-CA"/>
              </w:rPr>
              <w:t>Unshaded</w:t>
            </w:r>
            <w:proofErr w:type="spellEnd"/>
            <w:r w:rsidRPr="00B04225">
              <w:rPr>
                <w:rFonts w:eastAsia="Times New Roman" w:cs="Times New Roman"/>
                <w:color w:val="000000"/>
                <w:sz w:val="19"/>
                <w:szCs w:val="19"/>
                <w:lang w:eastAsia="en-CA"/>
              </w:rPr>
              <w:t xml:space="preserve"> window fraction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F25DE" w:rsidRPr="00B04225" w:rsidRDefault="00BF25DE" w:rsidP="00051A6E">
            <w:pPr>
              <w:spacing w:after="0" w:line="240" w:lineRule="auto"/>
              <w:rPr>
                <w:rFonts w:eastAsia="Times New Roman" w:cs="Times New Roman"/>
                <w:color w:val="000000"/>
                <w:sz w:val="19"/>
                <w:szCs w:val="19"/>
                <w:lang w:eastAsia="en-CA"/>
              </w:rPr>
            </w:pPr>
            <w:r w:rsidRPr="00B04225">
              <w:rPr>
                <w:rFonts w:eastAsia="Times New Roman" w:cs="Times New Roman"/>
                <w:color w:val="000000"/>
                <w:sz w:val="19"/>
                <w:szCs w:val="19"/>
                <w:lang w:eastAsia="en-CA"/>
              </w:rPr>
              <w:t>During intermediate occupancy at 5 min time-step size</w:t>
            </w:r>
          </w:p>
        </w:tc>
      </w:tr>
    </w:tbl>
    <w:p w:rsidR="00CA2052" w:rsidRDefault="00CA2052" w:rsidP="00051A6E">
      <w:pPr>
        <w:spacing w:before="240" w:after="0" w:line="240" w:lineRule="auto"/>
        <w:jc w:val="both"/>
        <w:rPr>
          <w:rFonts w:cs="Times New Roman"/>
          <w:szCs w:val="24"/>
        </w:rPr>
      </w:pPr>
      <w:bookmarkStart w:id="19" w:name="_Ref403563639"/>
      <w:bookmarkStart w:id="20" w:name="_Ref403597326"/>
      <w:bookmarkStart w:id="21" w:name="_Toc415940843"/>
    </w:p>
    <w:p w:rsidR="00BF25DE" w:rsidRPr="00716F43" w:rsidRDefault="00BF25DE" w:rsidP="00051A6E">
      <w:pPr>
        <w:spacing w:before="240" w:after="0" w:line="240" w:lineRule="auto"/>
        <w:jc w:val="both"/>
        <w:rPr>
          <w:rFonts w:cs="Times New Roman"/>
          <w:szCs w:val="24"/>
        </w:rPr>
      </w:pPr>
      <w:r w:rsidRPr="00716F43">
        <w:rPr>
          <w:rFonts w:cs="Times New Roman"/>
          <w:szCs w:val="24"/>
        </w:rPr>
        <w:lastRenderedPageBreak/>
        <w:t xml:space="preserve">Table </w:t>
      </w:r>
      <w:r w:rsidR="00F84CB0" w:rsidRPr="00716F43">
        <w:rPr>
          <w:rFonts w:cs="Times New Roman"/>
          <w:szCs w:val="24"/>
        </w:rPr>
        <w:fldChar w:fldCharType="begin"/>
      </w:r>
      <w:r w:rsidRPr="00716F43">
        <w:rPr>
          <w:rFonts w:cs="Times New Roman"/>
          <w:szCs w:val="24"/>
        </w:rPr>
        <w:instrText xml:space="preserve"> SEQ Table \* ARABIC </w:instrText>
      </w:r>
      <w:r w:rsidR="00F84CB0" w:rsidRPr="00716F43">
        <w:rPr>
          <w:rFonts w:cs="Times New Roman"/>
          <w:szCs w:val="24"/>
        </w:rPr>
        <w:fldChar w:fldCharType="separate"/>
      </w:r>
      <w:r w:rsidRPr="00716F43">
        <w:rPr>
          <w:rFonts w:cs="Times New Roman"/>
          <w:noProof/>
          <w:szCs w:val="24"/>
        </w:rPr>
        <w:t>5</w:t>
      </w:r>
      <w:r w:rsidR="00F84CB0" w:rsidRPr="00716F43">
        <w:rPr>
          <w:rFonts w:cs="Times New Roman"/>
          <w:szCs w:val="24"/>
        </w:rPr>
        <w:fldChar w:fldCharType="end"/>
      </w:r>
      <w:bookmarkEnd w:id="19"/>
      <w:r w:rsidRPr="00716F43">
        <w:rPr>
          <w:rFonts w:cs="Times New Roman"/>
          <w:szCs w:val="24"/>
        </w:rPr>
        <w:t>: Parameters used in the window use models.</w:t>
      </w:r>
      <w:bookmarkEnd w:id="20"/>
      <w:bookmarkEnd w:id="21"/>
    </w:p>
    <w:tbl>
      <w:tblPr>
        <w:tblW w:w="96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941"/>
        <w:gridCol w:w="715"/>
        <w:gridCol w:w="720"/>
        <w:gridCol w:w="720"/>
        <w:gridCol w:w="720"/>
        <w:gridCol w:w="900"/>
        <w:gridCol w:w="900"/>
        <w:gridCol w:w="720"/>
        <w:gridCol w:w="2217"/>
      </w:tblGrid>
      <w:tr w:rsidR="00BF25DE" w:rsidRPr="007D20AC" w:rsidTr="00051A6E">
        <w:trPr>
          <w:trHeight w:val="720"/>
        </w:trPr>
        <w:tc>
          <w:tcPr>
            <w:tcW w:w="1067"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Occupant behaviours</w:t>
            </w:r>
          </w:p>
        </w:tc>
        <w:tc>
          <w:tcPr>
            <w:tcW w:w="941"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Models</w:t>
            </w: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Pr>
                <w:rFonts w:eastAsia="Times New Roman" w:cs="Times New Roman"/>
                <w:b/>
                <w:bCs/>
                <w:color w:val="000000"/>
                <w:sz w:val="18"/>
                <w:szCs w:val="18"/>
                <w:lang w:eastAsia="en-CA"/>
              </w:rPr>
              <w:t>a</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b</w:t>
            </w:r>
            <w:r w:rsidRPr="007D20AC">
              <w:rPr>
                <w:rFonts w:eastAsia="Times New Roman" w:cs="Times New Roman"/>
                <w:b/>
                <w:bCs/>
                <w:color w:val="000000"/>
                <w:sz w:val="18"/>
                <w:szCs w:val="18"/>
                <w:vertAlign w:val="subscript"/>
                <w:lang w:eastAsia="en-CA"/>
              </w:rPr>
              <w:t>1</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b</w:t>
            </w:r>
            <w:r w:rsidRPr="007D20AC">
              <w:rPr>
                <w:rFonts w:eastAsia="Times New Roman" w:cs="Times New Roman"/>
                <w:b/>
                <w:bCs/>
                <w:color w:val="000000"/>
                <w:sz w:val="18"/>
                <w:szCs w:val="18"/>
                <w:vertAlign w:val="subscript"/>
                <w:lang w:eastAsia="en-CA"/>
              </w:rPr>
              <w:t>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b</w:t>
            </w:r>
            <w:r w:rsidRPr="007D20AC">
              <w:rPr>
                <w:rFonts w:eastAsia="Times New Roman" w:cs="Times New Roman"/>
                <w:b/>
                <w:bCs/>
                <w:color w:val="000000"/>
                <w:sz w:val="18"/>
                <w:szCs w:val="18"/>
                <w:vertAlign w:val="subscript"/>
                <w:lang w:eastAsia="en-CA"/>
              </w:rPr>
              <w:t>3</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x</w:t>
            </w:r>
            <w:r w:rsidRPr="007D20AC">
              <w:rPr>
                <w:rFonts w:eastAsia="Times New Roman" w:cs="Times New Roman"/>
                <w:b/>
                <w:bCs/>
                <w:color w:val="000000"/>
                <w:sz w:val="18"/>
                <w:szCs w:val="18"/>
                <w:vertAlign w:val="subscript"/>
                <w:lang w:eastAsia="en-CA"/>
              </w:rPr>
              <w:t>1</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x</w:t>
            </w:r>
            <w:r w:rsidRPr="007D20AC">
              <w:rPr>
                <w:rFonts w:eastAsia="Times New Roman" w:cs="Times New Roman"/>
                <w:b/>
                <w:bCs/>
                <w:color w:val="000000"/>
                <w:sz w:val="18"/>
                <w:szCs w:val="18"/>
                <w:vertAlign w:val="subscript"/>
                <w:lang w:eastAsia="en-CA"/>
              </w:rPr>
              <w:t>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x</w:t>
            </w:r>
            <w:r w:rsidRPr="007D20AC">
              <w:rPr>
                <w:rFonts w:eastAsia="Times New Roman" w:cs="Times New Roman"/>
                <w:b/>
                <w:bCs/>
                <w:color w:val="000000"/>
                <w:sz w:val="18"/>
                <w:szCs w:val="18"/>
                <w:vertAlign w:val="subscript"/>
                <w:lang w:eastAsia="en-CA"/>
              </w:rPr>
              <w:t>3</w:t>
            </w:r>
          </w:p>
        </w:tc>
        <w:tc>
          <w:tcPr>
            <w:tcW w:w="2217" w:type="dxa"/>
            <w:shd w:val="clear" w:color="auto" w:fill="auto"/>
            <w:vAlign w:val="center"/>
            <w:hideMark/>
          </w:tcPr>
          <w:p w:rsidR="00BF25DE" w:rsidRPr="007D20AC" w:rsidRDefault="00BF25DE" w:rsidP="00051A6E">
            <w:pPr>
              <w:spacing w:after="0" w:line="240" w:lineRule="auto"/>
              <w:jc w:val="center"/>
              <w:rPr>
                <w:rFonts w:eastAsia="Times New Roman" w:cs="Times New Roman"/>
                <w:b/>
                <w:bCs/>
                <w:color w:val="000000"/>
                <w:sz w:val="18"/>
                <w:szCs w:val="18"/>
                <w:lang w:eastAsia="en-CA"/>
              </w:rPr>
            </w:pPr>
            <w:r w:rsidRPr="007D20AC">
              <w:rPr>
                <w:rFonts w:eastAsia="Times New Roman" w:cs="Times New Roman"/>
                <w:b/>
                <w:bCs/>
                <w:color w:val="000000"/>
                <w:sz w:val="18"/>
                <w:szCs w:val="18"/>
                <w:lang w:eastAsia="en-CA"/>
              </w:rPr>
              <w:t>Calling Point</w:t>
            </w:r>
          </w:p>
        </w:tc>
      </w:tr>
      <w:tr w:rsidR="00BF25DE" w:rsidRPr="007D20AC" w:rsidTr="00051A6E">
        <w:trPr>
          <w:trHeight w:val="782"/>
        </w:trPr>
        <w:tc>
          <w:tcPr>
            <w:tcW w:w="1067"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Pr>
                <w:rFonts w:eastAsia="Times New Roman" w:cs="Times New Roman"/>
                <w:color w:val="000000"/>
                <w:sz w:val="18"/>
                <w:szCs w:val="18"/>
                <w:lang w:eastAsia="en-CA"/>
              </w:rPr>
              <w:t>Predicting window position</w:t>
            </w:r>
          </w:p>
        </w:tc>
        <w:tc>
          <w:tcPr>
            <w:tcW w:w="941"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1031CE">
              <w:rPr>
                <w:rFonts w:eastAsia="Times New Roman" w:cs="Times New Roman"/>
                <w:color w:val="000000"/>
                <w:sz w:val="18"/>
                <w:szCs w:val="18"/>
                <w:lang w:eastAsia="en-CA"/>
              </w:rPr>
              <w:t>Haldi</w:t>
            </w:r>
            <w:proofErr w:type="spellEnd"/>
            <w:r w:rsidRPr="001031CE">
              <w:rPr>
                <w:rFonts w:eastAsia="Times New Roman" w:cs="Times New Roman"/>
                <w:color w:val="000000"/>
                <w:sz w:val="18"/>
                <w:szCs w:val="18"/>
                <w:lang w:eastAsia="en-CA"/>
              </w:rPr>
              <w:t xml:space="preserve"> and Robinson (2008)</w:t>
            </w:r>
          </w:p>
        </w:tc>
        <w:tc>
          <w:tcPr>
            <w:tcW w:w="715" w:type="dxa"/>
            <w:shd w:val="clear" w:color="auto" w:fill="auto"/>
            <w:vAlign w:val="center"/>
            <w:hideMark/>
          </w:tcPr>
          <w:p w:rsidR="00BF25DE" w:rsidRPr="00654DB2" w:rsidRDefault="00BF25DE" w:rsidP="00051A6E">
            <w:pPr>
              <w:spacing w:after="0" w:line="240" w:lineRule="auto"/>
              <w:jc w:val="center"/>
              <w:rPr>
                <w:rFonts w:eastAsia="Times New Roman" w:cs="Times New Roman"/>
                <w:color w:val="000000"/>
                <w:sz w:val="18"/>
                <w:szCs w:val="18"/>
                <w:lang w:eastAsia="en-CA"/>
              </w:rPr>
            </w:pPr>
            <w:r w:rsidRPr="00654DB2">
              <w:rPr>
                <w:rFonts w:cs="Times New Roman"/>
                <w:sz w:val="18"/>
                <w:szCs w:val="18"/>
                <w:lang w:val="en-US"/>
              </w:rPr>
              <w:t>-1.12</w:t>
            </w:r>
            <w:r w:rsidRPr="00654DB2">
              <w:rPr>
                <w:rFonts w:eastAsia="Times New Roman" w:cs="Times New Roman"/>
                <w:color w:val="000000"/>
                <w:sz w:val="18"/>
                <w:szCs w:val="18"/>
                <w:lang w:eastAsia="en-CA"/>
              </w:rPr>
              <w:t>±</w:t>
            </w:r>
            <w:r w:rsidR="00CE3E3A">
              <w:rPr>
                <w:rFonts w:cs="Times New Roman"/>
                <w:sz w:val="18"/>
                <w:szCs w:val="18"/>
                <w:lang w:val="en-US"/>
              </w:rPr>
              <w:t xml:space="preserve"> </w:t>
            </w:r>
            <w:r w:rsidRPr="00654DB2">
              <w:rPr>
                <w:rFonts w:cs="Times New Roman"/>
                <w:sz w:val="18"/>
                <w:szCs w:val="18"/>
                <w:lang w:val="en-US"/>
              </w:rPr>
              <w:t>0.15</w:t>
            </w:r>
          </w:p>
        </w:tc>
        <w:tc>
          <w:tcPr>
            <w:tcW w:w="720" w:type="dxa"/>
            <w:shd w:val="clear" w:color="auto" w:fill="auto"/>
            <w:vAlign w:val="center"/>
            <w:hideMark/>
          </w:tcPr>
          <w:p w:rsidR="00BF25DE" w:rsidRPr="00654DB2" w:rsidRDefault="00BF25DE" w:rsidP="00051A6E">
            <w:pPr>
              <w:spacing w:after="0" w:line="240" w:lineRule="auto"/>
              <w:jc w:val="center"/>
              <w:rPr>
                <w:rFonts w:eastAsia="Times New Roman" w:cs="Times New Roman"/>
                <w:color w:val="000000"/>
                <w:sz w:val="18"/>
                <w:szCs w:val="18"/>
                <w:lang w:eastAsia="en-CA"/>
              </w:rPr>
            </w:pPr>
            <w:r w:rsidRPr="00654DB2">
              <w:rPr>
                <w:rFonts w:eastAsia="Times New Roman" w:cs="Times New Roman"/>
                <w:color w:val="000000"/>
                <w:sz w:val="18"/>
                <w:szCs w:val="18"/>
                <w:lang w:eastAsia="en-CA"/>
              </w:rPr>
              <w:t>0.05±</w:t>
            </w:r>
            <w:r>
              <w:rPr>
                <w:rFonts w:eastAsia="Times New Roman" w:cs="Times New Roman"/>
                <w:color w:val="000000"/>
                <w:sz w:val="18"/>
                <w:szCs w:val="18"/>
                <w:lang w:eastAsia="en-CA"/>
              </w:rPr>
              <w:t xml:space="preserve"> </w:t>
            </w:r>
            <w:r w:rsidRPr="00654DB2">
              <w:rPr>
                <w:rFonts w:eastAsia="Times New Roman" w:cs="Times New Roman"/>
                <w:color w:val="000000"/>
                <w:sz w:val="18"/>
                <w:szCs w:val="18"/>
                <w:lang w:eastAsia="en-CA"/>
              </w:rPr>
              <w:t>0.01</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Pr>
                <w:rFonts w:eastAsia="Times New Roman" w:cs="Times New Roman"/>
                <w:color w:val="000000"/>
                <w:sz w:val="18"/>
                <w:szCs w:val="18"/>
                <w:lang w:eastAsia="en-CA"/>
              </w:rPr>
              <w:t>Outdoor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Pr>
                <w:rFonts w:eastAsia="Times New Roman" w:cs="Times New Roman"/>
                <w:color w:val="000000"/>
                <w:sz w:val="18"/>
                <w:szCs w:val="18"/>
                <w:lang w:eastAsia="en-CA"/>
              </w:rPr>
              <w:t>At each simulation time-step</w:t>
            </w:r>
          </w:p>
        </w:tc>
      </w:tr>
      <w:tr w:rsidR="00BF25DE" w:rsidRPr="007D20AC" w:rsidTr="00051A6E">
        <w:trPr>
          <w:trHeight w:val="1170"/>
        </w:trPr>
        <w:tc>
          <w:tcPr>
            <w:tcW w:w="1067" w:type="dxa"/>
            <w:vMerge w:val="restart"/>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Predicting window opening action</w:t>
            </w:r>
          </w:p>
        </w:tc>
        <w:tc>
          <w:tcPr>
            <w:tcW w:w="941"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1031CE">
              <w:rPr>
                <w:rFonts w:eastAsia="Times New Roman" w:cs="Times New Roman"/>
                <w:color w:val="000000"/>
                <w:sz w:val="18"/>
                <w:szCs w:val="18"/>
                <w:lang w:eastAsia="en-CA"/>
              </w:rPr>
              <w:t>Rijal</w:t>
            </w:r>
            <w:proofErr w:type="spellEnd"/>
            <w:r w:rsidRPr="001031CE">
              <w:rPr>
                <w:rFonts w:eastAsia="Times New Roman" w:cs="Times New Roman"/>
                <w:color w:val="000000"/>
                <w:sz w:val="18"/>
                <w:szCs w:val="18"/>
                <w:lang w:eastAsia="en-CA"/>
              </w:rPr>
              <w:t xml:space="preserve"> et al. (2008)</w:t>
            </w: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˗6.4</w:t>
            </w:r>
            <w:r>
              <w:rPr>
                <w:rFonts w:eastAsia="Times New Roman" w:cs="Times New Roman"/>
                <w:color w:val="000000"/>
                <w:sz w:val="18"/>
                <w:szCs w:val="18"/>
                <w:lang w:eastAsia="en-CA"/>
              </w:rPr>
              <w:t>0</w:t>
            </w:r>
            <w:r w:rsidRPr="007D20AC">
              <w:rPr>
                <w:rFonts w:eastAsia="Times New Roman" w:cs="Times New Roman"/>
                <w:color w:val="000000"/>
                <w:sz w:val="18"/>
                <w:szCs w:val="18"/>
                <w:lang w:eastAsia="en-CA"/>
              </w:rPr>
              <w:t>±1.3</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0.17</w:t>
            </w:r>
            <w:r>
              <w:rPr>
                <w:rFonts w:eastAsia="Times New Roman" w:cs="Times New Roman"/>
                <w:color w:val="000000"/>
                <w:sz w:val="18"/>
                <w:szCs w:val="18"/>
                <w:lang w:eastAsia="en-CA"/>
              </w:rPr>
              <w:t xml:space="preserve"> </w:t>
            </w:r>
            <w:r w:rsidRPr="007D20AC">
              <w:rPr>
                <w:rFonts w:eastAsia="Times New Roman" w:cs="Times New Roman"/>
                <w:color w:val="000000"/>
                <w:sz w:val="18"/>
                <w:szCs w:val="18"/>
                <w:lang w:eastAsia="en-CA"/>
              </w:rPr>
              <w:t>±0.03</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0.17</w:t>
            </w:r>
            <w:r>
              <w:rPr>
                <w:rFonts w:eastAsia="Times New Roman" w:cs="Times New Roman"/>
                <w:color w:val="000000"/>
                <w:sz w:val="18"/>
                <w:szCs w:val="18"/>
                <w:lang w:eastAsia="en-CA"/>
              </w:rPr>
              <w:t xml:space="preserve"> </w:t>
            </w:r>
            <w:r w:rsidRPr="007D20AC">
              <w:rPr>
                <w:rFonts w:eastAsia="Times New Roman" w:cs="Times New Roman"/>
                <w:color w:val="000000"/>
                <w:sz w:val="18"/>
                <w:szCs w:val="18"/>
                <w:lang w:eastAsia="en-CA"/>
              </w:rPr>
              <w:t>±0.03</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When operative temperature is more than 2°C larger than the operative comfort temperature</w:t>
            </w:r>
          </w:p>
        </w:tc>
      </w:tr>
      <w:tr w:rsidR="00BF25DE" w:rsidRPr="007D20AC" w:rsidTr="00051A6E">
        <w:trPr>
          <w:trHeight w:val="495"/>
        </w:trPr>
        <w:tc>
          <w:tcPr>
            <w:tcW w:w="1067" w:type="dxa"/>
            <w:vMerge/>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p>
        </w:tc>
        <w:tc>
          <w:tcPr>
            <w:tcW w:w="941" w:type="dxa"/>
            <w:vMerge w:val="restart"/>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7D20AC">
              <w:rPr>
                <w:rFonts w:eastAsia="Times New Roman" w:cs="Times New Roman"/>
                <w:color w:val="000000"/>
                <w:sz w:val="18"/>
                <w:szCs w:val="18"/>
                <w:lang w:eastAsia="en-CA"/>
              </w:rPr>
              <w:t>Haldi</w:t>
            </w:r>
            <w:proofErr w:type="spellEnd"/>
            <w:r w:rsidRPr="007D20AC">
              <w:rPr>
                <w:rFonts w:eastAsia="Times New Roman" w:cs="Times New Roman"/>
                <w:color w:val="000000"/>
                <w:sz w:val="18"/>
                <w:szCs w:val="18"/>
                <w:lang w:eastAsia="en-CA"/>
              </w:rPr>
              <w:t xml:space="preserve"> and Robinson (2009)</w:t>
            </w: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˗12.0±0.4</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0.31</w:t>
            </w:r>
            <w:r>
              <w:rPr>
                <w:rFonts w:eastAsia="Times New Roman" w:cs="Times New Roman"/>
                <w:color w:val="000000"/>
                <w:sz w:val="18"/>
                <w:szCs w:val="18"/>
                <w:lang w:eastAsia="en-CA"/>
              </w:rPr>
              <w:t xml:space="preserve"> </w:t>
            </w:r>
            <w:r w:rsidRPr="007D20AC">
              <w:rPr>
                <w:rFonts w:eastAsia="Times New Roman" w:cs="Times New Roman"/>
                <w:color w:val="000000"/>
                <w:sz w:val="18"/>
                <w:szCs w:val="18"/>
                <w:lang w:eastAsia="en-CA"/>
              </w:rPr>
              <w:t>±0.02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0.043±0.003</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˗0.45±0.11</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Rain</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At arrival</w:t>
            </w:r>
          </w:p>
        </w:tc>
      </w:tr>
      <w:tr w:rsidR="00BF25DE" w:rsidRPr="007D20AC" w:rsidTr="00051A6E">
        <w:trPr>
          <w:trHeight w:val="1335"/>
        </w:trPr>
        <w:tc>
          <w:tcPr>
            <w:tcW w:w="1067" w:type="dxa"/>
            <w:vMerge/>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p>
        </w:tc>
        <w:tc>
          <w:tcPr>
            <w:tcW w:w="941" w:type="dxa"/>
            <w:vMerge/>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˗12.2</w:t>
            </w:r>
            <w:r>
              <w:rPr>
                <w:rFonts w:eastAsia="Times New Roman" w:cs="Times New Roman"/>
                <w:color w:val="000000"/>
                <w:sz w:val="18"/>
                <w:szCs w:val="18"/>
                <w:lang w:eastAsia="en-CA"/>
              </w:rPr>
              <w:t>0</w:t>
            </w:r>
            <w:r w:rsidRPr="007D20AC">
              <w:rPr>
                <w:rFonts w:eastAsia="Times New Roman" w:cs="Times New Roman"/>
                <w:color w:val="000000"/>
                <w:sz w:val="18"/>
                <w:szCs w:val="18"/>
                <w:lang w:eastAsia="en-CA"/>
              </w:rPr>
              <w:t>±0.3</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0.28</w:t>
            </w:r>
            <w:r>
              <w:rPr>
                <w:rFonts w:eastAsia="Times New Roman" w:cs="Times New Roman"/>
                <w:color w:val="000000"/>
                <w:sz w:val="18"/>
                <w:szCs w:val="18"/>
                <w:lang w:eastAsia="en-CA"/>
              </w:rPr>
              <w:t xml:space="preserve"> </w:t>
            </w:r>
            <w:r w:rsidRPr="007D20AC">
              <w:rPr>
                <w:rFonts w:eastAsia="Times New Roman" w:cs="Times New Roman"/>
                <w:color w:val="000000"/>
                <w:sz w:val="18"/>
                <w:szCs w:val="18"/>
                <w:lang w:eastAsia="en-CA"/>
              </w:rPr>
              <w:t>±0.01</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0.027±0.002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˗0.34±0.08</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Rain</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During intermediate occupancy at 5 min time-step size</w:t>
            </w:r>
          </w:p>
        </w:tc>
      </w:tr>
      <w:tr w:rsidR="00BF25DE" w:rsidRPr="007D20AC" w:rsidTr="00051A6E">
        <w:trPr>
          <w:trHeight w:val="720"/>
        </w:trPr>
        <w:tc>
          <w:tcPr>
            <w:tcW w:w="1067" w:type="dxa"/>
            <w:vMerge/>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p>
        </w:tc>
        <w:tc>
          <w:tcPr>
            <w:tcW w:w="941" w:type="dxa"/>
            <w:vMerge w:val="restart"/>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7D20AC">
              <w:rPr>
                <w:rFonts w:eastAsia="Times New Roman" w:cs="Times New Roman"/>
                <w:color w:val="000000"/>
                <w:sz w:val="18"/>
                <w:szCs w:val="18"/>
                <w:lang w:eastAsia="en-CA"/>
              </w:rPr>
              <w:t>Yun</w:t>
            </w:r>
            <w:proofErr w:type="spellEnd"/>
            <w:r w:rsidRPr="007D20AC">
              <w:rPr>
                <w:rFonts w:eastAsia="Times New Roman" w:cs="Times New Roman"/>
                <w:color w:val="000000"/>
                <w:sz w:val="18"/>
                <w:szCs w:val="18"/>
                <w:lang w:eastAsia="en-CA"/>
              </w:rPr>
              <w:t xml:space="preserve"> and </w:t>
            </w:r>
            <w:proofErr w:type="spellStart"/>
            <w:r w:rsidRPr="007D20AC">
              <w:rPr>
                <w:rFonts w:eastAsia="Times New Roman" w:cs="Times New Roman"/>
                <w:color w:val="000000"/>
                <w:sz w:val="18"/>
                <w:szCs w:val="18"/>
                <w:lang w:eastAsia="en-CA"/>
              </w:rPr>
              <w:t>Steemers</w:t>
            </w:r>
            <w:proofErr w:type="spellEnd"/>
            <w:r w:rsidRPr="007D20AC">
              <w:rPr>
                <w:rFonts w:eastAsia="Times New Roman" w:cs="Times New Roman"/>
                <w:color w:val="000000"/>
                <w:sz w:val="18"/>
                <w:szCs w:val="18"/>
                <w:lang w:eastAsia="en-CA"/>
              </w:rPr>
              <w:t xml:space="preserve"> (2008)</w:t>
            </w: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˗4.8</w:t>
            </w:r>
            <w:r>
              <w:rPr>
                <w:rFonts w:eastAsia="Times New Roman" w:cs="Times New Roman"/>
                <w:color w:val="000000"/>
                <w:sz w:val="18"/>
                <w:szCs w:val="18"/>
                <w:lang w:eastAsia="en-CA"/>
              </w:rPr>
              <w:t>0</w:t>
            </w:r>
            <w:r w:rsidRPr="007D20AC">
              <w:rPr>
                <w:rFonts w:eastAsia="Times New Roman" w:cs="Times New Roman"/>
                <w:color w:val="000000"/>
                <w:sz w:val="18"/>
                <w:szCs w:val="18"/>
                <w:lang w:eastAsia="en-CA"/>
              </w:rPr>
              <w:t>±1.1</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Pr>
                <w:rFonts w:eastAsia="Times New Roman" w:cs="Times New Roman"/>
                <w:color w:val="000000"/>
                <w:sz w:val="18"/>
                <w:szCs w:val="18"/>
                <w:lang w:eastAsia="en-CA"/>
              </w:rPr>
              <w:t>0.22 ±0.05</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0.003±0.038</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At arrival, when the outdoor temperature is higher than 15°C</w:t>
            </w:r>
          </w:p>
        </w:tc>
      </w:tr>
      <w:tr w:rsidR="00BF25DE" w:rsidRPr="007D20AC" w:rsidTr="00051A6E">
        <w:trPr>
          <w:trHeight w:val="1200"/>
        </w:trPr>
        <w:tc>
          <w:tcPr>
            <w:tcW w:w="1067" w:type="dxa"/>
            <w:vMerge/>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p>
        </w:tc>
        <w:tc>
          <w:tcPr>
            <w:tcW w:w="941" w:type="dxa"/>
            <w:vMerge/>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0.57±8.4</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˗0.26±2.46</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During intermediate occupancy at 5 min time-step size, when the outdoor temperature is higher than 15°C</w:t>
            </w:r>
          </w:p>
        </w:tc>
      </w:tr>
      <w:tr w:rsidR="00BF25DE" w:rsidRPr="007D20AC" w:rsidTr="00051A6E">
        <w:trPr>
          <w:trHeight w:val="960"/>
        </w:trPr>
        <w:tc>
          <w:tcPr>
            <w:tcW w:w="1067" w:type="dxa"/>
            <w:vMerge w:val="restart"/>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Predicting window closing action</w:t>
            </w:r>
          </w:p>
        </w:tc>
        <w:tc>
          <w:tcPr>
            <w:tcW w:w="941"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7D20AC">
              <w:rPr>
                <w:rFonts w:eastAsia="Times New Roman" w:cs="Times New Roman"/>
                <w:color w:val="000000"/>
                <w:sz w:val="18"/>
                <w:szCs w:val="18"/>
                <w:lang w:eastAsia="en-CA"/>
              </w:rPr>
              <w:t>Rijal</w:t>
            </w:r>
            <w:proofErr w:type="spellEnd"/>
            <w:r w:rsidRPr="007D20AC">
              <w:rPr>
                <w:rFonts w:eastAsia="Times New Roman" w:cs="Times New Roman"/>
                <w:color w:val="000000"/>
                <w:sz w:val="18"/>
                <w:szCs w:val="18"/>
                <w:lang w:eastAsia="en-CA"/>
              </w:rPr>
              <w:t xml:space="preserve"> et al. (2008)</w:t>
            </w:r>
          </w:p>
        </w:tc>
        <w:tc>
          <w:tcPr>
            <w:tcW w:w="715" w:type="dxa"/>
            <w:shd w:val="clear" w:color="auto" w:fill="auto"/>
            <w:vAlign w:val="center"/>
            <w:hideMark/>
          </w:tcPr>
          <w:p w:rsidR="00BF25DE"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6.4</w:t>
            </w:r>
            <w:r>
              <w:rPr>
                <w:rFonts w:eastAsia="Times New Roman" w:cs="Times New Roman"/>
                <w:color w:val="000000"/>
                <w:sz w:val="18"/>
                <w:szCs w:val="18"/>
                <w:lang w:eastAsia="en-CA"/>
              </w:rPr>
              <w:t>0</w:t>
            </w:r>
            <w:r w:rsidRPr="007D20AC">
              <w:rPr>
                <w:rFonts w:eastAsia="Times New Roman" w:cs="Times New Roman"/>
                <w:color w:val="000000"/>
                <w:sz w:val="18"/>
                <w:szCs w:val="18"/>
                <w:lang w:eastAsia="en-CA"/>
              </w:rPr>
              <w:t>±</w:t>
            </w:r>
          </w:p>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1.3</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˗0.17±0.03</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˗0.17±0.03</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When operative temperature is more than 2°C lower than the operative comfort temperature</w:t>
            </w:r>
          </w:p>
        </w:tc>
      </w:tr>
      <w:tr w:rsidR="00BF25DE" w:rsidRPr="007D20AC" w:rsidTr="00051A6E">
        <w:trPr>
          <w:trHeight w:val="480"/>
        </w:trPr>
        <w:tc>
          <w:tcPr>
            <w:tcW w:w="1067" w:type="dxa"/>
            <w:vMerge/>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
        </w:tc>
        <w:tc>
          <w:tcPr>
            <w:tcW w:w="941" w:type="dxa"/>
            <w:vMerge w:val="restart"/>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7D20AC">
              <w:rPr>
                <w:rFonts w:eastAsia="Times New Roman" w:cs="Times New Roman"/>
                <w:color w:val="000000"/>
                <w:sz w:val="18"/>
                <w:szCs w:val="18"/>
                <w:lang w:eastAsia="en-CA"/>
              </w:rPr>
              <w:t>Haldi</w:t>
            </w:r>
            <w:proofErr w:type="spellEnd"/>
            <w:r w:rsidRPr="007D20AC">
              <w:rPr>
                <w:rFonts w:eastAsia="Times New Roman" w:cs="Times New Roman"/>
                <w:color w:val="000000"/>
                <w:sz w:val="18"/>
                <w:szCs w:val="18"/>
                <w:lang w:eastAsia="en-CA"/>
              </w:rPr>
              <w:t xml:space="preserve"> and Robinson (2009)</w:t>
            </w: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4.0</w:t>
            </w:r>
            <w:r>
              <w:rPr>
                <w:rFonts w:eastAsia="Times New Roman" w:cs="Times New Roman"/>
                <w:color w:val="000000"/>
                <w:sz w:val="18"/>
                <w:szCs w:val="18"/>
                <w:lang w:eastAsia="en-CA"/>
              </w:rPr>
              <w:t>0</w:t>
            </w:r>
            <w:r w:rsidRPr="007D20AC">
              <w:rPr>
                <w:rFonts w:eastAsia="Times New Roman" w:cs="Times New Roman"/>
                <w:color w:val="000000"/>
                <w:sz w:val="18"/>
                <w:szCs w:val="18"/>
                <w:lang w:eastAsia="en-CA"/>
              </w:rPr>
              <w:t>±0.4</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˗0.29±0.02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˗0.05±0.005</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At arrival</w:t>
            </w:r>
          </w:p>
        </w:tc>
      </w:tr>
      <w:tr w:rsidR="00BF25DE" w:rsidRPr="007D20AC" w:rsidTr="00051A6E">
        <w:trPr>
          <w:trHeight w:val="720"/>
        </w:trPr>
        <w:tc>
          <w:tcPr>
            <w:tcW w:w="1067" w:type="dxa"/>
            <w:vMerge/>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
        </w:tc>
        <w:tc>
          <w:tcPr>
            <w:tcW w:w="941" w:type="dxa"/>
            <w:vMerge/>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˗1.6</w:t>
            </w:r>
            <w:r>
              <w:rPr>
                <w:rFonts w:eastAsia="Times New Roman" w:cs="Times New Roman"/>
                <w:color w:val="000000"/>
                <w:sz w:val="18"/>
                <w:szCs w:val="18"/>
                <w:lang w:eastAsia="en-CA"/>
              </w:rPr>
              <w:t>0</w:t>
            </w:r>
            <w:r w:rsidRPr="007D20AC">
              <w:rPr>
                <w:rFonts w:eastAsia="Times New Roman" w:cs="Times New Roman"/>
                <w:color w:val="000000"/>
                <w:sz w:val="18"/>
                <w:szCs w:val="18"/>
                <w:lang w:eastAsia="en-CA"/>
              </w:rPr>
              <w:t>±0.2</w:t>
            </w:r>
            <w:r>
              <w:rPr>
                <w:rFonts w:eastAsia="Times New Roman" w:cs="Times New Roman"/>
                <w:color w:val="000000"/>
                <w:sz w:val="18"/>
                <w:szCs w:val="18"/>
                <w:lang w:eastAsia="en-CA"/>
              </w:rPr>
              <w:t>0</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˗0.05±0.01</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˗0.078±0.002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Outdoor temp</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During intermediate occupancy at 5 min time-step size</w:t>
            </w:r>
          </w:p>
        </w:tc>
      </w:tr>
      <w:tr w:rsidR="00BF25DE" w:rsidRPr="007D20AC" w:rsidTr="00051A6E">
        <w:trPr>
          <w:trHeight w:val="720"/>
        </w:trPr>
        <w:tc>
          <w:tcPr>
            <w:tcW w:w="1067" w:type="dxa"/>
            <w:vMerge/>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
        </w:tc>
        <w:tc>
          <w:tcPr>
            <w:tcW w:w="941"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proofErr w:type="spellStart"/>
            <w:r w:rsidRPr="007D20AC">
              <w:rPr>
                <w:rFonts w:eastAsia="Times New Roman" w:cs="Times New Roman"/>
                <w:color w:val="000000"/>
                <w:sz w:val="18"/>
                <w:szCs w:val="18"/>
                <w:lang w:eastAsia="en-CA"/>
              </w:rPr>
              <w:t>Yun</w:t>
            </w:r>
            <w:proofErr w:type="spellEnd"/>
            <w:r w:rsidRPr="007D20AC">
              <w:rPr>
                <w:rFonts w:eastAsia="Times New Roman" w:cs="Times New Roman"/>
                <w:color w:val="000000"/>
                <w:sz w:val="18"/>
                <w:szCs w:val="18"/>
                <w:lang w:eastAsia="en-CA"/>
              </w:rPr>
              <w:t xml:space="preserve"> and </w:t>
            </w:r>
            <w:proofErr w:type="spellStart"/>
            <w:r w:rsidRPr="007D20AC">
              <w:rPr>
                <w:rFonts w:eastAsia="Times New Roman" w:cs="Times New Roman"/>
                <w:color w:val="000000"/>
                <w:sz w:val="18"/>
                <w:szCs w:val="18"/>
                <w:lang w:eastAsia="en-CA"/>
              </w:rPr>
              <w:t>Steemers</w:t>
            </w:r>
            <w:proofErr w:type="spellEnd"/>
            <w:r w:rsidRPr="007D20AC">
              <w:rPr>
                <w:rFonts w:eastAsia="Times New Roman" w:cs="Times New Roman"/>
                <w:color w:val="000000"/>
                <w:sz w:val="18"/>
                <w:szCs w:val="18"/>
                <w:lang w:eastAsia="en-CA"/>
              </w:rPr>
              <w:t xml:space="preserve"> (2008)</w:t>
            </w:r>
          </w:p>
        </w:tc>
        <w:tc>
          <w:tcPr>
            <w:tcW w:w="715"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0.21±0.05</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Pr>
                <w:rFonts w:eastAsia="Times New Roman" w:cs="Times New Roman"/>
                <w:color w:val="000000"/>
                <w:sz w:val="18"/>
                <w:szCs w:val="18"/>
                <w:lang w:eastAsia="en-CA"/>
              </w:rPr>
              <w:t>-</w:t>
            </w:r>
            <w:r w:rsidRPr="007D20AC">
              <w:rPr>
                <w:rFonts w:eastAsia="Times New Roman" w:cs="Times New Roman"/>
                <w:color w:val="000000"/>
                <w:sz w:val="18"/>
                <w:szCs w:val="18"/>
                <w:lang w:eastAsia="en-CA"/>
              </w:rPr>
              <w:t>0.007</w:t>
            </w:r>
            <w:r>
              <w:rPr>
                <w:rFonts w:eastAsia="Times New Roman" w:cs="Times New Roman"/>
                <w:color w:val="000000"/>
                <w:sz w:val="18"/>
                <w:szCs w:val="18"/>
                <w:lang w:eastAsia="en-CA"/>
              </w:rPr>
              <w:t xml:space="preserve"> </w:t>
            </w:r>
            <w:r w:rsidRPr="007D20AC">
              <w:rPr>
                <w:rFonts w:eastAsia="Times New Roman" w:cs="Times New Roman"/>
                <w:color w:val="000000"/>
                <w:sz w:val="18"/>
                <w:szCs w:val="18"/>
                <w:lang w:eastAsia="en-CA"/>
              </w:rPr>
              <w:t>±0.002</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Indoor temp</w:t>
            </w:r>
          </w:p>
        </w:tc>
        <w:tc>
          <w:tcPr>
            <w:tcW w:w="90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720" w:type="dxa"/>
            <w:shd w:val="clear" w:color="auto" w:fill="auto"/>
            <w:vAlign w:val="center"/>
            <w:hideMark/>
          </w:tcPr>
          <w:p w:rsidR="00BF25DE" w:rsidRPr="007D20AC" w:rsidRDefault="00BF25DE" w:rsidP="00051A6E">
            <w:pPr>
              <w:spacing w:after="0" w:line="240" w:lineRule="auto"/>
              <w:jc w:val="center"/>
              <w:rPr>
                <w:rFonts w:eastAsia="Times New Roman" w:cs="Times New Roman"/>
                <w:color w:val="000000"/>
                <w:sz w:val="18"/>
                <w:szCs w:val="18"/>
                <w:lang w:eastAsia="en-CA"/>
              </w:rPr>
            </w:pPr>
            <w:r w:rsidRPr="007D20AC">
              <w:rPr>
                <w:rFonts w:eastAsia="Times New Roman" w:cs="Times New Roman"/>
                <w:color w:val="000000"/>
                <w:sz w:val="18"/>
                <w:szCs w:val="18"/>
                <w:lang w:eastAsia="en-CA"/>
              </w:rPr>
              <w:t>―</w:t>
            </w:r>
          </w:p>
        </w:tc>
        <w:tc>
          <w:tcPr>
            <w:tcW w:w="2217" w:type="dxa"/>
            <w:shd w:val="clear" w:color="auto" w:fill="auto"/>
            <w:vAlign w:val="center"/>
            <w:hideMark/>
          </w:tcPr>
          <w:p w:rsidR="00BF25DE" w:rsidRPr="007D20AC" w:rsidRDefault="00BF25DE" w:rsidP="00051A6E">
            <w:pPr>
              <w:spacing w:after="0" w:line="240" w:lineRule="auto"/>
              <w:rPr>
                <w:rFonts w:eastAsia="Times New Roman" w:cs="Times New Roman"/>
                <w:color w:val="000000"/>
                <w:sz w:val="18"/>
                <w:szCs w:val="18"/>
                <w:lang w:eastAsia="en-CA"/>
              </w:rPr>
            </w:pPr>
            <w:r w:rsidRPr="007D20AC">
              <w:rPr>
                <w:rFonts w:eastAsia="Times New Roman" w:cs="Times New Roman"/>
                <w:color w:val="000000"/>
                <w:sz w:val="18"/>
                <w:szCs w:val="18"/>
                <w:lang w:eastAsia="en-CA"/>
              </w:rPr>
              <w:t>When indoor temperature is less than 30°C at 5 min time-step size</w:t>
            </w:r>
          </w:p>
        </w:tc>
      </w:tr>
    </w:tbl>
    <w:p w:rsidR="00BF25DE" w:rsidRDefault="00BF25DE" w:rsidP="00051A6E">
      <w:pPr>
        <w:spacing w:before="240" w:after="0" w:line="360" w:lineRule="auto"/>
        <w:jc w:val="both"/>
        <w:rPr>
          <w:rFonts w:cs="Times New Roman"/>
          <w:szCs w:val="24"/>
        </w:rPr>
      </w:pPr>
      <w:bookmarkStart w:id="22" w:name="_Toc415940844"/>
      <w:r>
        <w:rPr>
          <w:rFonts w:cs="Times New Roman"/>
          <w:szCs w:val="24"/>
        </w:rPr>
        <w:t xml:space="preserve">Except </w:t>
      </w:r>
      <w:r>
        <w:rPr>
          <w:rFonts w:cs="Times New Roman"/>
          <w:noProof/>
          <w:szCs w:val="24"/>
        </w:rPr>
        <w:t>Haldi and Robinson (2010)</w:t>
      </w:r>
      <w:r>
        <w:rPr>
          <w:rFonts w:cs="Times New Roman"/>
          <w:szCs w:val="24"/>
        </w:rPr>
        <w:t>'s blinds use model, all occupant behaviour models treat lighting, blinds, and windows as binary adaptive states: e.g., lights are on or off, windows and blinds are open or closed. When</w:t>
      </w:r>
      <w:r w:rsidRPr="00A13088">
        <w:rPr>
          <w:rFonts w:cs="Times New Roman"/>
          <w:szCs w:val="24"/>
        </w:rPr>
        <w:t xml:space="preserve"> </w:t>
      </w:r>
      <w:r>
        <w:rPr>
          <w:rFonts w:cs="Times New Roman"/>
          <w:szCs w:val="24"/>
        </w:rPr>
        <w:t xml:space="preserve">a blinds closing or opening action is predicted, </w:t>
      </w:r>
      <w:r>
        <w:rPr>
          <w:rFonts w:cs="Times New Roman"/>
          <w:noProof/>
          <w:szCs w:val="24"/>
        </w:rPr>
        <w:t>Haldi and Robinson (2010)</w:t>
      </w:r>
      <w:r>
        <w:rPr>
          <w:rFonts w:cs="Times New Roman"/>
          <w:szCs w:val="24"/>
        </w:rPr>
        <w:t>'s blinds use model attempts to predict the degree of actuation as well. This is carried out via a two stage process:</w:t>
      </w:r>
    </w:p>
    <w:p w:rsidR="00BF25DE" w:rsidRDefault="00BF25DE" w:rsidP="00051A6E">
      <w:pPr>
        <w:spacing w:after="0" w:line="360" w:lineRule="auto"/>
        <w:jc w:val="both"/>
        <w:rPr>
          <w:rFonts w:cs="Times New Roman"/>
          <w:szCs w:val="24"/>
        </w:rPr>
      </w:pPr>
      <w:r>
        <w:rPr>
          <w:rFonts w:cs="Times New Roman"/>
          <w:szCs w:val="24"/>
        </w:rPr>
        <w:t xml:space="preserve">(1) If a blinds opening or closing action is predicted, another </w:t>
      </w:r>
      <w:proofErr w:type="spellStart"/>
      <w:r>
        <w:rPr>
          <w:rFonts w:cs="Times New Roman"/>
          <w:szCs w:val="24"/>
        </w:rPr>
        <w:t>Markovian</w:t>
      </w:r>
      <w:proofErr w:type="spellEnd"/>
      <w:r>
        <w:rPr>
          <w:rFonts w:cs="Times New Roman"/>
          <w:szCs w:val="24"/>
        </w:rPr>
        <w:t xml:space="preserve"> state-transition model in the form of Eqn. (3) with parameters shown in </w:t>
      </w:r>
      <w:r>
        <w:t>Table 6</w:t>
      </w:r>
      <w:r>
        <w:rPr>
          <w:rFonts w:cs="Times New Roman"/>
          <w:szCs w:val="24"/>
        </w:rPr>
        <w:t xml:space="preserve"> is invoked. If the likelihood predicted by </w:t>
      </w:r>
      <w:r>
        <w:rPr>
          <w:rFonts w:cs="Times New Roman"/>
          <w:szCs w:val="24"/>
        </w:rPr>
        <w:lastRenderedPageBreak/>
        <w:t xml:space="preserve">the model exceeds a uniformly distributed random number between 0 and 1, occupant </w:t>
      </w:r>
      <w:proofErr w:type="spellStart"/>
      <w:r w:rsidRPr="00ED62ED">
        <w:rPr>
          <w:rFonts w:cs="Times New Roman"/>
          <w:i/>
          <w:szCs w:val="24"/>
        </w:rPr>
        <w:t>i</w:t>
      </w:r>
      <w:proofErr w:type="spellEnd"/>
      <w:r>
        <w:rPr>
          <w:rFonts w:cs="Times New Roman"/>
          <w:szCs w:val="24"/>
        </w:rPr>
        <w:t xml:space="preserve"> will completely open or close the blinds.</w:t>
      </w:r>
    </w:p>
    <w:p w:rsidR="00BF25DE" w:rsidRDefault="00BF25DE" w:rsidP="00051A6E">
      <w:pPr>
        <w:spacing w:after="0" w:line="360" w:lineRule="auto"/>
        <w:jc w:val="both"/>
        <w:rPr>
          <w:rFonts w:cs="Times New Roman"/>
          <w:szCs w:val="24"/>
        </w:rPr>
      </w:pPr>
      <w:r>
        <w:rPr>
          <w:rFonts w:cs="Times New Roman"/>
          <w:szCs w:val="24"/>
        </w:rPr>
        <w:t xml:space="preserve">(2) If a blinds opening or closing action is predicted but a fully opening or closing action is not predicted, the model samples a partial opening or closing increment (i.e., blinds movement in terms of the fraction of a window) from a </w:t>
      </w:r>
      <w:proofErr w:type="spellStart"/>
      <w:r>
        <w:rPr>
          <w:rFonts w:cs="Times New Roman"/>
          <w:szCs w:val="24"/>
        </w:rPr>
        <w:t>Weibull</w:t>
      </w:r>
      <w:proofErr w:type="spellEnd"/>
      <w:r>
        <w:rPr>
          <w:rFonts w:cs="Times New Roman"/>
          <w:szCs w:val="24"/>
        </w:rPr>
        <w:t xml:space="preserve"> distribution with shape parameter k and scale parameter λ (see </w:t>
      </w:r>
      <w:r>
        <w:t>Table 7</w:t>
      </w:r>
      <w:r>
        <w:rPr>
          <w:rFonts w:cs="Times New Roman"/>
          <w:szCs w:val="24"/>
        </w:rPr>
        <w:t xml:space="preserve">). The shape parameter λ was defined in terms of the position of the blinds prior to the adaptive action. </w:t>
      </w:r>
    </w:p>
    <w:p w:rsidR="00BF25DE" w:rsidRDefault="00BF25DE" w:rsidP="00051A6E">
      <w:pPr>
        <w:spacing w:line="360" w:lineRule="auto"/>
        <w:jc w:val="both"/>
        <w:rPr>
          <w:rFonts w:cs="Times New Roman"/>
          <w:szCs w:val="24"/>
        </w:rPr>
      </w:pPr>
      <w:r>
        <w:rPr>
          <w:rFonts w:cs="Times New Roman"/>
          <w:szCs w:val="24"/>
        </w:rPr>
        <w:t>In the</w:t>
      </w:r>
      <w:r w:rsidRPr="007116D6">
        <w:rPr>
          <w:rFonts w:cs="Times New Roman"/>
          <w:szCs w:val="24"/>
        </w:rPr>
        <w:t xml:space="preserve"> </w:t>
      </w:r>
      <w:r>
        <w:rPr>
          <w:rFonts w:cs="Times New Roman"/>
          <w:szCs w:val="24"/>
        </w:rPr>
        <w:t>beginning</w:t>
      </w:r>
      <w:r w:rsidRPr="007116D6">
        <w:rPr>
          <w:rFonts w:cs="Times New Roman"/>
          <w:szCs w:val="24"/>
        </w:rPr>
        <w:t xml:space="preserve"> of each run time, a new </w:t>
      </w:r>
      <w:r w:rsidR="003A5CC3">
        <w:rPr>
          <w:rFonts w:cs="Times New Roman"/>
          <w:szCs w:val="24"/>
        </w:rPr>
        <w:t>simulated occupant</w:t>
      </w:r>
      <w:r>
        <w:rPr>
          <w:rFonts w:cs="Times New Roman"/>
          <w:szCs w:val="24"/>
        </w:rPr>
        <w:t xml:space="preserve"> (occupant </w:t>
      </w:r>
      <w:r w:rsidRPr="00FF4CAD">
        <w:rPr>
          <w:rFonts w:cs="Times New Roman"/>
          <w:i/>
          <w:szCs w:val="24"/>
        </w:rPr>
        <w:t>i</w:t>
      </w:r>
      <w:r>
        <w:rPr>
          <w:rFonts w:cs="Times New Roman"/>
          <w:szCs w:val="24"/>
        </w:rPr>
        <w:t>+1)</w:t>
      </w:r>
      <w:r w:rsidRPr="007116D6">
        <w:rPr>
          <w:rFonts w:cs="Times New Roman"/>
          <w:szCs w:val="24"/>
        </w:rPr>
        <w:t xml:space="preserve"> </w:t>
      </w:r>
      <w:r>
        <w:rPr>
          <w:rFonts w:cs="Times New Roman"/>
          <w:szCs w:val="24"/>
        </w:rPr>
        <w:t>is</w:t>
      </w:r>
      <w:r w:rsidRPr="007116D6">
        <w:rPr>
          <w:rFonts w:cs="Times New Roman"/>
          <w:szCs w:val="24"/>
        </w:rPr>
        <w:t xml:space="preserve"> generated until a representative synthetic population size </w:t>
      </w:r>
      <w:r>
        <w:rPr>
          <w:rFonts w:cs="Times New Roman"/>
          <w:szCs w:val="24"/>
        </w:rPr>
        <w:t>is</w:t>
      </w:r>
      <w:r w:rsidRPr="007116D6">
        <w:rPr>
          <w:rFonts w:cs="Times New Roman"/>
          <w:szCs w:val="24"/>
        </w:rPr>
        <w:t xml:space="preserve"> reached.</w:t>
      </w:r>
      <w:r>
        <w:rPr>
          <w:rFonts w:cs="Times New Roman"/>
          <w:szCs w:val="24"/>
        </w:rPr>
        <w:t xml:space="preserve"> </w:t>
      </w:r>
    </w:p>
    <w:p w:rsidR="00BF25DE" w:rsidRPr="00716F43" w:rsidRDefault="00BF25DE" w:rsidP="00051A6E">
      <w:pPr>
        <w:spacing w:after="0"/>
        <w:jc w:val="both"/>
        <w:rPr>
          <w:rFonts w:cs="Times New Roman"/>
          <w:szCs w:val="24"/>
        </w:rPr>
      </w:pPr>
      <w:r w:rsidRPr="00716F43">
        <w:rPr>
          <w:rFonts w:cs="Times New Roman"/>
          <w:szCs w:val="24"/>
        </w:rPr>
        <w:t xml:space="preserve">Table </w:t>
      </w:r>
      <w:r w:rsidR="00F84CB0" w:rsidRPr="00716F43">
        <w:rPr>
          <w:rFonts w:cs="Times New Roman"/>
          <w:szCs w:val="24"/>
        </w:rPr>
        <w:fldChar w:fldCharType="begin"/>
      </w:r>
      <w:r w:rsidRPr="00716F43">
        <w:rPr>
          <w:rFonts w:cs="Times New Roman"/>
          <w:szCs w:val="24"/>
        </w:rPr>
        <w:instrText xml:space="preserve"> SEQ Table \* ARABIC </w:instrText>
      </w:r>
      <w:r w:rsidR="00F84CB0" w:rsidRPr="00716F43">
        <w:rPr>
          <w:rFonts w:cs="Times New Roman"/>
          <w:szCs w:val="24"/>
        </w:rPr>
        <w:fldChar w:fldCharType="separate"/>
      </w:r>
      <w:r w:rsidRPr="00716F43">
        <w:rPr>
          <w:rFonts w:cs="Times New Roman"/>
          <w:noProof/>
          <w:szCs w:val="24"/>
        </w:rPr>
        <w:t>6</w:t>
      </w:r>
      <w:r w:rsidR="00F84CB0" w:rsidRPr="00716F43">
        <w:rPr>
          <w:rFonts w:cs="Times New Roman"/>
          <w:szCs w:val="24"/>
        </w:rPr>
        <w:fldChar w:fldCharType="end"/>
      </w:r>
      <w:r w:rsidRPr="00716F43">
        <w:rPr>
          <w:rFonts w:cs="Times New Roman"/>
          <w:szCs w:val="24"/>
        </w:rPr>
        <w:t xml:space="preserve">: Parameter inputs to </w:t>
      </w:r>
      <w:proofErr w:type="spellStart"/>
      <w:r w:rsidRPr="00716F43">
        <w:rPr>
          <w:rFonts w:cs="Times New Roman"/>
          <w:szCs w:val="24"/>
        </w:rPr>
        <w:t>Haldi</w:t>
      </w:r>
      <w:proofErr w:type="spellEnd"/>
      <w:r w:rsidRPr="00716F43">
        <w:rPr>
          <w:rFonts w:cs="Times New Roman"/>
          <w:szCs w:val="24"/>
        </w:rPr>
        <w:t xml:space="preserve"> and Robinson (2010)'s blinds use model predicting whether or not an occupant will open or close the blinds completely.</w:t>
      </w:r>
      <w:bookmarkEnd w:id="22"/>
    </w:p>
    <w:tbl>
      <w:tblPr>
        <w:tblStyle w:val="LightShading1"/>
        <w:tblW w:w="9180" w:type="dxa"/>
        <w:tblLayout w:type="fixed"/>
        <w:tblLook w:val="06A0"/>
      </w:tblPr>
      <w:tblGrid>
        <w:gridCol w:w="1029"/>
        <w:gridCol w:w="1181"/>
        <w:gridCol w:w="1300"/>
        <w:gridCol w:w="1222"/>
        <w:gridCol w:w="1255"/>
        <w:gridCol w:w="1096"/>
        <w:gridCol w:w="2097"/>
      </w:tblGrid>
      <w:tr w:rsidR="00BF25DE" w:rsidRPr="001031CE" w:rsidTr="00051A6E">
        <w:trPr>
          <w:cnfStyle w:val="100000000000"/>
          <w:trHeight w:val="375"/>
        </w:trPr>
        <w:tc>
          <w:tcPr>
            <w:cnfStyle w:val="001000000000"/>
            <w:tcW w:w="1029" w:type="dxa"/>
            <w:vAlign w:val="center"/>
            <w:hideMark/>
          </w:tcPr>
          <w:p w:rsidR="00BF25DE" w:rsidRPr="001031CE" w:rsidRDefault="00BF25DE" w:rsidP="00051A6E">
            <w:pPr>
              <w:jc w:val="center"/>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Models</w:t>
            </w:r>
          </w:p>
        </w:tc>
        <w:tc>
          <w:tcPr>
            <w:tcW w:w="1181"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a</w:t>
            </w:r>
          </w:p>
        </w:tc>
        <w:tc>
          <w:tcPr>
            <w:tcW w:w="1300"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b</w:t>
            </w:r>
            <w:r w:rsidRPr="001031CE">
              <w:rPr>
                <w:rFonts w:eastAsia="Times New Roman" w:cs="Times New Roman"/>
                <w:color w:val="000000"/>
                <w:sz w:val="20"/>
                <w:szCs w:val="20"/>
                <w:vertAlign w:val="subscript"/>
                <w:lang w:eastAsia="en-CA"/>
              </w:rPr>
              <w:t>1</w:t>
            </w:r>
          </w:p>
        </w:tc>
        <w:tc>
          <w:tcPr>
            <w:tcW w:w="1222"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b</w:t>
            </w:r>
            <w:r w:rsidRPr="001031CE">
              <w:rPr>
                <w:rFonts w:eastAsia="Times New Roman" w:cs="Times New Roman"/>
                <w:color w:val="000000"/>
                <w:sz w:val="20"/>
                <w:szCs w:val="20"/>
                <w:vertAlign w:val="subscript"/>
                <w:lang w:eastAsia="en-CA"/>
              </w:rPr>
              <w:t>2</w:t>
            </w:r>
          </w:p>
        </w:tc>
        <w:tc>
          <w:tcPr>
            <w:tcW w:w="1255"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x</w:t>
            </w:r>
            <w:r w:rsidRPr="001031CE">
              <w:rPr>
                <w:rFonts w:eastAsia="Times New Roman" w:cs="Times New Roman"/>
                <w:color w:val="000000"/>
                <w:sz w:val="20"/>
                <w:szCs w:val="20"/>
                <w:vertAlign w:val="subscript"/>
                <w:lang w:eastAsia="en-CA"/>
              </w:rPr>
              <w:t>1</w:t>
            </w:r>
          </w:p>
        </w:tc>
        <w:tc>
          <w:tcPr>
            <w:tcW w:w="1096"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x</w:t>
            </w:r>
            <w:r w:rsidRPr="001031CE">
              <w:rPr>
                <w:rFonts w:eastAsia="Times New Roman" w:cs="Times New Roman"/>
                <w:color w:val="000000"/>
                <w:sz w:val="20"/>
                <w:szCs w:val="20"/>
                <w:vertAlign w:val="subscript"/>
                <w:lang w:eastAsia="en-CA"/>
              </w:rPr>
              <w:t>2</w:t>
            </w:r>
          </w:p>
        </w:tc>
        <w:tc>
          <w:tcPr>
            <w:tcW w:w="2097"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Calling Point</w:t>
            </w:r>
          </w:p>
        </w:tc>
      </w:tr>
      <w:tr w:rsidR="00BF25DE" w:rsidRPr="001031CE" w:rsidTr="00051A6E">
        <w:trPr>
          <w:trHeight w:val="945"/>
        </w:trPr>
        <w:tc>
          <w:tcPr>
            <w:cnfStyle w:val="001000000000"/>
            <w:tcW w:w="1029" w:type="dxa"/>
            <w:vAlign w:val="center"/>
            <w:hideMark/>
          </w:tcPr>
          <w:p w:rsidR="00BF25DE" w:rsidRPr="001031CE" w:rsidRDefault="00BF25DE" w:rsidP="00051A6E">
            <w:pPr>
              <w:jc w:val="center"/>
              <w:rPr>
                <w:rFonts w:eastAsia="Times New Roman" w:cs="Times New Roman"/>
                <w:color w:val="000000"/>
                <w:sz w:val="20"/>
                <w:szCs w:val="20"/>
                <w:lang w:eastAsia="en-CA"/>
              </w:rPr>
            </w:pPr>
            <w:r w:rsidRPr="001031CE">
              <w:rPr>
                <w:rFonts w:eastAsia="Times New Roman" w:cs="Times New Roman"/>
                <w:color w:val="000000"/>
                <w:sz w:val="20"/>
                <w:szCs w:val="20"/>
                <w:lang w:eastAsia="en-CA"/>
              </w:rPr>
              <w:t>Fully closing</w:t>
            </w:r>
          </w:p>
        </w:tc>
        <w:tc>
          <w:tcPr>
            <w:tcW w:w="1181"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˗0.27±0.14</w:t>
            </w:r>
          </w:p>
        </w:tc>
        <w:tc>
          <w:tcPr>
            <w:tcW w:w="1300"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(9.1±13.3) 10</w:t>
            </w:r>
            <w:r w:rsidRPr="001031CE">
              <w:rPr>
                <w:rFonts w:eastAsia="Times New Roman" w:cs="Times New Roman"/>
                <w:color w:val="000000"/>
                <w:sz w:val="20"/>
                <w:szCs w:val="20"/>
                <w:vertAlign w:val="superscript"/>
                <w:lang w:eastAsia="en-CA"/>
              </w:rPr>
              <w:t>-7</w:t>
            </w:r>
          </w:p>
        </w:tc>
        <w:tc>
          <w:tcPr>
            <w:tcW w:w="1222"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˗2.23±0.16</w:t>
            </w:r>
          </w:p>
        </w:tc>
        <w:tc>
          <w:tcPr>
            <w:tcW w:w="1255"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 xml:space="preserve">Exterior horizontal </w:t>
            </w:r>
            <w:proofErr w:type="spellStart"/>
            <w:r w:rsidRPr="001031CE">
              <w:rPr>
                <w:rFonts w:eastAsia="Times New Roman" w:cs="Times New Roman"/>
                <w:color w:val="000000"/>
                <w:sz w:val="20"/>
                <w:szCs w:val="20"/>
                <w:lang w:eastAsia="en-CA"/>
              </w:rPr>
              <w:t>illuminance</w:t>
            </w:r>
            <w:proofErr w:type="spellEnd"/>
          </w:p>
        </w:tc>
        <w:tc>
          <w:tcPr>
            <w:tcW w:w="1096"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proofErr w:type="spellStart"/>
            <w:r w:rsidRPr="001031CE">
              <w:rPr>
                <w:rFonts w:eastAsia="Times New Roman" w:cs="Times New Roman"/>
                <w:color w:val="000000"/>
                <w:sz w:val="20"/>
                <w:szCs w:val="20"/>
                <w:lang w:eastAsia="en-CA"/>
              </w:rPr>
              <w:t>Unshaded</w:t>
            </w:r>
            <w:proofErr w:type="spellEnd"/>
            <w:r w:rsidRPr="001031CE">
              <w:rPr>
                <w:rFonts w:eastAsia="Times New Roman" w:cs="Times New Roman"/>
                <w:color w:val="000000"/>
                <w:sz w:val="20"/>
                <w:szCs w:val="20"/>
                <w:lang w:eastAsia="en-CA"/>
              </w:rPr>
              <w:t xml:space="preserve"> window fraction</w:t>
            </w:r>
          </w:p>
        </w:tc>
        <w:tc>
          <w:tcPr>
            <w:tcW w:w="2097"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When a blinds closing action is predicted.</w:t>
            </w:r>
          </w:p>
        </w:tc>
      </w:tr>
      <w:tr w:rsidR="00BF25DE" w:rsidRPr="001031CE" w:rsidTr="00051A6E">
        <w:trPr>
          <w:trHeight w:val="915"/>
        </w:trPr>
        <w:tc>
          <w:tcPr>
            <w:cnfStyle w:val="001000000000"/>
            <w:tcW w:w="1029" w:type="dxa"/>
            <w:vAlign w:val="center"/>
            <w:hideMark/>
          </w:tcPr>
          <w:p w:rsidR="00BF25DE" w:rsidRPr="001031CE" w:rsidRDefault="00BF25DE" w:rsidP="00051A6E">
            <w:pPr>
              <w:jc w:val="center"/>
              <w:rPr>
                <w:rFonts w:eastAsia="Times New Roman" w:cs="Times New Roman"/>
                <w:color w:val="000000"/>
                <w:sz w:val="20"/>
                <w:szCs w:val="20"/>
                <w:lang w:eastAsia="en-CA"/>
              </w:rPr>
            </w:pPr>
            <w:r w:rsidRPr="001031CE">
              <w:rPr>
                <w:rFonts w:eastAsia="Times New Roman" w:cs="Times New Roman"/>
                <w:color w:val="000000"/>
                <w:sz w:val="20"/>
                <w:szCs w:val="20"/>
                <w:lang w:eastAsia="en-CA"/>
              </w:rPr>
              <w:t>Fully opening</w:t>
            </w:r>
          </w:p>
        </w:tc>
        <w:tc>
          <w:tcPr>
            <w:tcW w:w="1181"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˗0.43±0.06</w:t>
            </w:r>
          </w:p>
        </w:tc>
        <w:tc>
          <w:tcPr>
            <w:tcW w:w="1300"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(-23±1.1)</w:t>
            </w:r>
            <w:r w:rsidR="00CE3E3A">
              <w:rPr>
                <w:rFonts w:eastAsia="Times New Roman" w:cs="Times New Roman"/>
                <w:color w:val="000000"/>
                <w:sz w:val="20"/>
                <w:szCs w:val="20"/>
                <w:lang w:eastAsia="en-CA"/>
              </w:rPr>
              <w:t xml:space="preserve"> </w:t>
            </w:r>
            <w:r w:rsidRPr="001031CE">
              <w:rPr>
                <w:rFonts w:eastAsia="Times New Roman" w:cs="Times New Roman"/>
                <w:color w:val="000000"/>
                <w:sz w:val="20"/>
                <w:szCs w:val="20"/>
                <w:lang w:eastAsia="en-CA"/>
              </w:rPr>
              <w:t xml:space="preserve"> 10</w:t>
            </w:r>
            <w:r w:rsidRPr="001031CE">
              <w:rPr>
                <w:rFonts w:eastAsia="Times New Roman" w:cs="Times New Roman"/>
                <w:color w:val="000000"/>
                <w:sz w:val="20"/>
                <w:szCs w:val="20"/>
                <w:vertAlign w:val="superscript"/>
                <w:lang w:eastAsia="en-CA"/>
              </w:rPr>
              <w:t>-6</w:t>
            </w:r>
          </w:p>
        </w:tc>
        <w:tc>
          <w:tcPr>
            <w:tcW w:w="1222"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1.95±0.11</w:t>
            </w:r>
          </w:p>
        </w:tc>
        <w:tc>
          <w:tcPr>
            <w:tcW w:w="1255"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 xml:space="preserve">Exterior horizontal </w:t>
            </w:r>
            <w:proofErr w:type="spellStart"/>
            <w:r w:rsidRPr="001031CE">
              <w:rPr>
                <w:rFonts w:eastAsia="Times New Roman" w:cs="Times New Roman"/>
                <w:color w:val="000000"/>
                <w:sz w:val="20"/>
                <w:szCs w:val="20"/>
                <w:lang w:eastAsia="en-CA"/>
              </w:rPr>
              <w:t>illuminance</w:t>
            </w:r>
            <w:proofErr w:type="spellEnd"/>
          </w:p>
        </w:tc>
        <w:tc>
          <w:tcPr>
            <w:tcW w:w="1096"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proofErr w:type="spellStart"/>
            <w:r w:rsidRPr="001031CE">
              <w:rPr>
                <w:rFonts w:eastAsia="Times New Roman" w:cs="Times New Roman"/>
                <w:color w:val="000000"/>
                <w:sz w:val="20"/>
                <w:szCs w:val="20"/>
                <w:lang w:eastAsia="en-CA"/>
              </w:rPr>
              <w:t>Unshaded</w:t>
            </w:r>
            <w:proofErr w:type="spellEnd"/>
            <w:r w:rsidRPr="001031CE">
              <w:rPr>
                <w:rFonts w:eastAsia="Times New Roman" w:cs="Times New Roman"/>
                <w:color w:val="000000"/>
                <w:sz w:val="20"/>
                <w:szCs w:val="20"/>
                <w:lang w:eastAsia="en-CA"/>
              </w:rPr>
              <w:t xml:space="preserve"> window fraction</w:t>
            </w:r>
          </w:p>
        </w:tc>
        <w:tc>
          <w:tcPr>
            <w:tcW w:w="2097"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When a blinds opening action is predicted.</w:t>
            </w:r>
          </w:p>
        </w:tc>
      </w:tr>
    </w:tbl>
    <w:p w:rsidR="00BF25DE" w:rsidRPr="00716F43" w:rsidRDefault="00BF25DE" w:rsidP="00051A6E">
      <w:pPr>
        <w:spacing w:before="240" w:after="0"/>
        <w:jc w:val="both"/>
        <w:rPr>
          <w:rFonts w:cs="Times New Roman"/>
          <w:szCs w:val="24"/>
        </w:rPr>
      </w:pPr>
      <w:bookmarkStart w:id="23" w:name="_Ref403563728"/>
      <w:bookmarkStart w:id="24" w:name="_Ref403597334"/>
      <w:bookmarkStart w:id="25" w:name="_Toc415940845"/>
      <w:r w:rsidRPr="00716F43">
        <w:rPr>
          <w:rFonts w:cs="Times New Roman"/>
          <w:szCs w:val="24"/>
        </w:rPr>
        <w:t xml:space="preserve">Table </w:t>
      </w:r>
      <w:r w:rsidR="00F84CB0" w:rsidRPr="00716F43">
        <w:rPr>
          <w:rFonts w:cs="Times New Roman"/>
          <w:szCs w:val="24"/>
        </w:rPr>
        <w:fldChar w:fldCharType="begin"/>
      </w:r>
      <w:r w:rsidRPr="00716F43">
        <w:rPr>
          <w:rFonts w:cs="Times New Roman"/>
          <w:szCs w:val="24"/>
        </w:rPr>
        <w:instrText xml:space="preserve"> SEQ Table \* ARABIC </w:instrText>
      </w:r>
      <w:r w:rsidR="00F84CB0" w:rsidRPr="00716F43">
        <w:rPr>
          <w:rFonts w:cs="Times New Roman"/>
          <w:szCs w:val="24"/>
        </w:rPr>
        <w:fldChar w:fldCharType="separate"/>
      </w:r>
      <w:r w:rsidRPr="00716F43">
        <w:rPr>
          <w:rFonts w:cs="Times New Roman"/>
          <w:noProof/>
          <w:szCs w:val="24"/>
        </w:rPr>
        <w:t>7</w:t>
      </w:r>
      <w:r w:rsidR="00F84CB0" w:rsidRPr="00716F43">
        <w:rPr>
          <w:rFonts w:cs="Times New Roman"/>
          <w:szCs w:val="24"/>
        </w:rPr>
        <w:fldChar w:fldCharType="end"/>
      </w:r>
      <w:bookmarkEnd w:id="23"/>
      <w:r w:rsidRPr="00716F43">
        <w:rPr>
          <w:rFonts w:cs="Times New Roman"/>
          <w:szCs w:val="24"/>
        </w:rPr>
        <w:t xml:space="preserve">: Parameter inputs to </w:t>
      </w:r>
      <w:proofErr w:type="spellStart"/>
      <w:r w:rsidRPr="00716F43">
        <w:rPr>
          <w:rFonts w:cs="Times New Roman"/>
          <w:szCs w:val="24"/>
        </w:rPr>
        <w:t>Haldi</w:t>
      </w:r>
      <w:proofErr w:type="spellEnd"/>
      <w:r w:rsidRPr="00716F43">
        <w:rPr>
          <w:rFonts w:cs="Times New Roman"/>
          <w:szCs w:val="24"/>
        </w:rPr>
        <w:t xml:space="preserve"> and Robinson (2010)'s blinds use model predicting</w:t>
      </w:r>
      <w:r>
        <w:rPr>
          <w:rFonts w:cs="Times New Roman"/>
          <w:szCs w:val="24"/>
        </w:rPr>
        <w:t xml:space="preserve"> partial </w:t>
      </w:r>
      <w:r w:rsidRPr="00716F43">
        <w:rPr>
          <w:rFonts w:cs="Times New Roman"/>
          <w:szCs w:val="24"/>
        </w:rPr>
        <w:t>blinds movement in terms of the fraction of a window.</w:t>
      </w:r>
      <w:bookmarkEnd w:id="24"/>
      <w:bookmarkEnd w:id="25"/>
    </w:p>
    <w:tbl>
      <w:tblPr>
        <w:tblStyle w:val="LightShading1"/>
        <w:tblW w:w="9366" w:type="dxa"/>
        <w:tblLook w:val="06A0"/>
      </w:tblPr>
      <w:tblGrid>
        <w:gridCol w:w="1145"/>
        <w:gridCol w:w="1169"/>
        <w:gridCol w:w="2483"/>
        <w:gridCol w:w="2194"/>
        <w:gridCol w:w="2375"/>
      </w:tblGrid>
      <w:tr w:rsidR="00BF25DE" w:rsidRPr="001031CE" w:rsidTr="00051A6E">
        <w:trPr>
          <w:cnfStyle w:val="100000000000"/>
          <w:trHeight w:val="300"/>
        </w:trPr>
        <w:tc>
          <w:tcPr>
            <w:cnfStyle w:val="001000000000"/>
            <w:tcW w:w="1145" w:type="dxa"/>
            <w:vAlign w:val="center"/>
            <w:hideMark/>
          </w:tcPr>
          <w:p w:rsidR="00BF25DE" w:rsidRPr="001031CE" w:rsidRDefault="00BF25DE" w:rsidP="00051A6E">
            <w:pPr>
              <w:jc w:val="center"/>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Model</w:t>
            </w:r>
          </w:p>
        </w:tc>
        <w:tc>
          <w:tcPr>
            <w:tcW w:w="1169"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k</w:t>
            </w:r>
          </w:p>
        </w:tc>
        <w:tc>
          <w:tcPr>
            <w:tcW w:w="2483"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λ</w:t>
            </w:r>
          </w:p>
        </w:tc>
        <w:tc>
          <w:tcPr>
            <w:tcW w:w="2194"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x</w:t>
            </w:r>
          </w:p>
        </w:tc>
        <w:tc>
          <w:tcPr>
            <w:tcW w:w="2375" w:type="dxa"/>
            <w:vAlign w:val="center"/>
            <w:hideMark/>
          </w:tcPr>
          <w:p w:rsidR="00BF25DE" w:rsidRPr="001031CE" w:rsidRDefault="00BF25DE" w:rsidP="00051A6E">
            <w:pPr>
              <w:jc w:val="center"/>
              <w:cnfStyle w:val="100000000000"/>
              <w:rPr>
                <w:rFonts w:eastAsia="Times New Roman" w:cs="Times New Roman"/>
                <w:b w:val="0"/>
                <w:bCs w:val="0"/>
                <w:color w:val="000000"/>
                <w:sz w:val="20"/>
                <w:szCs w:val="20"/>
                <w:lang w:eastAsia="en-CA"/>
              </w:rPr>
            </w:pPr>
            <w:r w:rsidRPr="001031CE">
              <w:rPr>
                <w:rFonts w:eastAsia="Times New Roman" w:cs="Times New Roman"/>
                <w:color w:val="000000"/>
                <w:sz w:val="20"/>
                <w:szCs w:val="20"/>
                <w:lang w:eastAsia="en-CA"/>
              </w:rPr>
              <w:t>Calling Point</w:t>
            </w:r>
          </w:p>
        </w:tc>
      </w:tr>
      <w:tr w:rsidR="00BF25DE" w:rsidRPr="001031CE" w:rsidTr="00051A6E">
        <w:trPr>
          <w:trHeight w:val="1232"/>
        </w:trPr>
        <w:tc>
          <w:tcPr>
            <w:cnfStyle w:val="001000000000"/>
            <w:tcW w:w="1145" w:type="dxa"/>
            <w:vAlign w:val="center"/>
            <w:hideMark/>
          </w:tcPr>
          <w:p w:rsidR="00BF25DE" w:rsidRPr="001031CE" w:rsidRDefault="00BF25DE" w:rsidP="00051A6E">
            <w:pPr>
              <w:jc w:val="center"/>
              <w:rPr>
                <w:rFonts w:eastAsia="Times New Roman" w:cs="Times New Roman"/>
                <w:color w:val="000000"/>
                <w:sz w:val="20"/>
                <w:szCs w:val="20"/>
                <w:lang w:eastAsia="en-CA"/>
              </w:rPr>
            </w:pPr>
            <w:r w:rsidRPr="001031CE">
              <w:rPr>
                <w:rFonts w:eastAsia="Times New Roman" w:cs="Times New Roman"/>
                <w:color w:val="000000"/>
                <w:sz w:val="20"/>
                <w:szCs w:val="20"/>
                <w:lang w:eastAsia="en-CA"/>
              </w:rPr>
              <w:t>Partial movement</w:t>
            </w:r>
          </w:p>
        </w:tc>
        <w:tc>
          <w:tcPr>
            <w:tcW w:w="1169"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1.708</w:t>
            </w:r>
          </w:p>
        </w:tc>
        <w:tc>
          <w:tcPr>
            <w:tcW w:w="2483"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e</w:t>
            </w:r>
            <w:r w:rsidRPr="001031CE">
              <w:rPr>
                <w:rFonts w:eastAsia="Times New Roman" w:cs="Times New Roman"/>
                <w:color w:val="000000"/>
                <w:sz w:val="20"/>
                <w:szCs w:val="20"/>
                <w:vertAlign w:val="superscript"/>
                <w:lang w:eastAsia="en-CA"/>
              </w:rPr>
              <w:t>-2.294+1.522x</w:t>
            </w:r>
          </w:p>
        </w:tc>
        <w:tc>
          <w:tcPr>
            <w:tcW w:w="2194"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Blind position prior to the partial movement action</w:t>
            </w:r>
          </w:p>
        </w:tc>
        <w:tc>
          <w:tcPr>
            <w:tcW w:w="2375" w:type="dxa"/>
            <w:vAlign w:val="center"/>
            <w:hideMark/>
          </w:tcPr>
          <w:p w:rsidR="00BF25DE" w:rsidRPr="001031CE" w:rsidRDefault="00BF25DE" w:rsidP="00051A6E">
            <w:pPr>
              <w:jc w:val="center"/>
              <w:cnfStyle w:val="000000000000"/>
              <w:rPr>
                <w:rFonts w:eastAsia="Times New Roman" w:cs="Times New Roman"/>
                <w:color w:val="000000"/>
                <w:sz w:val="20"/>
                <w:szCs w:val="20"/>
                <w:lang w:eastAsia="en-CA"/>
              </w:rPr>
            </w:pPr>
            <w:r w:rsidRPr="001031CE">
              <w:rPr>
                <w:rFonts w:eastAsia="Times New Roman" w:cs="Times New Roman"/>
                <w:color w:val="000000"/>
                <w:sz w:val="20"/>
                <w:szCs w:val="20"/>
                <w:lang w:eastAsia="en-CA"/>
              </w:rPr>
              <w:t>When a blinds closing or opening action is predicted but a full opening or full closing is not predicted.</w:t>
            </w:r>
          </w:p>
        </w:tc>
      </w:tr>
    </w:tbl>
    <w:p w:rsidR="00BF25DE" w:rsidRDefault="00BF25DE" w:rsidP="00051A6E">
      <w:pPr>
        <w:pStyle w:val="Heading1"/>
        <w:spacing w:before="0" w:line="360" w:lineRule="auto"/>
        <w:ind w:left="792"/>
        <w:rPr>
          <w:rFonts w:cs="Times New Roman"/>
          <w:sz w:val="24"/>
          <w:szCs w:val="24"/>
        </w:rPr>
      </w:pPr>
    </w:p>
    <w:p w:rsidR="00BF25DE" w:rsidRDefault="00BF25DE" w:rsidP="00051A6E">
      <w:pPr>
        <w:pStyle w:val="Heading1"/>
        <w:numPr>
          <w:ilvl w:val="1"/>
          <w:numId w:val="1"/>
        </w:numPr>
        <w:spacing w:before="0" w:line="360" w:lineRule="auto"/>
        <w:rPr>
          <w:rFonts w:cs="Times New Roman"/>
          <w:sz w:val="24"/>
          <w:szCs w:val="24"/>
        </w:rPr>
      </w:pPr>
      <w:r w:rsidRPr="007116D6">
        <w:rPr>
          <w:rFonts w:cs="Times New Roman"/>
          <w:sz w:val="24"/>
          <w:szCs w:val="24"/>
        </w:rPr>
        <w:t xml:space="preserve">Implementation in EMS application of </w:t>
      </w:r>
      <w:proofErr w:type="spellStart"/>
      <w:r w:rsidRPr="007116D6">
        <w:rPr>
          <w:rFonts w:cs="Times New Roman"/>
          <w:sz w:val="24"/>
          <w:szCs w:val="24"/>
        </w:rPr>
        <w:t>EnergyPlus</w:t>
      </w:r>
      <w:proofErr w:type="spellEnd"/>
    </w:p>
    <w:p w:rsidR="00BF25DE" w:rsidRDefault="00BF25DE" w:rsidP="00051A6E">
      <w:pPr>
        <w:spacing w:after="0" w:line="360" w:lineRule="auto"/>
        <w:jc w:val="both"/>
        <w:rPr>
          <w:rFonts w:cs="Times New Roman"/>
          <w:szCs w:val="24"/>
        </w:rPr>
      </w:pPr>
      <w:r>
        <w:rPr>
          <w:rFonts w:cs="Times New Roman"/>
          <w:szCs w:val="24"/>
        </w:rPr>
        <w:t>Figure 2.a</w:t>
      </w:r>
      <w:r w:rsidRPr="007116D6">
        <w:rPr>
          <w:rFonts w:cs="Times New Roman"/>
          <w:szCs w:val="24"/>
        </w:rPr>
        <w:t xml:space="preserve"> illustrates the implementation of occupant models in </w:t>
      </w:r>
      <w:r>
        <w:rPr>
          <w:rFonts w:cs="Times New Roman"/>
          <w:szCs w:val="24"/>
        </w:rPr>
        <w:t xml:space="preserve">the </w:t>
      </w:r>
      <w:r w:rsidRPr="007116D6">
        <w:rPr>
          <w:rFonts w:cs="Times New Roman"/>
          <w:szCs w:val="24"/>
        </w:rPr>
        <w:t xml:space="preserve">EMS application of </w:t>
      </w:r>
      <w:proofErr w:type="spellStart"/>
      <w:r w:rsidRPr="007116D6">
        <w:rPr>
          <w:rFonts w:cs="Times New Roman"/>
          <w:szCs w:val="24"/>
        </w:rPr>
        <w:t>EnergyPlus</w:t>
      </w:r>
      <w:proofErr w:type="spellEnd"/>
      <w:r w:rsidRPr="007116D6">
        <w:rPr>
          <w:rFonts w:cs="Times New Roman"/>
          <w:szCs w:val="24"/>
        </w:rPr>
        <w:t xml:space="preserve">. The communication between </w:t>
      </w:r>
      <w:proofErr w:type="spellStart"/>
      <w:r w:rsidRPr="007116D6">
        <w:rPr>
          <w:rFonts w:cs="Times New Roman"/>
          <w:szCs w:val="24"/>
        </w:rPr>
        <w:t>EnergyPlus</w:t>
      </w:r>
      <w:proofErr w:type="spellEnd"/>
      <w:r w:rsidRPr="007116D6">
        <w:rPr>
          <w:rFonts w:cs="Times New Roman"/>
          <w:szCs w:val="24"/>
        </w:rPr>
        <w:t xml:space="preserve"> (building and HVAC model) and EMS application (occupant model) was carried out through — so called — EMS Sensors and EMS Actuators. In this study, EMS Sensors can be pictured as the environmental variables that an occupant senses, whereas the EMS Actuators can be portrayed as the building </w:t>
      </w:r>
      <w:r>
        <w:rPr>
          <w:rFonts w:cs="Times New Roman"/>
          <w:szCs w:val="24"/>
        </w:rPr>
        <w:t>component</w:t>
      </w:r>
      <w:r w:rsidRPr="007116D6">
        <w:rPr>
          <w:rFonts w:cs="Times New Roman"/>
          <w:szCs w:val="24"/>
        </w:rPr>
        <w:t xml:space="preserve">s </w:t>
      </w:r>
      <w:r>
        <w:rPr>
          <w:rFonts w:cs="Times New Roman"/>
          <w:szCs w:val="24"/>
        </w:rPr>
        <w:t>that an occupant controls</w:t>
      </w:r>
      <w:r w:rsidRPr="007116D6">
        <w:rPr>
          <w:rFonts w:cs="Times New Roman"/>
          <w:szCs w:val="24"/>
        </w:rPr>
        <w:t xml:space="preserve">. </w:t>
      </w:r>
      <w:r>
        <w:rPr>
          <w:rFonts w:cs="Times New Roman"/>
          <w:szCs w:val="24"/>
        </w:rPr>
        <w:t xml:space="preserve">These </w:t>
      </w:r>
      <w:r w:rsidRPr="007116D6">
        <w:rPr>
          <w:rFonts w:cs="Times New Roman"/>
          <w:szCs w:val="24"/>
        </w:rPr>
        <w:t xml:space="preserve">EMS sensors are wind speed (m/s), rain status (0 or 1), outdoor, indoor and operative temperatures (°C), </w:t>
      </w:r>
      <w:r>
        <w:rPr>
          <w:rFonts w:cs="Times New Roman"/>
          <w:szCs w:val="24"/>
        </w:rPr>
        <w:t xml:space="preserve">transmitted direct solar irradiance and direct solar </w:t>
      </w:r>
      <w:r>
        <w:rPr>
          <w:rFonts w:cs="Times New Roman"/>
          <w:szCs w:val="24"/>
        </w:rPr>
        <w:lastRenderedPageBreak/>
        <w:t xml:space="preserve">irradiance on the </w:t>
      </w:r>
      <w:proofErr w:type="spellStart"/>
      <w:r>
        <w:rPr>
          <w:rFonts w:cs="Times New Roman"/>
          <w:szCs w:val="24"/>
        </w:rPr>
        <w:t>workplane</w:t>
      </w:r>
      <w:proofErr w:type="spellEnd"/>
      <w:r w:rsidRPr="007116D6">
        <w:rPr>
          <w:rFonts w:cs="Times New Roman"/>
          <w:szCs w:val="24"/>
        </w:rPr>
        <w:t xml:space="preserve"> (W/m</w:t>
      </w:r>
      <w:r w:rsidRPr="007116D6">
        <w:rPr>
          <w:rFonts w:cs="Times New Roman"/>
          <w:szCs w:val="24"/>
          <w:vertAlign w:val="superscript"/>
        </w:rPr>
        <w:t>2</w:t>
      </w:r>
      <w:r w:rsidRPr="007116D6">
        <w:rPr>
          <w:rFonts w:cs="Times New Roman"/>
          <w:szCs w:val="24"/>
        </w:rPr>
        <w:t xml:space="preserve">), and the </w:t>
      </w:r>
      <w:r>
        <w:rPr>
          <w:rFonts w:cs="Times New Roman"/>
          <w:szCs w:val="24"/>
        </w:rPr>
        <w:t xml:space="preserve">daylight on the </w:t>
      </w:r>
      <w:proofErr w:type="spellStart"/>
      <w:r>
        <w:rPr>
          <w:rFonts w:cs="Times New Roman"/>
          <w:szCs w:val="24"/>
        </w:rPr>
        <w:t>workplane</w:t>
      </w:r>
      <w:proofErr w:type="spellEnd"/>
      <w:r>
        <w:rPr>
          <w:rFonts w:cs="Times New Roman"/>
          <w:szCs w:val="24"/>
        </w:rPr>
        <w:t xml:space="preserve"> (</w:t>
      </w:r>
      <w:proofErr w:type="spellStart"/>
      <w:r>
        <w:rPr>
          <w:rFonts w:cs="Times New Roman"/>
          <w:szCs w:val="24"/>
        </w:rPr>
        <w:t>lux</w:t>
      </w:r>
      <w:proofErr w:type="spellEnd"/>
      <w:r>
        <w:rPr>
          <w:rFonts w:cs="Times New Roman"/>
          <w:szCs w:val="24"/>
        </w:rPr>
        <w:t xml:space="preserve">). </w:t>
      </w:r>
      <w:r w:rsidR="00374726">
        <w:rPr>
          <w:rFonts w:cs="Times New Roman"/>
          <w:szCs w:val="24"/>
        </w:rPr>
        <w:t xml:space="preserve">The </w:t>
      </w:r>
      <w:r w:rsidRPr="007116D6">
        <w:rPr>
          <w:rFonts w:cs="Times New Roman"/>
          <w:szCs w:val="24"/>
        </w:rPr>
        <w:t xml:space="preserve">EMS </w:t>
      </w:r>
      <w:r>
        <w:rPr>
          <w:rFonts w:cs="Times New Roman"/>
          <w:szCs w:val="24"/>
        </w:rPr>
        <w:t xml:space="preserve">actuators are </w:t>
      </w:r>
      <w:r w:rsidRPr="007116D6">
        <w:rPr>
          <w:rFonts w:cs="Times New Roman"/>
          <w:szCs w:val="24"/>
        </w:rPr>
        <w:t>presence</w:t>
      </w:r>
      <w:r>
        <w:rPr>
          <w:rFonts w:cs="Times New Roman"/>
          <w:szCs w:val="24"/>
        </w:rPr>
        <w:t xml:space="preserve">, lights, windows, </w:t>
      </w:r>
      <w:r w:rsidRPr="007116D6">
        <w:rPr>
          <w:rFonts w:cs="Times New Roman"/>
          <w:szCs w:val="24"/>
        </w:rPr>
        <w:t>blinds</w:t>
      </w:r>
      <w:r>
        <w:rPr>
          <w:rFonts w:cs="Times New Roman"/>
          <w:szCs w:val="24"/>
        </w:rPr>
        <w:t>, and clothing insulation level</w:t>
      </w:r>
      <w:r w:rsidRPr="007116D6">
        <w:rPr>
          <w:rFonts w:cs="Times New Roman"/>
          <w:szCs w:val="24"/>
        </w:rPr>
        <w:t xml:space="preserve">. These EMS actuators link to the schedule values of </w:t>
      </w:r>
      <w:r>
        <w:rPr>
          <w:rFonts w:cs="Times New Roman"/>
          <w:szCs w:val="24"/>
        </w:rPr>
        <w:t xml:space="preserve">the </w:t>
      </w:r>
      <w:proofErr w:type="spellStart"/>
      <w:r w:rsidRPr="007116D6">
        <w:rPr>
          <w:rFonts w:cs="Times New Roman"/>
          <w:szCs w:val="24"/>
        </w:rPr>
        <w:t>EnergyPlus</w:t>
      </w:r>
      <w:proofErr w:type="spellEnd"/>
      <w:r w:rsidRPr="007116D6">
        <w:rPr>
          <w:rFonts w:cs="Times New Roman"/>
          <w:szCs w:val="24"/>
        </w:rPr>
        <w:t xml:space="preserve"> objects for people, lights, natural ventilation, and window shading control objects. The clothing insulation level </w:t>
      </w:r>
      <w:r>
        <w:rPr>
          <w:rFonts w:cs="Times New Roman"/>
          <w:szCs w:val="24"/>
        </w:rPr>
        <w:t>can be used as an input to determine the PMV</w:t>
      </w:r>
      <w:r w:rsidRPr="007116D6">
        <w:rPr>
          <w:rFonts w:cs="Times New Roman"/>
          <w:szCs w:val="24"/>
        </w:rPr>
        <w:t>.</w:t>
      </w:r>
      <w:r>
        <w:rPr>
          <w:rFonts w:cs="Times New Roman"/>
          <w:szCs w:val="24"/>
        </w:rPr>
        <w:t xml:space="preserve"> Should the users download the ERL script provided as a supplemental file to this manuscript and include it to the EMS Section of their </w:t>
      </w:r>
      <w:proofErr w:type="spellStart"/>
      <w:r>
        <w:rPr>
          <w:rFonts w:cs="Times New Roman"/>
          <w:szCs w:val="24"/>
        </w:rPr>
        <w:t>EnergyPlus</w:t>
      </w:r>
      <w:proofErr w:type="spellEnd"/>
      <w:r>
        <w:rPr>
          <w:rFonts w:cs="Times New Roman"/>
          <w:szCs w:val="24"/>
        </w:rPr>
        <w:t xml:space="preserve"> model using their </w:t>
      </w:r>
      <w:proofErr w:type="spellStart"/>
      <w:r>
        <w:rPr>
          <w:rFonts w:cs="Times New Roman"/>
          <w:szCs w:val="24"/>
        </w:rPr>
        <w:t>EnergyPlus</w:t>
      </w:r>
      <w:proofErr w:type="spellEnd"/>
      <w:r>
        <w:rPr>
          <w:rFonts w:cs="Times New Roman"/>
          <w:szCs w:val="24"/>
        </w:rPr>
        <w:t xml:space="preserve"> Text Editor, they can select these occupant models from their </w:t>
      </w:r>
      <w:proofErr w:type="spellStart"/>
      <w:r>
        <w:rPr>
          <w:rFonts w:cs="Times New Roman"/>
          <w:szCs w:val="24"/>
        </w:rPr>
        <w:t>EnergyPlus</w:t>
      </w:r>
      <w:proofErr w:type="spellEnd"/>
      <w:r>
        <w:rPr>
          <w:rFonts w:cs="Times New Roman"/>
          <w:szCs w:val="24"/>
        </w:rPr>
        <w:t xml:space="preserve"> IDF Editor as shown in Figure 2.b. </w:t>
      </w:r>
    </w:p>
    <w:p w:rsidR="00BF25DE" w:rsidRDefault="00BF25DE" w:rsidP="00051A6E">
      <w:pPr>
        <w:spacing w:after="0" w:line="360" w:lineRule="auto"/>
        <w:jc w:val="both"/>
        <w:rPr>
          <w:rFonts w:cs="Times New Roman"/>
          <w:szCs w:val="24"/>
        </w:rPr>
      </w:pPr>
      <w:r>
        <w:rPr>
          <w:rFonts w:cs="Times New Roman"/>
          <w:noProof/>
          <w:szCs w:val="24"/>
        </w:rPr>
        <w:t>Haldi and Robinson (2010)</w:t>
      </w:r>
      <w:r w:rsidRPr="007116D6">
        <w:rPr>
          <w:rFonts w:cs="Times New Roman"/>
          <w:szCs w:val="24"/>
        </w:rPr>
        <w:t xml:space="preserve">'s blinds model was designed to predict partial opening or closing actions. However, in </w:t>
      </w:r>
      <w:proofErr w:type="spellStart"/>
      <w:r w:rsidRPr="007116D6">
        <w:rPr>
          <w:rFonts w:cs="Times New Roman"/>
          <w:szCs w:val="24"/>
        </w:rPr>
        <w:t>EnergyPlus</w:t>
      </w:r>
      <w:proofErr w:type="spellEnd"/>
      <w:r>
        <w:rPr>
          <w:rFonts w:cs="Times New Roman"/>
          <w:szCs w:val="24"/>
        </w:rPr>
        <w:t>,</w:t>
      </w:r>
      <w:r w:rsidRPr="007116D6">
        <w:rPr>
          <w:rFonts w:cs="Times New Roman"/>
          <w:szCs w:val="24"/>
        </w:rPr>
        <w:t xml:space="preserve"> internal shades can </w:t>
      </w:r>
      <w:r>
        <w:rPr>
          <w:rFonts w:cs="Times New Roman"/>
          <w:szCs w:val="24"/>
        </w:rPr>
        <w:t xml:space="preserve">only </w:t>
      </w:r>
      <w:r w:rsidRPr="007116D6">
        <w:rPr>
          <w:rFonts w:cs="Times New Roman"/>
          <w:szCs w:val="24"/>
        </w:rPr>
        <w:t xml:space="preserve">be actuated as open or closed. </w:t>
      </w:r>
      <w:r>
        <w:rPr>
          <w:rFonts w:cs="Times New Roman"/>
          <w:szCs w:val="24"/>
        </w:rPr>
        <w:t>Thus, i</w:t>
      </w:r>
      <w:r w:rsidRPr="007116D6">
        <w:rPr>
          <w:rFonts w:cs="Times New Roman"/>
          <w:szCs w:val="24"/>
        </w:rPr>
        <w:t xml:space="preserve">t was necessary </w:t>
      </w:r>
      <w:r>
        <w:rPr>
          <w:rFonts w:cs="Times New Roman"/>
          <w:szCs w:val="24"/>
        </w:rPr>
        <w:t xml:space="preserve">to </w:t>
      </w:r>
      <w:proofErr w:type="spellStart"/>
      <w:r>
        <w:rPr>
          <w:rFonts w:cs="Times New Roman"/>
          <w:szCs w:val="24"/>
        </w:rPr>
        <w:t>discretize</w:t>
      </w:r>
      <w:proofErr w:type="spellEnd"/>
      <w:r w:rsidRPr="007116D6">
        <w:rPr>
          <w:rFonts w:cs="Times New Roman"/>
          <w:szCs w:val="24"/>
        </w:rPr>
        <w:t xml:space="preserve"> </w:t>
      </w:r>
      <w:r>
        <w:rPr>
          <w:rFonts w:cs="Times New Roman"/>
          <w:szCs w:val="24"/>
        </w:rPr>
        <w:t>the window</w:t>
      </w:r>
      <w:r w:rsidRPr="007116D6">
        <w:rPr>
          <w:rFonts w:cs="Times New Roman"/>
          <w:szCs w:val="24"/>
        </w:rPr>
        <w:t xml:space="preserve"> into smaller pieces in order to implement </w:t>
      </w:r>
      <w:r>
        <w:rPr>
          <w:rFonts w:cs="Times New Roman"/>
          <w:noProof/>
          <w:szCs w:val="24"/>
        </w:rPr>
        <w:t>Haldi and Robinson (2010)</w:t>
      </w:r>
      <w:r w:rsidRPr="007116D6">
        <w:rPr>
          <w:rFonts w:cs="Times New Roman"/>
          <w:szCs w:val="24"/>
        </w:rPr>
        <w:t xml:space="preserve">'s model for partial openings. To this end, the exterior window was divided into four smaller </w:t>
      </w:r>
      <w:r>
        <w:rPr>
          <w:rFonts w:cs="Times New Roman"/>
          <w:szCs w:val="24"/>
        </w:rPr>
        <w:t xml:space="preserve">vertically-stacked </w:t>
      </w:r>
      <w:r w:rsidRPr="007116D6">
        <w:rPr>
          <w:rFonts w:cs="Times New Roman"/>
          <w:szCs w:val="24"/>
        </w:rPr>
        <w:t>win</w:t>
      </w:r>
      <w:r>
        <w:rPr>
          <w:rFonts w:cs="Times New Roman"/>
          <w:szCs w:val="24"/>
        </w:rPr>
        <w:t>dows such that the blinds</w:t>
      </w:r>
      <w:r w:rsidRPr="007116D6">
        <w:rPr>
          <w:rFonts w:cs="Times New Roman"/>
          <w:szCs w:val="24"/>
        </w:rPr>
        <w:t xml:space="preserve"> c</w:t>
      </w:r>
      <w:r>
        <w:rPr>
          <w:rFonts w:cs="Times New Roman"/>
          <w:szCs w:val="24"/>
        </w:rPr>
        <w:t>ould</w:t>
      </w:r>
      <w:r w:rsidRPr="007116D6">
        <w:rPr>
          <w:rFonts w:cs="Times New Roman"/>
          <w:szCs w:val="24"/>
        </w:rPr>
        <w:t xml:space="preserve"> be actuated in five different positions (open, 0.75 open, 0.5 open, 0.25 open, closed).</w:t>
      </w:r>
      <w:r>
        <w:rPr>
          <w:rFonts w:cs="Times New Roman"/>
          <w:szCs w:val="24"/>
        </w:rPr>
        <w:t xml:space="preserve"> This accurately portrays the impact on daylight, but may lead to error regarding the effective heat transfer of a partially open blind (i.e., the benefit of trapping air between the blind and window is reduced when the air readily mixes with the room air). Alternative to this approach, the users can choose to model a blind as fully open or fully closed by neglecting partial openings by specifying the number of window divisions in the EMS script. However, this may </w:t>
      </w:r>
      <w:proofErr w:type="spellStart"/>
      <w:r>
        <w:rPr>
          <w:rFonts w:cs="Times New Roman"/>
          <w:szCs w:val="24"/>
        </w:rPr>
        <w:t>underpredict</w:t>
      </w:r>
      <w:proofErr w:type="spellEnd"/>
      <w:r>
        <w:rPr>
          <w:rFonts w:cs="Times New Roman"/>
          <w:szCs w:val="24"/>
        </w:rPr>
        <w:t xml:space="preserve"> daylight levels, which could be inadequate even for mostly-closed blinds.</w:t>
      </w:r>
    </w:p>
    <w:p w:rsidR="00BF25DE" w:rsidRPr="00005B3C" w:rsidRDefault="00BF25DE" w:rsidP="00051A6E">
      <w:pPr>
        <w:pStyle w:val="Heading1"/>
        <w:numPr>
          <w:ilvl w:val="1"/>
          <w:numId w:val="1"/>
        </w:numPr>
        <w:spacing w:before="0" w:line="360" w:lineRule="auto"/>
        <w:jc w:val="both"/>
        <w:rPr>
          <w:rFonts w:cs="Times New Roman"/>
          <w:szCs w:val="24"/>
        </w:rPr>
      </w:pPr>
      <w:r w:rsidRPr="00005B3C">
        <w:rPr>
          <w:rFonts w:cs="Times New Roman"/>
          <w:sz w:val="24"/>
          <w:szCs w:val="24"/>
        </w:rPr>
        <w:t>Building model for demonstration of the occupant models</w:t>
      </w:r>
    </w:p>
    <w:p w:rsidR="00BF25DE" w:rsidRDefault="00BF25DE" w:rsidP="00051A6E">
      <w:pPr>
        <w:spacing w:after="0" w:line="360" w:lineRule="auto"/>
        <w:jc w:val="both"/>
        <w:rPr>
          <w:rFonts w:cs="Times New Roman"/>
          <w:szCs w:val="24"/>
        </w:rPr>
      </w:pPr>
      <w:r>
        <w:rPr>
          <w:rFonts w:cs="Times New Roman"/>
          <w:szCs w:val="24"/>
        </w:rPr>
        <w:t>T</w:t>
      </w:r>
      <w:r w:rsidRPr="007116D6">
        <w:rPr>
          <w:rFonts w:cs="Times New Roman"/>
          <w:szCs w:val="24"/>
        </w:rPr>
        <w:t xml:space="preserve">his </w:t>
      </w:r>
      <w:r w:rsidR="00374726">
        <w:rPr>
          <w:rFonts w:cs="Times New Roman"/>
          <w:szCs w:val="24"/>
        </w:rPr>
        <w:t>sub</w:t>
      </w:r>
      <w:r>
        <w:rPr>
          <w:rFonts w:cs="Times New Roman"/>
          <w:szCs w:val="24"/>
        </w:rPr>
        <w:t xml:space="preserve">section discusses the </w:t>
      </w:r>
      <w:r w:rsidRPr="007116D6">
        <w:rPr>
          <w:rFonts w:cs="Times New Roman"/>
          <w:szCs w:val="24"/>
        </w:rPr>
        <w:t>compar</w:t>
      </w:r>
      <w:r>
        <w:rPr>
          <w:rFonts w:cs="Times New Roman"/>
          <w:szCs w:val="24"/>
        </w:rPr>
        <w:t>ison of</w:t>
      </w:r>
      <w:r w:rsidRPr="007116D6">
        <w:rPr>
          <w:rFonts w:cs="Times New Roman"/>
          <w:szCs w:val="24"/>
        </w:rPr>
        <w:t xml:space="preserve"> predictions made by different occupant models with each other and </w:t>
      </w:r>
      <w:r>
        <w:rPr>
          <w:rFonts w:cs="Times New Roman"/>
          <w:szCs w:val="24"/>
        </w:rPr>
        <w:t>assesses</w:t>
      </w:r>
      <w:r w:rsidRPr="007116D6">
        <w:rPr>
          <w:rFonts w:cs="Times New Roman"/>
          <w:szCs w:val="24"/>
        </w:rPr>
        <w:t xml:space="preserve"> the way these</w:t>
      </w:r>
      <w:r>
        <w:rPr>
          <w:rFonts w:cs="Times New Roman"/>
          <w:szCs w:val="24"/>
        </w:rPr>
        <w:t xml:space="preserve"> predictions influence heating, cooling, and lighting load calculations</w:t>
      </w:r>
      <w:r w:rsidRPr="007116D6">
        <w:rPr>
          <w:rFonts w:cs="Times New Roman"/>
          <w:szCs w:val="24"/>
        </w:rPr>
        <w:t xml:space="preserve"> of a BPS tool. </w:t>
      </w:r>
      <w:r>
        <w:rPr>
          <w:rFonts w:cs="Times New Roman"/>
          <w:szCs w:val="24"/>
        </w:rPr>
        <w:t xml:space="preserve">To this end, a generic </w:t>
      </w:r>
      <w:r w:rsidRPr="007116D6">
        <w:rPr>
          <w:rFonts w:cs="Times New Roman"/>
          <w:szCs w:val="24"/>
        </w:rPr>
        <w:t xml:space="preserve">building model </w:t>
      </w:r>
      <w:r>
        <w:rPr>
          <w:rFonts w:cs="Times New Roman"/>
          <w:szCs w:val="24"/>
        </w:rPr>
        <w:t xml:space="preserve">representing </w:t>
      </w:r>
      <w:r w:rsidRPr="007116D6">
        <w:rPr>
          <w:rFonts w:cs="Times New Roman"/>
          <w:szCs w:val="24"/>
        </w:rPr>
        <w:t xml:space="preserve">a hypothetical </w:t>
      </w:r>
      <w:r>
        <w:rPr>
          <w:rFonts w:cs="Times New Roman"/>
          <w:szCs w:val="24"/>
        </w:rPr>
        <w:t xml:space="preserve">square </w:t>
      </w:r>
      <w:r w:rsidRPr="007116D6">
        <w:rPr>
          <w:rFonts w:cs="Times New Roman"/>
          <w:szCs w:val="24"/>
        </w:rPr>
        <w:t>south-facing perimeter office in Ottawa, Ontario</w:t>
      </w:r>
      <w:r>
        <w:rPr>
          <w:rFonts w:cs="Times New Roman"/>
          <w:szCs w:val="24"/>
        </w:rPr>
        <w:t xml:space="preserve"> was developed </w:t>
      </w:r>
      <w:r w:rsidRPr="007116D6">
        <w:rPr>
          <w:rFonts w:cs="Times New Roman"/>
          <w:szCs w:val="24"/>
        </w:rPr>
        <w:t xml:space="preserve">in </w:t>
      </w:r>
      <w:proofErr w:type="spellStart"/>
      <w:r w:rsidRPr="007116D6">
        <w:rPr>
          <w:rFonts w:cs="Times New Roman"/>
          <w:szCs w:val="24"/>
        </w:rPr>
        <w:t>EnergyPlus</w:t>
      </w:r>
      <w:proofErr w:type="spellEnd"/>
      <w:r w:rsidRPr="007116D6">
        <w:rPr>
          <w:rFonts w:cs="Times New Roman"/>
          <w:szCs w:val="24"/>
        </w:rPr>
        <w:t xml:space="preserve"> v8.1.</w:t>
      </w:r>
      <w:r>
        <w:rPr>
          <w:rFonts w:cs="Times New Roman"/>
          <w:szCs w:val="24"/>
        </w:rPr>
        <w:t xml:space="preserve"> </w:t>
      </w:r>
      <w:r w:rsidRPr="007116D6">
        <w:rPr>
          <w:rFonts w:cs="Times New Roman"/>
          <w:szCs w:val="24"/>
        </w:rPr>
        <w:t xml:space="preserve">The simulation </w:t>
      </w:r>
      <w:r>
        <w:rPr>
          <w:rFonts w:cs="Times New Roman"/>
          <w:szCs w:val="24"/>
        </w:rPr>
        <w:t xml:space="preserve">time-step </w:t>
      </w:r>
      <w:r w:rsidRPr="007116D6">
        <w:rPr>
          <w:rFonts w:cs="Times New Roman"/>
          <w:szCs w:val="24"/>
        </w:rPr>
        <w:t>size was 5 minutes. The floor area of the model was 25 m</w:t>
      </w:r>
      <w:r w:rsidRPr="007116D6">
        <w:rPr>
          <w:rFonts w:cs="Times New Roman"/>
          <w:szCs w:val="24"/>
          <w:vertAlign w:val="superscript"/>
        </w:rPr>
        <w:t>2</w:t>
      </w:r>
      <w:r w:rsidRPr="007116D6">
        <w:rPr>
          <w:rFonts w:cs="Times New Roman"/>
          <w:szCs w:val="24"/>
        </w:rPr>
        <w:t xml:space="preserve"> and the floor-to-floor height of the air space was taken as 3 m. The office had 15 m</w:t>
      </w:r>
      <w:r w:rsidRPr="007116D6">
        <w:rPr>
          <w:rFonts w:cs="Times New Roman"/>
          <w:szCs w:val="24"/>
          <w:vertAlign w:val="superscript"/>
        </w:rPr>
        <w:t xml:space="preserve">2 </w:t>
      </w:r>
      <w:r w:rsidRPr="007116D6">
        <w:rPr>
          <w:rFonts w:cs="Times New Roman"/>
          <w:szCs w:val="24"/>
        </w:rPr>
        <w:t>of south-facing exterior envelope area, 8 m</w:t>
      </w:r>
      <w:r w:rsidRPr="007116D6">
        <w:rPr>
          <w:rFonts w:cs="Times New Roman"/>
          <w:szCs w:val="24"/>
          <w:vertAlign w:val="superscript"/>
        </w:rPr>
        <w:t xml:space="preserve">2 </w:t>
      </w:r>
      <w:r w:rsidRPr="007116D6">
        <w:rPr>
          <w:rFonts w:cs="Times New Roman"/>
          <w:szCs w:val="24"/>
        </w:rPr>
        <w:t>of which were glazed</w:t>
      </w:r>
      <w:r>
        <w:rPr>
          <w:rFonts w:cs="Times New Roman"/>
          <w:szCs w:val="24"/>
        </w:rPr>
        <w:t xml:space="preserve"> (window-to-wall area ratio of 53%)</w:t>
      </w:r>
      <w:r w:rsidRPr="007116D6">
        <w:rPr>
          <w:rFonts w:cs="Times New Roman"/>
          <w:szCs w:val="24"/>
        </w:rPr>
        <w:t xml:space="preserve">. The floor consisted of 0.1 m of concrete covered by a carpet. The ceiling slab was covered with a plenum space that is enclosed by ceiling tiles. The three interior walls of the office were treated as adiabatic. The exterior wall was assumed to have insulation of 2.5 RSI in compliance with </w:t>
      </w:r>
      <w:r>
        <w:rPr>
          <w:rFonts w:cs="Times New Roman"/>
          <w:noProof/>
          <w:szCs w:val="24"/>
        </w:rPr>
        <w:lastRenderedPageBreak/>
        <w:t>ASHRAE (2011)</w:t>
      </w:r>
      <w:r w:rsidRPr="007116D6">
        <w:rPr>
          <w:rFonts w:cs="Times New Roman"/>
          <w:szCs w:val="24"/>
        </w:rPr>
        <w:t xml:space="preserve"> for Climate Zone 6. </w:t>
      </w:r>
      <w:r>
        <w:rPr>
          <w:rFonts w:cs="Times New Roman"/>
          <w:szCs w:val="24"/>
        </w:rPr>
        <w:t xml:space="preserve">Two different window assemblies were modelled. The first window assembly was modelled with a solar heat gain coefficient (SHGC) of 0.6, </w:t>
      </w:r>
      <w:r w:rsidRPr="007116D6">
        <w:rPr>
          <w:rFonts w:cs="Times New Roman"/>
          <w:szCs w:val="24"/>
        </w:rPr>
        <w:t>a U-factor of 2 W/m</w:t>
      </w:r>
      <w:r w:rsidRPr="007116D6">
        <w:rPr>
          <w:rFonts w:cs="Times New Roman"/>
          <w:szCs w:val="24"/>
          <w:vertAlign w:val="superscript"/>
        </w:rPr>
        <w:t>2</w:t>
      </w:r>
      <w:r w:rsidRPr="007116D6">
        <w:rPr>
          <w:rFonts w:cs="Times New Roman"/>
          <w:szCs w:val="24"/>
        </w:rPr>
        <w:t xml:space="preserve">-K, and a visible transmittance of 0.75. </w:t>
      </w:r>
      <w:r>
        <w:rPr>
          <w:rFonts w:cs="Times New Roman"/>
          <w:szCs w:val="24"/>
        </w:rPr>
        <w:t xml:space="preserve">The second window assembly was modelled with a SHGC of 0.5, a U-factor of 1.5 </w:t>
      </w:r>
      <w:r w:rsidRPr="007116D6">
        <w:rPr>
          <w:rFonts w:cs="Times New Roman"/>
          <w:szCs w:val="24"/>
        </w:rPr>
        <w:t>W/m</w:t>
      </w:r>
      <w:r w:rsidRPr="007116D6">
        <w:rPr>
          <w:rFonts w:cs="Times New Roman"/>
          <w:szCs w:val="24"/>
          <w:vertAlign w:val="superscript"/>
        </w:rPr>
        <w:t>2</w:t>
      </w:r>
      <w:r w:rsidRPr="007116D6">
        <w:rPr>
          <w:rFonts w:cs="Times New Roman"/>
          <w:szCs w:val="24"/>
        </w:rPr>
        <w:t>-K, and</w:t>
      </w:r>
      <w:r>
        <w:rPr>
          <w:rFonts w:cs="Times New Roman"/>
          <w:szCs w:val="24"/>
        </w:rPr>
        <w:t xml:space="preserve"> a visible transmittance of 0.5</w:t>
      </w:r>
      <w:r w:rsidRPr="007116D6">
        <w:rPr>
          <w:rFonts w:cs="Times New Roman"/>
          <w:szCs w:val="24"/>
        </w:rPr>
        <w:t>.</w:t>
      </w:r>
      <w:r>
        <w:rPr>
          <w:rFonts w:cs="Times New Roman"/>
          <w:szCs w:val="24"/>
        </w:rPr>
        <w:t xml:space="preserve"> The second window assembly served the purpose of comparing the predicted impact of changing the window assembly with different lighting and blinds use models. </w:t>
      </w:r>
    </w:p>
    <w:p w:rsidR="00BF25DE" w:rsidRDefault="00BF25DE" w:rsidP="00051A6E">
      <w:pPr>
        <w:spacing w:after="0" w:line="360" w:lineRule="auto"/>
        <w:jc w:val="both"/>
        <w:rPr>
          <w:rFonts w:cs="Times New Roman"/>
          <w:szCs w:val="24"/>
        </w:rPr>
      </w:pPr>
      <w:r>
        <w:rPr>
          <w:rFonts w:cs="Times New Roman"/>
          <w:szCs w:val="24"/>
        </w:rPr>
        <w:t>An ideal</w:t>
      </w:r>
      <w:r w:rsidRPr="007116D6">
        <w:rPr>
          <w:rFonts w:cs="Times New Roman"/>
          <w:szCs w:val="24"/>
        </w:rPr>
        <w:t xml:space="preserve"> air-based heating and cooling system</w:t>
      </w:r>
      <w:r>
        <w:rPr>
          <w:rFonts w:cs="Times New Roman"/>
          <w:szCs w:val="24"/>
        </w:rPr>
        <w:t xml:space="preserve"> was assumed with sensible heating and cooling capacities of 1.5 kW. These values were determined based on preliminary sizing runs. On weekdays, t</w:t>
      </w:r>
      <w:r w:rsidRPr="007116D6">
        <w:rPr>
          <w:rFonts w:cs="Times New Roman"/>
          <w:szCs w:val="24"/>
        </w:rPr>
        <w:t xml:space="preserve">he heating </w:t>
      </w:r>
      <w:proofErr w:type="spellStart"/>
      <w:r w:rsidRPr="007116D6">
        <w:rPr>
          <w:rFonts w:cs="Times New Roman"/>
          <w:szCs w:val="24"/>
        </w:rPr>
        <w:t>setpoint</w:t>
      </w:r>
      <w:proofErr w:type="spellEnd"/>
      <w:r w:rsidRPr="007116D6">
        <w:rPr>
          <w:rFonts w:cs="Times New Roman"/>
          <w:szCs w:val="24"/>
        </w:rPr>
        <w:t xml:space="preserve"> was 21°C between 8h00 and 18h00 and it was set back to 18°C otherwise. </w:t>
      </w:r>
      <w:r>
        <w:rPr>
          <w:rFonts w:cs="Times New Roman"/>
          <w:szCs w:val="24"/>
        </w:rPr>
        <w:t>On the weekdays</w:t>
      </w:r>
      <w:r w:rsidR="00374726">
        <w:rPr>
          <w:rFonts w:cs="Times New Roman"/>
          <w:szCs w:val="24"/>
        </w:rPr>
        <w:t>,</w:t>
      </w:r>
      <w:r>
        <w:rPr>
          <w:rFonts w:cs="Times New Roman"/>
          <w:szCs w:val="24"/>
        </w:rPr>
        <w:t xml:space="preserve"> t</w:t>
      </w:r>
      <w:r w:rsidRPr="007116D6">
        <w:rPr>
          <w:rFonts w:cs="Times New Roman"/>
          <w:szCs w:val="24"/>
        </w:rPr>
        <w:t xml:space="preserve">he cooling </w:t>
      </w:r>
      <w:proofErr w:type="spellStart"/>
      <w:r w:rsidRPr="007116D6">
        <w:rPr>
          <w:rFonts w:cs="Times New Roman"/>
          <w:szCs w:val="24"/>
        </w:rPr>
        <w:t>setpoint</w:t>
      </w:r>
      <w:proofErr w:type="spellEnd"/>
      <w:r w:rsidRPr="007116D6">
        <w:rPr>
          <w:rFonts w:cs="Times New Roman"/>
          <w:szCs w:val="24"/>
        </w:rPr>
        <w:t xml:space="preserve"> was 24°C between 8h00 and 18h00 and it was set back to 27°C otherwise. The energy consumed by fans and pumps was neglected. The in</w:t>
      </w:r>
      <w:r>
        <w:rPr>
          <w:rFonts w:cs="Times New Roman"/>
          <w:szCs w:val="24"/>
        </w:rPr>
        <w:t>filtration rate was taken as 0.2</w:t>
      </w:r>
      <w:r w:rsidRPr="007116D6">
        <w:rPr>
          <w:rFonts w:cs="Times New Roman"/>
          <w:szCs w:val="24"/>
        </w:rPr>
        <w:t xml:space="preserve"> air changes per hour (ach). Outdoor air was introduced into the office at a minimum rate of 10 l/s during the oc</w:t>
      </w:r>
      <w:r>
        <w:rPr>
          <w:rFonts w:cs="Times New Roman"/>
          <w:szCs w:val="24"/>
        </w:rPr>
        <w:t xml:space="preserve">cupied hours </w:t>
      </w:r>
      <w:r>
        <w:rPr>
          <w:rFonts w:cs="Times New Roman"/>
          <w:noProof/>
          <w:szCs w:val="24"/>
        </w:rPr>
        <w:t>(ASHRAE 2013)</w:t>
      </w:r>
      <w:r>
        <w:rPr>
          <w:rFonts w:cs="Times New Roman"/>
          <w:szCs w:val="24"/>
        </w:rPr>
        <w:t xml:space="preserve">. When outdoor air temperature was advantageous for sensible cooling, an economizer was assumed to increase the outdoor airflow rate to a maximum of 100 l/s. The </w:t>
      </w:r>
      <w:r w:rsidRPr="007116D6">
        <w:rPr>
          <w:rFonts w:cs="Times New Roman"/>
          <w:szCs w:val="24"/>
        </w:rPr>
        <w:t>office was assumed to be used by one occupant. When an occu</w:t>
      </w:r>
      <w:r>
        <w:rPr>
          <w:rFonts w:cs="Times New Roman"/>
          <w:szCs w:val="24"/>
        </w:rPr>
        <w:t>pant opens the window, the wind-</w:t>
      </w:r>
      <w:r w:rsidRPr="007116D6">
        <w:rPr>
          <w:rFonts w:cs="Times New Roman"/>
          <w:szCs w:val="24"/>
        </w:rPr>
        <w:t>driven natural ventilation through a single-sided opening of 0.1 m</w:t>
      </w:r>
      <w:r w:rsidRPr="007116D6">
        <w:rPr>
          <w:rFonts w:cs="Times New Roman"/>
          <w:szCs w:val="24"/>
          <w:vertAlign w:val="superscript"/>
        </w:rPr>
        <w:t>2</w:t>
      </w:r>
      <w:r w:rsidRPr="007116D6">
        <w:rPr>
          <w:rFonts w:cs="Times New Roman"/>
          <w:szCs w:val="24"/>
        </w:rPr>
        <w:t xml:space="preserve"> was computed. </w:t>
      </w:r>
      <w:r>
        <w:rPr>
          <w:rFonts w:cs="Times New Roman"/>
          <w:szCs w:val="24"/>
        </w:rPr>
        <w:t xml:space="preserve">It was assumed that the window was located at the neutral pressure level. The opening effectiveness for the ventilation rate driven by the wind was taken as 0.55 for the perpendicular winds and 0.30 for the diagonal winds, as defined in Chapter 16 of </w:t>
      </w:r>
      <w:r>
        <w:rPr>
          <w:rFonts w:cs="Times New Roman"/>
          <w:noProof/>
          <w:szCs w:val="24"/>
        </w:rPr>
        <w:t>ASHRA</w:t>
      </w:r>
      <w:r w:rsidR="00374726">
        <w:rPr>
          <w:rFonts w:cs="Times New Roman"/>
          <w:noProof/>
          <w:szCs w:val="24"/>
        </w:rPr>
        <w:t>E</w:t>
      </w:r>
      <w:r w:rsidR="0089061E">
        <w:rPr>
          <w:rFonts w:cs="Times New Roman"/>
          <w:noProof/>
          <w:szCs w:val="24"/>
        </w:rPr>
        <w:t xml:space="preserve"> </w:t>
      </w:r>
      <w:r>
        <w:rPr>
          <w:rFonts w:cs="Times New Roman"/>
          <w:noProof/>
          <w:szCs w:val="24"/>
        </w:rPr>
        <w:t>(2013)</w:t>
      </w:r>
      <w:r w:rsidR="00374726">
        <w:rPr>
          <w:rFonts w:cs="Times New Roman"/>
          <w:noProof/>
          <w:szCs w:val="24"/>
        </w:rPr>
        <w:t xml:space="preserve"> </w:t>
      </w:r>
      <w:r w:rsidR="0089061E">
        <w:rPr>
          <w:rFonts w:cs="Times New Roman"/>
          <w:noProof/>
          <w:szCs w:val="24"/>
        </w:rPr>
        <w:t>Fundamentals</w:t>
      </w:r>
      <w:r>
        <w:rPr>
          <w:rFonts w:cs="Times New Roman"/>
          <w:szCs w:val="24"/>
        </w:rPr>
        <w:t xml:space="preserve">. </w:t>
      </w:r>
      <w:r w:rsidRPr="007116D6">
        <w:rPr>
          <w:rFonts w:cs="Times New Roman"/>
          <w:szCs w:val="24"/>
        </w:rPr>
        <w:t>The lights of luminous efficacy 50 lm/W (e.g., fluorescent), when switched-on, were assumed to consume 10 W.m</w:t>
      </w:r>
      <w:r w:rsidRPr="007116D6">
        <w:rPr>
          <w:rFonts w:cs="Times New Roman"/>
          <w:szCs w:val="24"/>
          <w:vertAlign w:val="superscript"/>
        </w:rPr>
        <w:t>-2</w:t>
      </w:r>
      <w:r w:rsidRPr="007116D6">
        <w:rPr>
          <w:rFonts w:cs="Times New Roman"/>
          <w:szCs w:val="24"/>
        </w:rPr>
        <w:t xml:space="preserve"> (with a radiant fraction of 0.5)</w:t>
      </w:r>
      <w:r>
        <w:rPr>
          <w:rFonts w:cs="Times New Roman"/>
          <w:szCs w:val="24"/>
        </w:rPr>
        <w:t xml:space="preserve"> </w:t>
      </w:r>
      <w:r>
        <w:rPr>
          <w:rFonts w:cs="Times New Roman"/>
          <w:noProof/>
          <w:szCs w:val="24"/>
        </w:rPr>
        <w:t>(ASHRAE 2013)</w:t>
      </w:r>
      <w:r w:rsidRPr="007116D6">
        <w:rPr>
          <w:rFonts w:cs="Times New Roman"/>
          <w:szCs w:val="24"/>
        </w:rPr>
        <w:t xml:space="preserve">. The equipment power density was assumed as </w:t>
      </w:r>
      <w:r>
        <w:rPr>
          <w:rFonts w:cs="Times New Roman"/>
          <w:szCs w:val="24"/>
        </w:rPr>
        <w:t>140</w:t>
      </w:r>
      <w:r w:rsidRPr="007116D6">
        <w:rPr>
          <w:rFonts w:cs="Times New Roman"/>
          <w:szCs w:val="24"/>
        </w:rPr>
        <w:t xml:space="preserve"> W</w:t>
      </w:r>
      <w:r>
        <w:rPr>
          <w:rFonts w:cs="Times New Roman"/>
          <w:szCs w:val="24"/>
        </w:rPr>
        <w:t xml:space="preserve"> per occupant</w:t>
      </w:r>
      <w:r w:rsidRPr="007116D6">
        <w:rPr>
          <w:rFonts w:cs="Times New Roman"/>
          <w:szCs w:val="24"/>
          <w:vertAlign w:val="superscript"/>
        </w:rPr>
        <w:t xml:space="preserve"> </w:t>
      </w:r>
      <w:r w:rsidRPr="007116D6">
        <w:rPr>
          <w:rFonts w:cs="Times New Roman"/>
          <w:szCs w:val="24"/>
        </w:rPr>
        <w:t>(with a radiant fraction of 0.3) during the occupied hours</w:t>
      </w:r>
      <w:r>
        <w:rPr>
          <w:rFonts w:cs="Times New Roman"/>
          <w:szCs w:val="24"/>
        </w:rPr>
        <w:t xml:space="preserve"> </w:t>
      </w:r>
      <w:r>
        <w:rPr>
          <w:rFonts w:cs="Times New Roman"/>
          <w:noProof/>
          <w:szCs w:val="24"/>
        </w:rPr>
        <w:t>(ASHRAE 2013)</w:t>
      </w:r>
      <w:r w:rsidRPr="007116D6">
        <w:rPr>
          <w:rFonts w:cs="Times New Roman"/>
          <w:szCs w:val="24"/>
        </w:rPr>
        <w:t>. The internal roller blinds were assumed with a transmittance of 0.05 and a reflectance of 0.75.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F25DE" w:rsidTr="00051A6E">
        <w:tc>
          <w:tcPr>
            <w:tcW w:w="9576" w:type="dxa"/>
          </w:tcPr>
          <w:p w:rsidR="00BF25DE" w:rsidRDefault="00BF25DE" w:rsidP="00051A6E">
            <w:pPr>
              <w:spacing w:line="360" w:lineRule="auto"/>
              <w:jc w:val="both"/>
              <w:rPr>
                <w:rFonts w:cs="Times New Roman"/>
                <w:szCs w:val="24"/>
              </w:rPr>
            </w:pPr>
            <w:r w:rsidRPr="008835C2">
              <w:rPr>
                <w:rFonts w:cs="Times New Roman"/>
                <w:noProof/>
                <w:szCs w:val="24"/>
                <w:lang w:val="en-US"/>
              </w:rPr>
              <w:lastRenderedPageBreak/>
              <w:drawing>
                <wp:inline distT="0" distB="0" distL="0" distR="0">
                  <wp:extent cx="5853195" cy="4219867"/>
                  <wp:effectExtent l="19050" t="0" r="0" b="0"/>
                  <wp:docPr id="21" name="Picture 1" descr="C:\Users\Burak\Dropbox\Occupant_Modellin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Figure 2.tif"/>
                          <pic:cNvPicPr>
                            <a:picLocks noChangeAspect="1" noChangeArrowheads="1"/>
                          </pic:cNvPicPr>
                        </pic:nvPicPr>
                        <pic:blipFill>
                          <a:blip r:embed="rId16" cstate="print"/>
                          <a:srcRect b="40729"/>
                          <a:stretch>
                            <a:fillRect/>
                          </a:stretch>
                        </pic:blipFill>
                        <pic:spPr bwMode="auto">
                          <a:xfrm>
                            <a:off x="0" y="0"/>
                            <a:ext cx="5853195" cy="4219867"/>
                          </a:xfrm>
                          <a:prstGeom prst="rect">
                            <a:avLst/>
                          </a:prstGeom>
                          <a:noFill/>
                          <a:ln w="9525">
                            <a:noFill/>
                            <a:miter lim="800000"/>
                            <a:headEnd/>
                            <a:tailEnd/>
                          </a:ln>
                        </pic:spPr>
                      </pic:pic>
                    </a:graphicData>
                  </a:graphic>
                </wp:inline>
              </w:drawing>
            </w:r>
          </w:p>
        </w:tc>
      </w:tr>
      <w:tr w:rsidR="00BF25DE" w:rsidTr="00051A6E">
        <w:tc>
          <w:tcPr>
            <w:tcW w:w="9576" w:type="dxa"/>
          </w:tcPr>
          <w:p w:rsidR="001A7D3E" w:rsidRDefault="00BF25DE">
            <w:pPr>
              <w:spacing w:line="360" w:lineRule="auto"/>
              <w:jc w:val="center"/>
              <w:rPr>
                <w:rFonts w:cs="Times New Roman"/>
                <w:szCs w:val="24"/>
              </w:rPr>
            </w:pPr>
            <w:r w:rsidRPr="008835C2">
              <w:rPr>
                <w:rFonts w:cs="Times New Roman"/>
                <w:noProof/>
                <w:szCs w:val="24"/>
                <w:lang w:val="en-US"/>
              </w:rPr>
              <w:drawing>
                <wp:inline distT="0" distB="0" distL="0" distR="0">
                  <wp:extent cx="5180349" cy="2839979"/>
                  <wp:effectExtent l="19050" t="0" r="1251" b="0"/>
                  <wp:docPr id="12" name="Picture 1" descr="C:\Users\Burak\Dropbox\Occupant_Modellin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Figure 2.tif"/>
                          <pic:cNvPicPr>
                            <a:picLocks noChangeAspect="1" noChangeArrowheads="1"/>
                          </pic:cNvPicPr>
                        </pic:nvPicPr>
                        <pic:blipFill>
                          <a:blip r:embed="rId16" cstate="print"/>
                          <a:srcRect t="60134" r="11515"/>
                          <a:stretch>
                            <a:fillRect/>
                          </a:stretch>
                        </pic:blipFill>
                        <pic:spPr bwMode="auto">
                          <a:xfrm>
                            <a:off x="0" y="0"/>
                            <a:ext cx="5180349" cy="2839979"/>
                          </a:xfrm>
                          <a:prstGeom prst="rect">
                            <a:avLst/>
                          </a:prstGeom>
                          <a:noFill/>
                          <a:ln w="9525">
                            <a:noFill/>
                            <a:miter lim="800000"/>
                            <a:headEnd/>
                            <a:tailEnd/>
                          </a:ln>
                        </pic:spPr>
                      </pic:pic>
                    </a:graphicData>
                  </a:graphic>
                </wp:inline>
              </w:drawing>
            </w:r>
          </w:p>
        </w:tc>
      </w:tr>
    </w:tbl>
    <w:p w:rsidR="00BF25DE" w:rsidRPr="00303BF6" w:rsidRDefault="00BF25DE" w:rsidP="00051A6E">
      <w:pPr>
        <w:jc w:val="both"/>
        <w:rPr>
          <w:rFonts w:cs="Times New Roman"/>
          <w:szCs w:val="24"/>
        </w:rPr>
      </w:pPr>
      <w:bookmarkStart w:id="26" w:name="_Ref403557693"/>
      <w:bookmarkStart w:id="27" w:name="_Ref403597422"/>
      <w:bookmarkStart w:id="28" w:name="_Toc415674252"/>
      <w:bookmarkStart w:id="29" w:name="_Toc415769240"/>
      <w:bookmarkStart w:id="30" w:name="_Toc415833355"/>
      <w:bookmarkStart w:id="31" w:name="_Toc415833412"/>
      <w:bookmarkStart w:id="32" w:name="_Toc415833478"/>
      <w:bookmarkStart w:id="33" w:name="_Toc415853730"/>
      <w:bookmarkStart w:id="34" w:name="_Toc415940699"/>
      <w:bookmarkStart w:id="35" w:name="_Toc421178260"/>
      <w:bookmarkStart w:id="36" w:name="_Toc421178569"/>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2</w:t>
      </w:r>
      <w:r w:rsidR="00F84CB0" w:rsidRPr="00303BF6">
        <w:rPr>
          <w:rFonts w:cs="Times New Roman"/>
          <w:szCs w:val="24"/>
        </w:rPr>
        <w:fldChar w:fldCharType="end"/>
      </w:r>
      <w:bookmarkEnd w:id="26"/>
      <w:r w:rsidRPr="00303BF6">
        <w:rPr>
          <w:rFonts w:cs="Times New Roman"/>
          <w:szCs w:val="24"/>
        </w:rPr>
        <w:t xml:space="preserve">: Implementation in </w:t>
      </w:r>
      <w:proofErr w:type="spellStart"/>
      <w:r w:rsidRPr="00303BF6">
        <w:rPr>
          <w:rFonts w:cs="Times New Roman"/>
          <w:szCs w:val="24"/>
        </w:rPr>
        <w:t>EnergyPlus</w:t>
      </w:r>
      <w:proofErr w:type="spellEnd"/>
      <w:r w:rsidRPr="00303BF6">
        <w:rPr>
          <w:rFonts w:cs="Times New Roman"/>
          <w:szCs w:val="24"/>
        </w:rPr>
        <w:t xml:space="preserve">' EMS application (a) a flow chart illustrating the data exchange between </w:t>
      </w:r>
      <w:proofErr w:type="spellStart"/>
      <w:r w:rsidRPr="00303BF6">
        <w:rPr>
          <w:rFonts w:cs="Times New Roman"/>
          <w:szCs w:val="24"/>
        </w:rPr>
        <w:t>EnergyPlus</w:t>
      </w:r>
      <w:proofErr w:type="spellEnd"/>
      <w:r w:rsidRPr="00303BF6">
        <w:rPr>
          <w:rFonts w:cs="Times New Roman"/>
          <w:szCs w:val="24"/>
        </w:rPr>
        <w:t xml:space="preserve"> and occupant models and (b) a snapshot of illustrating the list of occupant models in the </w:t>
      </w:r>
      <w:proofErr w:type="spellStart"/>
      <w:r w:rsidRPr="00303BF6">
        <w:rPr>
          <w:rFonts w:cs="Times New Roman"/>
          <w:szCs w:val="24"/>
        </w:rPr>
        <w:t>EnergyPlus</w:t>
      </w:r>
      <w:proofErr w:type="spellEnd"/>
      <w:r w:rsidRPr="00303BF6">
        <w:rPr>
          <w:rFonts w:cs="Times New Roman"/>
          <w:szCs w:val="24"/>
        </w:rPr>
        <w:t xml:space="preserve"> IDF editor.</w:t>
      </w:r>
      <w:bookmarkEnd w:id="27"/>
      <w:bookmarkEnd w:id="28"/>
      <w:bookmarkEnd w:id="29"/>
      <w:bookmarkEnd w:id="30"/>
      <w:bookmarkEnd w:id="31"/>
      <w:bookmarkEnd w:id="32"/>
      <w:bookmarkEnd w:id="33"/>
      <w:bookmarkEnd w:id="34"/>
      <w:bookmarkEnd w:id="35"/>
      <w:bookmarkEnd w:id="36"/>
    </w:p>
    <w:p w:rsidR="00BF25DE" w:rsidRDefault="00BF25DE" w:rsidP="00051A6E">
      <w:pPr>
        <w:spacing w:line="360" w:lineRule="auto"/>
        <w:jc w:val="both"/>
        <w:rPr>
          <w:rFonts w:cs="Times New Roman"/>
          <w:szCs w:val="24"/>
        </w:rPr>
      </w:pPr>
    </w:p>
    <w:p w:rsidR="00BF25DE" w:rsidRDefault="00BF25DE" w:rsidP="00051A6E">
      <w:pPr>
        <w:pStyle w:val="Heading1"/>
        <w:numPr>
          <w:ilvl w:val="0"/>
          <w:numId w:val="1"/>
        </w:numPr>
        <w:spacing w:before="0" w:line="360" w:lineRule="auto"/>
        <w:rPr>
          <w:rFonts w:cs="Times New Roman"/>
          <w:sz w:val="24"/>
          <w:szCs w:val="24"/>
        </w:rPr>
      </w:pPr>
      <w:r w:rsidRPr="007116D6">
        <w:rPr>
          <w:rFonts w:cs="Times New Roman"/>
          <w:sz w:val="24"/>
          <w:szCs w:val="24"/>
        </w:rPr>
        <w:lastRenderedPageBreak/>
        <w:t>Results and discussion</w:t>
      </w:r>
    </w:p>
    <w:p w:rsidR="00BF25DE" w:rsidRDefault="00BF25DE" w:rsidP="00051A6E">
      <w:pPr>
        <w:pStyle w:val="Heading1"/>
        <w:numPr>
          <w:ilvl w:val="1"/>
          <w:numId w:val="1"/>
        </w:numPr>
        <w:spacing w:before="0" w:line="360" w:lineRule="auto"/>
        <w:rPr>
          <w:rFonts w:cs="Times New Roman"/>
          <w:sz w:val="24"/>
          <w:szCs w:val="24"/>
        </w:rPr>
      </w:pPr>
      <w:r>
        <w:rPr>
          <w:rFonts w:cs="Times New Roman"/>
          <w:sz w:val="24"/>
          <w:szCs w:val="24"/>
        </w:rPr>
        <w:t>Window opening models</w:t>
      </w:r>
    </w:p>
    <w:p w:rsidR="00BF25DE" w:rsidRDefault="00BF25DE" w:rsidP="00051A6E">
      <w:pPr>
        <w:spacing w:after="0" w:line="360" w:lineRule="auto"/>
        <w:jc w:val="both"/>
        <w:rPr>
          <w:rFonts w:cs="Times New Roman"/>
          <w:szCs w:val="24"/>
        </w:rPr>
      </w:pPr>
      <w:r>
        <w:rPr>
          <w:rFonts w:cs="Times New Roman"/>
          <w:szCs w:val="24"/>
        </w:rPr>
        <w:t>Four</w:t>
      </w:r>
      <w:r w:rsidRPr="007116D6">
        <w:rPr>
          <w:rFonts w:cs="Times New Roman"/>
          <w:szCs w:val="24"/>
        </w:rPr>
        <w:t xml:space="preserve"> </w:t>
      </w:r>
      <w:r>
        <w:rPr>
          <w:rFonts w:cs="Times New Roman"/>
          <w:szCs w:val="24"/>
        </w:rPr>
        <w:t xml:space="preserve">sets of </w:t>
      </w:r>
      <w:r w:rsidR="003A5CC3">
        <w:rPr>
          <w:rFonts w:cs="Times New Roman"/>
          <w:szCs w:val="24"/>
        </w:rPr>
        <w:t>simulated occupant</w:t>
      </w:r>
      <w:r w:rsidRPr="007116D6">
        <w:rPr>
          <w:rFonts w:cs="Times New Roman"/>
          <w:szCs w:val="24"/>
        </w:rPr>
        <w:t>s were generated</w:t>
      </w:r>
      <w:r>
        <w:rPr>
          <w:rFonts w:cs="Times New Roman"/>
          <w:szCs w:val="24"/>
        </w:rPr>
        <w:t xml:space="preserve"> to test each window</w:t>
      </w:r>
      <w:r w:rsidR="006620C3">
        <w:rPr>
          <w:rFonts w:cs="Times New Roman"/>
          <w:szCs w:val="24"/>
        </w:rPr>
        <w:t xml:space="preserve"> </w:t>
      </w:r>
      <w:r>
        <w:rPr>
          <w:rFonts w:cs="Times New Roman"/>
          <w:szCs w:val="24"/>
        </w:rPr>
        <w:t>opening model</w:t>
      </w:r>
      <w:r w:rsidRPr="007116D6">
        <w:rPr>
          <w:rFonts w:cs="Times New Roman"/>
          <w:szCs w:val="24"/>
        </w:rPr>
        <w:t>.</w:t>
      </w:r>
      <w:r>
        <w:rPr>
          <w:rFonts w:cs="Times New Roman"/>
          <w:szCs w:val="24"/>
        </w:rPr>
        <w:t xml:space="preserve"> Each set consists of 100 </w:t>
      </w:r>
      <w:r w:rsidR="003A5CC3">
        <w:rPr>
          <w:rFonts w:cs="Times New Roman"/>
          <w:szCs w:val="24"/>
        </w:rPr>
        <w:t>simulated occupant</w:t>
      </w:r>
      <w:r>
        <w:rPr>
          <w:rFonts w:cs="Times New Roman"/>
          <w:szCs w:val="24"/>
        </w:rPr>
        <w:t xml:space="preserve">s. The size of the synthetic population was selected after investigating the mean and standard deviation of the space heating, cooling, and lighting loads at varying numbers of </w:t>
      </w:r>
      <w:r w:rsidR="003A5CC3">
        <w:rPr>
          <w:rFonts w:cs="Times New Roman"/>
          <w:szCs w:val="24"/>
        </w:rPr>
        <w:t>simulated occupant</w:t>
      </w:r>
      <w:r>
        <w:rPr>
          <w:rFonts w:cs="Times New Roman"/>
          <w:szCs w:val="24"/>
        </w:rPr>
        <w:t xml:space="preserve">s (see Figure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F25DE" w:rsidRPr="00303BF6" w:rsidTr="00051A6E">
        <w:tc>
          <w:tcPr>
            <w:tcW w:w="9576" w:type="dxa"/>
          </w:tcPr>
          <w:p w:rsidR="00BF25DE" w:rsidRPr="00303BF6" w:rsidRDefault="00BF25DE" w:rsidP="00051A6E">
            <w:pPr>
              <w:jc w:val="center"/>
              <w:rPr>
                <w:rFonts w:cs="Times New Roman"/>
                <w:szCs w:val="24"/>
              </w:rPr>
            </w:pPr>
            <w:r w:rsidRPr="00303BF6">
              <w:rPr>
                <w:rFonts w:cs="Times New Roman"/>
                <w:noProof/>
                <w:szCs w:val="24"/>
                <w:lang w:val="en-US"/>
              </w:rPr>
              <w:drawing>
                <wp:inline distT="0" distB="0" distL="0" distR="0">
                  <wp:extent cx="3742004" cy="1882195"/>
                  <wp:effectExtent l="19050" t="0" r="0" b="0"/>
                  <wp:docPr id="4" name="Picture 2" descr="C:\Users\Burak\Dropbox\Occupant_Modellin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ak\Dropbox\Occupant_Modelling\Figure 3.tif"/>
                          <pic:cNvPicPr>
                            <a:picLocks noChangeAspect="1" noChangeArrowheads="1"/>
                          </pic:cNvPicPr>
                        </pic:nvPicPr>
                        <pic:blipFill>
                          <a:blip r:embed="rId17" cstate="print"/>
                          <a:srcRect t="1446" r="50182" b="50589"/>
                          <a:stretch>
                            <a:fillRect/>
                          </a:stretch>
                        </pic:blipFill>
                        <pic:spPr bwMode="auto">
                          <a:xfrm>
                            <a:off x="0" y="0"/>
                            <a:ext cx="3742004" cy="1882195"/>
                          </a:xfrm>
                          <a:prstGeom prst="rect">
                            <a:avLst/>
                          </a:prstGeom>
                          <a:noFill/>
                          <a:ln w="9525">
                            <a:noFill/>
                            <a:miter lim="800000"/>
                            <a:headEnd/>
                            <a:tailEnd/>
                          </a:ln>
                        </pic:spPr>
                      </pic:pic>
                    </a:graphicData>
                  </a:graphic>
                </wp:inline>
              </w:drawing>
            </w:r>
          </w:p>
        </w:tc>
      </w:tr>
      <w:tr w:rsidR="00BF25DE" w:rsidRPr="00303BF6" w:rsidTr="00051A6E">
        <w:tc>
          <w:tcPr>
            <w:tcW w:w="9576" w:type="dxa"/>
          </w:tcPr>
          <w:p w:rsidR="00BF25DE" w:rsidRPr="00303BF6" w:rsidRDefault="00BF25DE" w:rsidP="00051A6E">
            <w:pPr>
              <w:jc w:val="center"/>
              <w:rPr>
                <w:rFonts w:cs="Times New Roman"/>
                <w:szCs w:val="24"/>
              </w:rPr>
            </w:pPr>
            <w:r w:rsidRPr="00303BF6">
              <w:rPr>
                <w:rFonts w:cs="Times New Roman"/>
                <w:noProof/>
                <w:szCs w:val="24"/>
                <w:lang w:val="en-US"/>
              </w:rPr>
              <w:drawing>
                <wp:inline distT="0" distB="0" distL="0" distR="0">
                  <wp:extent cx="3574833" cy="1852161"/>
                  <wp:effectExtent l="19050" t="0" r="6567" b="0"/>
                  <wp:docPr id="7" name="Picture 4" descr="C:\Users\Burak\Dropbox\Occupant_Modellin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ak\Dropbox\Occupant_Modelling\Figure 3.tif"/>
                          <pic:cNvPicPr>
                            <a:picLocks noChangeAspect="1" noChangeArrowheads="1"/>
                          </pic:cNvPicPr>
                        </pic:nvPicPr>
                        <pic:blipFill>
                          <a:blip r:embed="rId18" cstate="print"/>
                          <a:srcRect l="52464" t="2038" b="50830"/>
                          <a:stretch>
                            <a:fillRect/>
                          </a:stretch>
                        </pic:blipFill>
                        <pic:spPr bwMode="auto">
                          <a:xfrm>
                            <a:off x="0" y="0"/>
                            <a:ext cx="3574833" cy="1852161"/>
                          </a:xfrm>
                          <a:prstGeom prst="rect">
                            <a:avLst/>
                          </a:prstGeom>
                          <a:noFill/>
                          <a:ln w="9525">
                            <a:noFill/>
                            <a:miter lim="800000"/>
                            <a:headEnd/>
                            <a:tailEnd/>
                          </a:ln>
                        </pic:spPr>
                      </pic:pic>
                    </a:graphicData>
                  </a:graphic>
                </wp:inline>
              </w:drawing>
            </w:r>
          </w:p>
        </w:tc>
      </w:tr>
      <w:tr w:rsidR="00BF25DE" w:rsidRPr="00303BF6" w:rsidTr="00051A6E">
        <w:tc>
          <w:tcPr>
            <w:tcW w:w="9576" w:type="dxa"/>
          </w:tcPr>
          <w:p w:rsidR="00BF25DE" w:rsidRPr="00303BF6" w:rsidRDefault="00BF25DE" w:rsidP="00051A6E">
            <w:pPr>
              <w:jc w:val="center"/>
              <w:rPr>
                <w:rFonts w:cs="Times New Roman"/>
                <w:szCs w:val="24"/>
              </w:rPr>
            </w:pPr>
            <w:r w:rsidRPr="00303BF6">
              <w:rPr>
                <w:rFonts w:cs="Times New Roman"/>
                <w:noProof/>
                <w:szCs w:val="24"/>
                <w:lang w:val="en-US"/>
              </w:rPr>
              <w:drawing>
                <wp:inline distT="0" distB="0" distL="0" distR="0">
                  <wp:extent cx="3770769" cy="1745369"/>
                  <wp:effectExtent l="19050" t="0" r="1131" b="0"/>
                  <wp:docPr id="8" name="Picture 3" descr="C:\Users\Burak\Dropbox\Occupant_Modellin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ak\Dropbox\Occupant_Modelling\Figure 3.tif"/>
                          <pic:cNvPicPr>
                            <a:picLocks noChangeAspect="1" noChangeArrowheads="1"/>
                          </pic:cNvPicPr>
                        </pic:nvPicPr>
                        <pic:blipFill>
                          <a:blip r:embed="rId17" cstate="print"/>
                          <a:srcRect t="55551" r="49829"/>
                          <a:stretch>
                            <a:fillRect/>
                          </a:stretch>
                        </pic:blipFill>
                        <pic:spPr bwMode="auto">
                          <a:xfrm>
                            <a:off x="0" y="0"/>
                            <a:ext cx="3770769" cy="1745369"/>
                          </a:xfrm>
                          <a:prstGeom prst="rect">
                            <a:avLst/>
                          </a:prstGeom>
                          <a:noFill/>
                          <a:ln w="9525">
                            <a:noFill/>
                            <a:miter lim="800000"/>
                            <a:headEnd/>
                            <a:tailEnd/>
                          </a:ln>
                        </pic:spPr>
                      </pic:pic>
                    </a:graphicData>
                  </a:graphic>
                </wp:inline>
              </w:drawing>
            </w:r>
          </w:p>
        </w:tc>
      </w:tr>
    </w:tbl>
    <w:p w:rsidR="00BF25DE" w:rsidRPr="00303BF6" w:rsidRDefault="00BF25DE" w:rsidP="00051A6E">
      <w:pPr>
        <w:jc w:val="both"/>
        <w:rPr>
          <w:rFonts w:cs="Times New Roman"/>
          <w:szCs w:val="24"/>
        </w:rPr>
      </w:pPr>
      <w:bookmarkStart w:id="37" w:name="_Toc415674253"/>
      <w:bookmarkStart w:id="38" w:name="_Toc415769241"/>
      <w:bookmarkStart w:id="39" w:name="_Toc415833356"/>
      <w:bookmarkStart w:id="40" w:name="_Toc415833413"/>
      <w:bookmarkStart w:id="41" w:name="_Toc415833479"/>
      <w:bookmarkStart w:id="42" w:name="_Toc415853731"/>
      <w:bookmarkStart w:id="43" w:name="_Toc415940700"/>
      <w:bookmarkStart w:id="44" w:name="_Toc421178261"/>
      <w:bookmarkStart w:id="45" w:name="_Toc421178570"/>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3</w:t>
      </w:r>
      <w:r w:rsidR="00F84CB0" w:rsidRPr="00303BF6">
        <w:rPr>
          <w:rFonts w:cs="Times New Roman"/>
          <w:szCs w:val="24"/>
        </w:rPr>
        <w:fldChar w:fldCharType="end"/>
      </w:r>
      <w:r w:rsidRPr="00303BF6">
        <w:rPr>
          <w:rFonts w:cs="Times New Roman"/>
          <w:szCs w:val="24"/>
        </w:rPr>
        <w:t>:</w:t>
      </w:r>
      <w:r w:rsidR="00CE3E3A">
        <w:rPr>
          <w:rFonts w:cs="Times New Roman"/>
          <w:szCs w:val="24"/>
        </w:rPr>
        <w:t xml:space="preserve"> </w:t>
      </w:r>
      <w:r w:rsidRPr="00303BF6">
        <w:rPr>
          <w:rFonts w:cs="Times New Roman"/>
          <w:szCs w:val="24"/>
        </w:rPr>
        <w:t xml:space="preserve">The mean and standard deviation of the </w:t>
      </w:r>
      <w:r>
        <w:rPr>
          <w:rFonts w:cs="Times New Roman"/>
          <w:szCs w:val="24"/>
        </w:rPr>
        <w:t xml:space="preserve">(a) </w:t>
      </w:r>
      <w:r w:rsidRPr="00303BF6">
        <w:rPr>
          <w:rFonts w:cs="Times New Roman"/>
          <w:szCs w:val="24"/>
        </w:rPr>
        <w:t xml:space="preserve">cooling, </w:t>
      </w:r>
      <w:r>
        <w:rPr>
          <w:rFonts w:cs="Times New Roman"/>
          <w:szCs w:val="24"/>
        </w:rPr>
        <w:t xml:space="preserve">(b) </w:t>
      </w:r>
      <w:r w:rsidRPr="00303BF6">
        <w:rPr>
          <w:rFonts w:cs="Times New Roman"/>
          <w:szCs w:val="24"/>
        </w:rPr>
        <w:t>heating, and</w:t>
      </w:r>
      <w:r>
        <w:rPr>
          <w:rFonts w:cs="Times New Roman"/>
          <w:szCs w:val="24"/>
        </w:rPr>
        <w:t xml:space="preserve"> (c)</w:t>
      </w:r>
      <w:r w:rsidRPr="00303BF6">
        <w:rPr>
          <w:rFonts w:cs="Times New Roman"/>
          <w:szCs w:val="24"/>
        </w:rPr>
        <w:t xml:space="preserve"> lighting load for </w:t>
      </w:r>
      <w:r>
        <w:rPr>
          <w:rFonts w:cs="Times New Roman"/>
          <w:szCs w:val="24"/>
        </w:rPr>
        <w:t xml:space="preserve">a </w:t>
      </w:r>
      <w:r w:rsidRPr="00303BF6">
        <w:rPr>
          <w:rFonts w:cs="Times New Roman"/>
          <w:szCs w:val="24"/>
        </w:rPr>
        <w:t>synthetic population of varying size.</w:t>
      </w:r>
      <w:bookmarkEnd w:id="37"/>
      <w:bookmarkEnd w:id="38"/>
      <w:bookmarkEnd w:id="39"/>
      <w:bookmarkEnd w:id="40"/>
      <w:bookmarkEnd w:id="41"/>
      <w:bookmarkEnd w:id="42"/>
      <w:bookmarkEnd w:id="43"/>
      <w:bookmarkEnd w:id="44"/>
      <w:bookmarkEnd w:id="45"/>
    </w:p>
    <w:p w:rsidR="00BF25DE" w:rsidRDefault="00BF25DE" w:rsidP="00051A6E">
      <w:pPr>
        <w:spacing w:after="0" w:line="360" w:lineRule="auto"/>
        <w:jc w:val="both"/>
        <w:rPr>
          <w:rFonts w:cs="Times New Roman"/>
          <w:szCs w:val="24"/>
        </w:rPr>
      </w:pPr>
      <w:r>
        <w:rPr>
          <w:rFonts w:cs="Times New Roman"/>
          <w:szCs w:val="24"/>
        </w:rPr>
        <w:t>The first set</w:t>
      </w:r>
      <w:r w:rsidRPr="007116D6">
        <w:rPr>
          <w:rFonts w:cs="Times New Roman"/>
          <w:szCs w:val="24"/>
        </w:rPr>
        <w:t xml:space="preserve"> was sampled from </w:t>
      </w:r>
      <w:r w:rsidR="00051A6E">
        <w:rPr>
          <w:rFonts w:cs="Times New Roman"/>
          <w:noProof/>
          <w:szCs w:val="24"/>
        </w:rPr>
        <w:t xml:space="preserve">Rijal </w:t>
      </w:r>
      <w:r>
        <w:rPr>
          <w:rFonts w:cs="Times New Roman"/>
          <w:noProof/>
          <w:szCs w:val="24"/>
        </w:rPr>
        <w:t>et al. (2008)</w:t>
      </w:r>
      <w:r>
        <w:rPr>
          <w:rFonts w:cs="Times New Roman"/>
          <w:szCs w:val="24"/>
        </w:rPr>
        <w:t xml:space="preserve">, the second set was sampled from </w:t>
      </w:r>
      <w:r>
        <w:rPr>
          <w:rFonts w:cs="Times New Roman"/>
          <w:noProof/>
          <w:szCs w:val="24"/>
        </w:rPr>
        <w:t>Haldi and Robinson (2009)</w:t>
      </w:r>
      <w:r>
        <w:rPr>
          <w:rFonts w:cs="Times New Roman"/>
          <w:szCs w:val="24"/>
        </w:rPr>
        <w:t xml:space="preserve">, the third set was sampled from </w:t>
      </w:r>
      <w:r>
        <w:rPr>
          <w:rFonts w:cs="Times New Roman"/>
          <w:noProof/>
          <w:szCs w:val="24"/>
        </w:rPr>
        <w:t>Yun and Steemers (2008)</w:t>
      </w:r>
      <w:r>
        <w:rPr>
          <w:rFonts w:cs="Times New Roman"/>
          <w:szCs w:val="24"/>
        </w:rPr>
        <w:t xml:space="preserve">, and the fourth set </w:t>
      </w:r>
      <w:r>
        <w:rPr>
          <w:rFonts w:cs="Times New Roman"/>
          <w:szCs w:val="24"/>
        </w:rPr>
        <w:lastRenderedPageBreak/>
        <w:t xml:space="preserve">was sampled from </w:t>
      </w:r>
      <w:r>
        <w:rPr>
          <w:rFonts w:cs="Times New Roman"/>
          <w:noProof/>
          <w:szCs w:val="24"/>
        </w:rPr>
        <w:t>Haldi and Robinson (2008)</w:t>
      </w:r>
      <w:r>
        <w:rPr>
          <w:rFonts w:cs="Times New Roman"/>
          <w:szCs w:val="24"/>
        </w:rPr>
        <w:t xml:space="preserve">. The blinds use, lighting use, occupancy, and clothing characteristics of all four sets were created from </w:t>
      </w:r>
      <w:r>
        <w:rPr>
          <w:rFonts w:cs="Times New Roman"/>
          <w:noProof/>
          <w:szCs w:val="24"/>
        </w:rPr>
        <w:t>Haldi and Robinson (2010)</w:t>
      </w:r>
      <w:r w:rsidRPr="007116D6">
        <w:rPr>
          <w:rFonts w:cs="Times New Roman"/>
          <w:szCs w:val="24"/>
        </w:rPr>
        <w:t xml:space="preserve">, </w:t>
      </w:r>
      <w:r>
        <w:rPr>
          <w:rFonts w:cs="Times New Roman"/>
          <w:noProof/>
          <w:szCs w:val="24"/>
        </w:rPr>
        <w:t>Reinhart (2004)</w:t>
      </w:r>
      <w:r w:rsidRPr="007116D6">
        <w:rPr>
          <w:rFonts w:cs="Times New Roman"/>
          <w:szCs w:val="24"/>
        </w:rPr>
        <w:t xml:space="preserve">, </w:t>
      </w:r>
      <w:r>
        <w:rPr>
          <w:rFonts w:cs="Times New Roman"/>
          <w:noProof/>
          <w:szCs w:val="24"/>
        </w:rPr>
        <w:t>Wang et al. (2005)</w:t>
      </w:r>
      <w:r w:rsidRPr="007116D6">
        <w:rPr>
          <w:rFonts w:cs="Times New Roman"/>
          <w:szCs w:val="24"/>
        </w:rPr>
        <w:t xml:space="preserve">, and </w:t>
      </w:r>
      <w:r>
        <w:rPr>
          <w:rFonts w:cs="Times New Roman"/>
          <w:noProof/>
          <w:szCs w:val="24"/>
        </w:rPr>
        <w:t>Schiavon and Lee (2013)</w:t>
      </w:r>
      <w:r>
        <w:rPr>
          <w:rFonts w:cs="Times New Roman"/>
          <w:szCs w:val="24"/>
        </w:rPr>
        <w:t>, respectively</w:t>
      </w:r>
      <w:r w:rsidRPr="007116D6">
        <w:rPr>
          <w:rFonts w:cs="Times New Roman"/>
          <w:szCs w:val="24"/>
        </w:rPr>
        <w:t xml:space="preserve">. </w:t>
      </w:r>
      <w:r>
        <w:rPr>
          <w:rFonts w:cs="Times New Roman"/>
          <w:szCs w:val="24"/>
        </w:rPr>
        <w:t xml:space="preserve">This is also summarized in Table 8. </w:t>
      </w:r>
    </w:p>
    <w:p w:rsidR="001A7D3E" w:rsidRDefault="00BF25DE">
      <w:pPr>
        <w:pStyle w:val="Caption"/>
        <w:spacing w:after="0"/>
        <w:rPr>
          <w:rFonts w:cs="Times New Roman"/>
          <w:b w:val="0"/>
          <w:color w:val="auto"/>
          <w:sz w:val="24"/>
          <w:szCs w:val="24"/>
        </w:rPr>
      </w:pPr>
      <w:bookmarkStart w:id="46" w:name="_Ref403563768"/>
      <w:bookmarkStart w:id="47" w:name="_Ref403597337"/>
      <w:bookmarkStart w:id="48" w:name="_Toc415940846"/>
      <w:r w:rsidRPr="00716F43">
        <w:rPr>
          <w:rFonts w:cs="Times New Roman"/>
          <w:b w:val="0"/>
          <w:color w:val="auto"/>
          <w:sz w:val="24"/>
          <w:szCs w:val="24"/>
        </w:rPr>
        <w:t xml:space="preserve">Table </w:t>
      </w:r>
      <w:r w:rsidR="00F84CB0" w:rsidRPr="00716F43">
        <w:rPr>
          <w:rFonts w:cs="Times New Roman"/>
          <w:b w:val="0"/>
          <w:color w:val="auto"/>
          <w:sz w:val="24"/>
          <w:szCs w:val="24"/>
        </w:rPr>
        <w:fldChar w:fldCharType="begin"/>
      </w:r>
      <w:r w:rsidRPr="00716F43">
        <w:rPr>
          <w:rFonts w:cs="Times New Roman"/>
          <w:b w:val="0"/>
          <w:color w:val="auto"/>
          <w:sz w:val="24"/>
          <w:szCs w:val="24"/>
        </w:rPr>
        <w:instrText xml:space="preserve"> SEQ Table \* ARABIC </w:instrText>
      </w:r>
      <w:r w:rsidR="00F84CB0" w:rsidRPr="00716F43">
        <w:rPr>
          <w:rFonts w:cs="Times New Roman"/>
          <w:b w:val="0"/>
          <w:color w:val="auto"/>
          <w:sz w:val="24"/>
          <w:szCs w:val="24"/>
        </w:rPr>
        <w:fldChar w:fldCharType="separate"/>
      </w:r>
      <w:r w:rsidRPr="00716F43">
        <w:rPr>
          <w:rFonts w:cs="Times New Roman"/>
          <w:b w:val="0"/>
          <w:noProof/>
          <w:color w:val="auto"/>
          <w:sz w:val="24"/>
          <w:szCs w:val="24"/>
        </w:rPr>
        <w:t>8</w:t>
      </w:r>
      <w:r w:rsidR="00F84CB0" w:rsidRPr="00716F43">
        <w:rPr>
          <w:rFonts w:cs="Times New Roman"/>
          <w:b w:val="0"/>
          <w:color w:val="auto"/>
          <w:sz w:val="24"/>
          <w:szCs w:val="24"/>
        </w:rPr>
        <w:fldChar w:fldCharType="end"/>
      </w:r>
      <w:bookmarkEnd w:id="46"/>
      <w:r w:rsidRPr="00716F43">
        <w:rPr>
          <w:rFonts w:cs="Times New Roman"/>
          <w:b w:val="0"/>
          <w:color w:val="auto"/>
          <w:sz w:val="24"/>
          <w:szCs w:val="24"/>
        </w:rPr>
        <w:t>: Occupant models used in the run-cases shown in Figures 4 to 6.</w:t>
      </w:r>
      <w:bookmarkEnd w:id="47"/>
      <w:bookmarkEnd w:id="48"/>
    </w:p>
    <w:tbl>
      <w:tblPr>
        <w:tblStyle w:val="TableGrid"/>
        <w:tblW w:w="4670" w:type="pct"/>
        <w:jc w:val="center"/>
        <w:tblLayout w:type="fixed"/>
        <w:tblLook w:val="06A0"/>
      </w:tblPr>
      <w:tblGrid>
        <w:gridCol w:w="2698"/>
        <w:gridCol w:w="1560"/>
        <w:gridCol w:w="1275"/>
        <w:gridCol w:w="1549"/>
        <w:gridCol w:w="1862"/>
      </w:tblGrid>
      <w:tr w:rsidR="00BF25DE" w:rsidRPr="001031CE" w:rsidTr="00051A6E">
        <w:trPr>
          <w:trHeight w:val="570"/>
          <w:jc w:val="center"/>
        </w:trPr>
        <w:tc>
          <w:tcPr>
            <w:tcW w:w="1508" w:type="pct"/>
            <w:noWrap/>
            <w:vAlign w:val="center"/>
            <w:hideMark/>
          </w:tcPr>
          <w:p w:rsidR="00BF25DE" w:rsidRPr="001031CE" w:rsidRDefault="00BF25DE" w:rsidP="00051A6E">
            <w:pPr>
              <w:spacing w:line="276" w:lineRule="auto"/>
              <w:jc w:val="center"/>
              <w:rPr>
                <w:rFonts w:eastAsia="Times New Roman" w:cs="Times New Roman"/>
                <w:b/>
                <w:color w:val="000000"/>
                <w:sz w:val="20"/>
                <w:szCs w:val="20"/>
                <w:lang w:eastAsia="en-CA"/>
              </w:rPr>
            </w:pPr>
            <w:r w:rsidRPr="001031CE">
              <w:rPr>
                <w:rFonts w:eastAsia="Times New Roman" w:cs="Times New Roman"/>
                <w:b/>
                <w:color w:val="000000"/>
                <w:sz w:val="20"/>
                <w:szCs w:val="20"/>
                <w:lang w:eastAsia="en-CA"/>
              </w:rPr>
              <w:t>Window</w:t>
            </w:r>
          </w:p>
        </w:tc>
        <w:tc>
          <w:tcPr>
            <w:tcW w:w="872" w:type="pct"/>
            <w:noWrap/>
            <w:vAlign w:val="center"/>
            <w:hideMark/>
          </w:tcPr>
          <w:p w:rsidR="00BF25DE" w:rsidRPr="001031CE" w:rsidRDefault="00BF25DE" w:rsidP="00051A6E">
            <w:pPr>
              <w:spacing w:line="276" w:lineRule="auto"/>
              <w:jc w:val="center"/>
              <w:rPr>
                <w:rFonts w:eastAsia="Times New Roman" w:cs="Times New Roman"/>
                <w:b/>
                <w:color w:val="000000"/>
                <w:sz w:val="20"/>
                <w:szCs w:val="20"/>
                <w:lang w:eastAsia="en-CA"/>
              </w:rPr>
            </w:pPr>
            <w:r w:rsidRPr="001031CE">
              <w:rPr>
                <w:rFonts w:eastAsia="Times New Roman" w:cs="Times New Roman"/>
                <w:b/>
                <w:color w:val="000000"/>
                <w:sz w:val="20"/>
                <w:szCs w:val="20"/>
                <w:lang w:eastAsia="en-CA"/>
              </w:rPr>
              <w:t>Light switch on &amp; off</w:t>
            </w:r>
          </w:p>
        </w:tc>
        <w:tc>
          <w:tcPr>
            <w:tcW w:w="713" w:type="pct"/>
            <w:noWrap/>
            <w:vAlign w:val="center"/>
            <w:hideMark/>
          </w:tcPr>
          <w:p w:rsidR="00BF25DE" w:rsidRPr="001031CE" w:rsidRDefault="00BF25DE" w:rsidP="00051A6E">
            <w:pPr>
              <w:spacing w:line="276" w:lineRule="auto"/>
              <w:jc w:val="center"/>
              <w:rPr>
                <w:rFonts w:eastAsia="Times New Roman" w:cs="Times New Roman"/>
                <w:b/>
                <w:color w:val="000000"/>
                <w:sz w:val="20"/>
                <w:szCs w:val="20"/>
                <w:lang w:eastAsia="en-CA"/>
              </w:rPr>
            </w:pPr>
            <w:r w:rsidRPr="001031CE">
              <w:rPr>
                <w:rFonts w:eastAsia="Times New Roman" w:cs="Times New Roman"/>
                <w:b/>
                <w:color w:val="000000"/>
                <w:sz w:val="20"/>
                <w:szCs w:val="20"/>
                <w:lang w:eastAsia="en-CA"/>
              </w:rPr>
              <w:t>Blinds</w:t>
            </w:r>
          </w:p>
        </w:tc>
        <w:tc>
          <w:tcPr>
            <w:tcW w:w="866" w:type="pct"/>
            <w:noWrap/>
            <w:vAlign w:val="center"/>
            <w:hideMark/>
          </w:tcPr>
          <w:p w:rsidR="00BF25DE" w:rsidRPr="001031CE" w:rsidRDefault="00BF25DE" w:rsidP="00051A6E">
            <w:pPr>
              <w:spacing w:line="276" w:lineRule="auto"/>
              <w:jc w:val="center"/>
              <w:rPr>
                <w:rFonts w:eastAsia="Times New Roman" w:cs="Times New Roman"/>
                <w:b/>
                <w:color w:val="000000"/>
                <w:sz w:val="20"/>
                <w:szCs w:val="20"/>
                <w:lang w:eastAsia="en-CA"/>
              </w:rPr>
            </w:pPr>
            <w:r w:rsidRPr="001031CE">
              <w:rPr>
                <w:rFonts w:eastAsia="Times New Roman" w:cs="Times New Roman"/>
                <w:b/>
                <w:color w:val="000000"/>
                <w:sz w:val="20"/>
                <w:szCs w:val="20"/>
                <w:lang w:eastAsia="en-CA"/>
              </w:rPr>
              <w:t>Clothing</w:t>
            </w:r>
          </w:p>
        </w:tc>
        <w:tc>
          <w:tcPr>
            <w:tcW w:w="1041" w:type="pct"/>
            <w:noWrap/>
            <w:vAlign w:val="center"/>
            <w:hideMark/>
          </w:tcPr>
          <w:p w:rsidR="00BF25DE" w:rsidRPr="001031CE" w:rsidRDefault="00BF25DE" w:rsidP="00051A6E">
            <w:pPr>
              <w:spacing w:line="276" w:lineRule="auto"/>
              <w:jc w:val="center"/>
              <w:rPr>
                <w:rFonts w:eastAsia="Times New Roman" w:cs="Times New Roman"/>
                <w:b/>
                <w:color w:val="000000"/>
                <w:sz w:val="20"/>
                <w:szCs w:val="20"/>
                <w:lang w:eastAsia="en-CA"/>
              </w:rPr>
            </w:pPr>
            <w:r w:rsidRPr="001031CE">
              <w:rPr>
                <w:rFonts w:eastAsia="Times New Roman" w:cs="Times New Roman"/>
                <w:b/>
                <w:color w:val="000000"/>
                <w:sz w:val="20"/>
                <w:szCs w:val="20"/>
                <w:lang w:eastAsia="en-CA"/>
              </w:rPr>
              <w:t>Occupancy</w:t>
            </w:r>
          </w:p>
        </w:tc>
      </w:tr>
      <w:tr w:rsidR="00BF25DE" w:rsidRPr="001031CE" w:rsidTr="00051A6E">
        <w:trPr>
          <w:trHeight w:val="300"/>
          <w:jc w:val="center"/>
        </w:trPr>
        <w:tc>
          <w:tcPr>
            <w:tcW w:w="1508" w:type="pct"/>
            <w:noWrap/>
            <w:vAlign w:val="center"/>
            <w:hideMark/>
          </w:tcPr>
          <w:p w:rsidR="00BF25DE" w:rsidRPr="001031CE" w:rsidRDefault="00051A6E" w:rsidP="00051A6E">
            <w:pPr>
              <w:spacing w:line="276" w:lineRule="auto"/>
              <w:jc w:val="center"/>
              <w:rPr>
                <w:rFonts w:eastAsia="Times New Roman" w:cs="Times New Roman"/>
                <w:color w:val="000000"/>
                <w:sz w:val="20"/>
                <w:szCs w:val="20"/>
                <w:lang w:eastAsia="en-CA"/>
              </w:rPr>
            </w:pPr>
            <w:proofErr w:type="spellStart"/>
            <w:r>
              <w:rPr>
                <w:rFonts w:eastAsia="Times New Roman" w:cs="Times New Roman"/>
                <w:color w:val="000000"/>
                <w:sz w:val="20"/>
                <w:szCs w:val="20"/>
                <w:lang w:eastAsia="en-CA"/>
              </w:rPr>
              <w:t>Rijal</w:t>
            </w:r>
            <w:proofErr w:type="spellEnd"/>
            <w:r w:rsidR="00BF25DE" w:rsidRPr="001031CE">
              <w:rPr>
                <w:rFonts w:eastAsia="Times New Roman" w:cs="Times New Roman"/>
                <w:color w:val="000000"/>
                <w:sz w:val="20"/>
                <w:szCs w:val="20"/>
                <w:lang w:eastAsia="en-CA"/>
              </w:rPr>
              <w:t xml:space="preserve"> et al. (2008)</w:t>
            </w:r>
          </w:p>
        </w:tc>
        <w:tc>
          <w:tcPr>
            <w:tcW w:w="872"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r w:rsidRPr="001031CE">
              <w:rPr>
                <w:rFonts w:eastAsia="Times New Roman" w:cs="Times New Roman"/>
                <w:color w:val="000000"/>
                <w:sz w:val="20"/>
                <w:szCs w:val="20"/>
                <w:lang w:eastAsia="en-CA"/>
              </w:rPr>
              <w:t>Reinhart (2004)</w:t>
            </w:r>
          </w:p>
        </w:tc>
        <w:tc>
          <w:tcPr>
            <w:tcW w:w="713"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roofErr w:type="spellStart"/>
            <w:r w:rsidRPr="001031CE">
              <w:rPr>
                <w:rFonts w:eastAsia="Times New Roman" w:cs="Times New Roman"/>
                <w:color w:val="000000"/>
                <w:sz w:val="20"/>
                <w:szCs w:val="20"/>
                <w:lang w:eastAsia="en-CA"/>
              </w:rPr>
              <w:t>Haldi</w:t>
            </w:r>
            <w:proofErr w:type="spellEnd"/>
            <w:r w:rsidRPr="001031CE">
              <w:rPr>
                <w:rFonts w:eastAsia="Times New Roman" w:cs="Times New Roman"/>
                <w:color w:val="000000"/>
                <w:sz w:val="20"/>
                <w:szCs w:val="20"/>
                <w:lang w:eastAsia="en-CA"/>
              </w:rPr>
              <w:t xml:space="preserve"> and Robinson (2010)</w:t>
            </w:r>
          </w:p>
        </w:tc>
        <w:tc>
          <w:tcPr>
            <w:tcW w:w="866"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roofErr w:type="spellStart"/>
            <w:r w:rsidRPr="001031CE">
              <w:rPr>
                <w:rFonts w:eastAsia="Times New Roman" w:cs="Times New Roman"/>
                <w:color w:val="000000"/>
                <w:sz w:val="20"/>
                <w:szCs w:val="20"/>
                <w:lang w:eastAsia="en-CA"/>
              </w:rPr>
              <w:t>Schiavon</w:t>
            </w:r>
            <w:proofErr w:type="spellEnd"/>
            <w:r w:rsidRPr="001031CE">
              <w:rPr>
                <w:rFonts w:eastAsia="Times New Roman" w:cs="Times New Roman"/>
                <w:color w:val="000000"/>
                <w:sz w:val="20"/>
                <w:szCs w:val="20"/>
                <w:lang w:eastAsia="en-CA"/>
              </w:rPr>
              <w:t xml:space="preserve"> and Lee (2013)</w:t>
            </w:r>
          </w:p>
        </w:tc>
        <w:tc>
          <w:tcPr>
            <w:tcW w:w="1041" w:type="pct"/>
            <w:vMerge w:val="restart"/>
            <w:noWrap/>
            <w:vAlign w:val="center"/>
            <w:hideMark/>
          </w:tcPr>
          <w:p w:rsidR="00BF25DE" w:rsidRPr="001031CE" w:rsidRDefault="00051A6E" w:rsidP="00051A6E">
            <w:pPr>
              <w:spacing w:line="276" w:lineRule="auto"/>
              <w:jc w:val="center"/>
              <w:rPr>
                <w:rFonts w:eastAsia="Times New Roman" w:cs="Times New Roman"/>
                <w:color w:val="000000"/>
                <w:sz w:val="20"/>
                <w:szCs w:val="20"/>
                <w:lang w:eastAsia="en-CA"/>
              </w:rPr>
            </w:pPr>
            <w:r>
              <w:rPr>
                <w:rFonts w:eastAsia="Times New Roman" w:cs="Times New Roman"/>
                <w:color w:val="000000"/>
                <w:sz w:val="20"/>
                <w:szCs w:val="20"/>
                <w:lang w:eastAsia="en-CA"/>
              </w:rPr>
              <w:t xml:space="preserve">Wang </w:t>
            </w:r>
            <w:r w:rsidR="00BF25DE" w:rsidRPr="001031CE">
              <w:rPr>
                <w:rFonts w:eastAsia="Times New Roman" w:cs="Times New Roman"/>
                <w:color w:val="000000"/>
                <w:sz w:val="20"/>
                <w:szCs w:val="20"/>
                <w:lang w:eastAsia="en-CA"/>
              </w:rPr>
              <w:t>et al. (2005)</w:t>
            </w:r>
          </w:p>
        </w:tc>
      </w:tr>
      <w:tr w:rsidR="00BF25DE" w:rsidRPr="001031CE" w:rsidTr="00051A6E">
        <w:trPr>
          <w:trHeight w:val="428"/>
          <w:jc w:val="center"/>
        </w:trPr>
        <w:tc>
          <w:tcPr>
            <w:tcW w:w="1508" w:type="pct"/>
            <w:noWrap/>
            <w:vAlign w:val="center"/>
            <w:hideMark/>
          </w:tcPr>
          <w:p w:rsidR="00BF25DE" w:rsidRPr="001031CE" w:rsidRDefault="00BF25DE" w:rsidP="00051A6E">
            <w:pPr>
              <w:jc w:val="center"/>
              <w:rPr>
                <w:rFonts w:cs="Times New Roman"/>
                <w:sz w:val="20"/>
                <w:szCs w:val="20"/>
              </w:rPr>
            </w:pPr>
            <w:proofErr w:type="spellStart"/>
            <w:r w:rsidRPr="001031CE">
              <w:rPr>
                <w:rFonts w:cs="Times New Roman"/>
                <w:sz w:val="20"/>
                <w:szCs w:val="20"/>
              </w:rPr>
              <w:t>Yun</w:t>
            </w:r>
            <w:proofErr w:type="spellEnd"/>
            <w:r w:rsidRPr="001031CE">
              <w:rPr>
                <w:rFonts w:cs="Times New Roman"/>
                <w:sz w:val="20"/>
                <w:szCs w:val="20"/>
              </w:rPr>
              <w:t xml:space="preserve"> and </w:t>
            </w:r>
            <w:proofErr w:type="spellStart"/>
            <w:r w:rsidRPr="001031CE">
              <w:rPr>
                <w:rFonts w:cs="Times New Roman"/>
                <w:sz w:val="20"/>
                <w:szCs w:val="20"/>
              </w:rPr>
              <w:t>Steemers</w:t>
            </w:r>
            <w:proofErr w:type="spellEnd"/>
            <w:r w:rsidRPr="001031CE">
              <w:rPr>
                <w:rFonts w:cs="Times New Roman"/>
                <w:sz w:val="20"/>
                <w:szCs w:val="20"/>
              </w:rPr>
              <w:t xml:space="preserve"> (2008)</w:t>
            </w:r>
          </w:p>
        </w:tc>
        <w:tc>
          <w:tcPr>
            <w:tcW w:w="872"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c>
          <w:tcPr>
            <w:tcW w:w="713"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c>
          <w:tcPr>
            <w:tcW w:w="866"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c>
          <w:tcPr>
            <w:tcW w:w="1041"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r>
      <w:tr w:rsidR="00BF25DE" w:rsidRPr="001031CE" w:rsidTr="00051A6E">
        <w:trPr>
          <w:trHeight w:val="420"/>
          <w:jc w:val="center"/>
        </w:trPr>
        <w:tc>
          <w:tcPr>
            <w:tcW w:w="1508" w:type="pct"/>
            <w:noWrap/>
            <w:vAlign w:val="center"/>
            <w:hideMark/>
          </w:tcPr>
          <w:p w:rsidR="00BF25DE" w:rsidRPr="001031CE" w:rsidRDefault="00BF25DE" w:rsidP="00051A6E">
            <w:pPr>
              <w:jc w:val="center"/>
              <w:rPr>
                <w:rFonts w:cs="Times New Roman"/>
                <w:sz w:val="20"/>
                <w:szCs w:val="20"/>
              </w:rPr>
            </w:pPr>
            <w:proofErr w:type="spellStart"/>
            <w:r w:rsidRPr="001031CE">
              <w:rPr>
                <w:rFonts w:cs="Times New Roman"/>
                <w:sz w:val="20"/>
                <w:szCs w:val="20"/>
              </w:rPr>
              <w:t>Haldi</w:t>
            </w:r>
            <w:proofErr w:type="spellEnd"/>
            <w:r w:rsidRPr="001031CE">
              <w:rPr>
                <w:rFonts w:cs="Times New Roman"/>
                <w:sz w:val="20"/>
                <w:szCs w:val="20"/>
              </w:rPr>
              <w:t xml:space="preserve"> and Robinson (2009)</w:t>
            </w:r>
          </w:p>
        </w:tc>
        <w:tc>
          <w:tcPr>
            <w:tcW w:w="872"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c>
          <w:tcPr>
            <w:tcW w:w="713"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c>
          <w:tcPr>
            <w:tcW w:w="866"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c>
          <w:tcPr>
            <w:tcW w:w="1041"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0"/>
                <w:lang w:eastAsia="en-CA"/>
              </w:rPr>
            </w:pPr>
          </w:p>
        </w:tc>
      </w:tr>
      <w:tr w:rsidR="00BF25DE" w:rsidRPr="001031CE" w:rsidTr="00051A6E">
        <w:trPr>
          <w:trHeight w:val="420"/>
          <w:jc w:val="center"/>
        </w:trPr>
        <w:tc>
          <w:tcPr>
            <w:tcW w:w="1508" w:type="pct"/>
            <w:noWrap/>
            <w:vAlign w:val="center"/>
            <w:hideMark/>
          </w:tcPr>
          <w:p w:rsidR="00BF25DE" w:rsidRPr="001031CE" w:rsidRDefault="00BF25DE" w:rsidP="00051A6E">
            <w:pPr>
              <w:jc w:val="center"/>
              <w:rPr>
                <w:rFonts w:eastAsia="Times New Roman" w:cs="Times New Roman"/>
                <w:color w:val="000000"/>
                <w:sz w:val="20"/>
                <w:szCs w:val="20"/>
                <w:lang w:eastAsia="en-CA"/>
              </w:rPr>
            </w:pPr>
            <w:proofErr w:type="spellStart"/>
            <w:r w:rsidRPr="001031CE">
              <w:rPr>
                <w:rFonts w:eastAsia="Times New Roman" w:cs="Times New Roman"/>
                <w:color w:val="000000"/>
                <w:sz w:val="20"/>
                <w:szCs w:val="20"/>
                <w:lang w:eastAsia="en-CA"/>
              </w:rPr>
              <w:t>Haldi</w:t>
            </w:r>
            <w:proofErr w:type="spellEnd"/>
            <w:r w:rsidRPr="001031CE">
              <w:rPr>
                <w:rFonts w:eastAsia="Times New Roman" w:cs="Times New Roman"/>
                <w:color w:val="000000"/>
                <w:sz w:val="20"/>
                <w:szCs w:val="20"/>
                <w:lang w:eastAsia="en-CA"/>
              </w:rPr>
              <w:t xml:space="preserve"> and Robinson (2008)</w:t>
            </w:r>
          </w:p>
        </w:tc>
        <w:tc>
          <w:tcPr>
            <w:tcW w:w="872"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c>
          <w:tcPr>
            <w:tcW w:w="713"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c>
          <w:tcPr>
            <w:tcW w:w="866"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c>
          <w:tcPr>
            <w:tcW w:w="1041"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r>
      <w:tr w:rsidR="00BF25DE" w:rsidRPr="001031CE" w:rsidTr="00051A6E">
        <w:trPr>
          <w:trHeight w:val="420"/>
          <w:jc w:val="center"/>
        </w:trPr>
        <w:tc>
          <w:tcPr>
            <w:tcW w:w="1508" w:type="pct"/>
            <w:noWrap/>
            <w:vAlign w:val="center"/>
            <w:hideMark/>
          </w:tcPr>
          <w:p w:rsidR="00BF25DE" w:rsidRPr="001031CE" w:rsidRDefault="00BF25DE" w:rsidP="00051A6E">
            <w:pPr>
              <w:jc w:val="center"/>
              <w:rPr>
                <w:rFonts w:eastAsia="Times New Roman" w:cs="Times New Roman"/>
                <w:color w:val="000000"/>
                <w:sz w:val="20"/>
                <w:szCs w:val="20"/>
                <w:lang w:eastAsia="en-CA"/>
              </w:rPr>
            </w:pPr>
            <w:r>
              <w:rPr>
                <w:rFonts w:eastAsia="Times New Roman" w:cs="Times New Roman"/>
                <w:color w:val="000000"/>
                <w:sz w:val="20"/>
                <w:szCs w:val="20"/>
                <w:lang w:eastAsia="en-CA"/>
              </w:rPr>
              <w:t>Fixed windows</w:t>
            </w:r>
          </w:p>
        </w:tc>
        <w:tc>
          <w:tcPr>
            <w:tcW w:w="872"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c>
          <w:tcPr>
            <w:tcW w:w="713"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c>
          <w:tcPr>
            <w:tcW w:w="866"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c>
          <w:tcPr>
            <w:tcW w:w="1041" w:type="pct"/>
            <w:vMerge/>
            <w:noWrap/>
            <w:vAlign w:val="center"/>
            <w:hideMark/>
          </w:tcPr>
          <w:p w:rsidR="00BF25DE" w:rsidRPr="001031CE" w:rsidRDefault="00BF25DE" w:rsidP="00051A6E">
            <w:pPr>
              <w:jc w:val="center"/>
              <w:rPr>
                <w:rFonts w:eastAsia="Times New Roman" w:cs="Times New Roman"/>
                <w:color w:val="000000"/>
                <w:sz w:val="20"/>
                <w:szCs w:val="20"/>
                <w:lang w:eastAsia="en-CA"/>
              </w:rPr>
            </w:pPr>
          </w:p>
        </w:tc>
      </w:tr>
    </w:tbl>
    <w:p w:rsidR="001A7D3E" w:rsidRDefault="00BF25DE">
      <w:pPr>
        <w:spacing w:before="240" w:after="0" w:line="360" w:lineRule="auto"/>
        <w:jc w:val="both"/>
        <w:rPr>
          <w:rFonts w:cs="Times New Roman"/>
        </w:rPr>
      </w:pPr>
      <w:r>
        <w:t xml:space="preserve">Figure 4 presents the fraction of time-steps when the window remains open in monthly intervals. Results indicate that the window opening behaviour follows a similar seasonal trend with all models </w:t>
      </w:r>
      <w:r>
        <w:rPr>
          <w:rFonts w:cs="Times New Roman"/>
        </w:rPr>
        <w:t>where</w:t>
      </w:r>
      <w:r>
        <w:t xml:space="preserve"> mean window opening rates peak on July. On average, </w:t>
      </w:r>
      <w:r>
        <w:rPr>
          <w:rFonts w:cs="Times New Roman"/>
          <w:noProof/>
          <w:szCs w:val="24"/>
        </w:rPr>
        <w:t>Yun and Steemers (2008)</w:t>
      </w:r>
      <w:r>
        <w:rPr>
          <w:rFonts w:cs="Times New Roman"/>
          <w:szCs w:val="24"/>
        </w:rPr>
        <w:t xml:space="preserve">'s model predicted that windows remain open for about 90% of the time in July. In contrast, this ratio was about 50% with the other three window use models. Note that </w:t>
      </w:r>
      <w:r>
        <w:rPr>
          <w:noProof/>
        </w:rPr>
        <w:t>Yun and Steemers (2008)</w:t>
      </w:r>
      <w:r>
        <w:t xml:space="preserve">'s window use model was developed based on the observations collected during a summer only, whereas the observations leading to </w:t>
      </w:r>
      <w:r w:rsidR="00051A6E">
        <w:rPr>
          <w:noProof/>
        </w:rPr>
        <w:t>Rijal</w:t>
      </w:r>
      <w:r>
        <w:rPr>
          <w:noProof/>
        </w:rPr>
        <w:t xml:space="preserve"> et al. (2008)</w:t>
      </w:r>
      <w:r>
        <w:t xml:space="preserve">, </w:t>
      </w:r>
      <w:r>
        <w:rPr>
          <w:rFonts w:cs="Times New Roman"/>
          <w:noProof/>
          <w:szCs w:val="24"/>
        </w:rPr>
        <w:t>Haldi and Robinson (2008)</w:t>
      </w:r>
      <w:r>
        <w:rPr>
          <w:rFonts w:cs="Times New Roman"/>
          <w:szCs w:val="24"/>
        </w:rPr>
        <w:t xml:space="preserve">, and </w:t>
      </w:r>
      <w:r>
        <w:rPr>
          <w:rFonts w:cs="Times New Roman"/>
          <w:noProof/>
          <w:szCs w:val="24"/>
        </w:rPr>
        <w:t>Haldi and Robinson (2009)</w:t>
      </w:r>
      <w:r>
        <w:rPr>
          <w:rFonts w:cs="Times New Roman"/>
          <w:szCs w:val="24"/>
        </w:rPr>
        <w:t>'s models were collected during both winter and summer months.</w:t>
      </w:r>
      <w:r w:rsidRPr="000539DE">
        <w:rPr>
          <w:rFonts w:cs="Times New Roman"/>
        </w:rPr>
        <w:t xml:space="preserve"> </w:t>
      </w:r>
      <w:r>
        <w:rPr>
          <w:rFonts w:cs="Times New Roman"/>
        </w:rPr>
        <w:t xml:space="preserve">Therefore, </w:t>
      </w:r>
      <w:r>
        <w:rPr>
          <w:noProof/>
        </w:rPr>
        <w:t>Yun and Steemers (2008)</w:t>
      </w:r>
      <w:r>
        <w:t xml:space="preserve">'s model should not be used </w:t>
      </w:r>
      <w:r>
        <w:rPr>
          <w:rFonts w:cs="Times New Roman"/>
        </w:rPr>
        <w:t xml:space="preserve">to predict occasional window openings during heating and shoulder seasons.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620C3" w:rsidTr="006620C3">
        <w:tc>
          <w:tcPr>
            <w:tcW w:w="9576" w:type="dxa"/>
          </w:tcPr>
          <w:p w:rsidR="001A7D3E" w:rsidRDefault="00CD5EA9">
            <w:pPr>
              <w:spacing w:line="360" w:lineRule="auto"/>
              <w:jc w:val="center"/>
              <w:rPr>
                <w:rFonts w:cs="Times New Roman"/>
                <w:sz w:val="24"/>
              </w:rPr>
            </w:pPr>
            <w:r>
              <w:rPr>
                <w:rFonts w:cs="Times New Roman"/>
                <w:noProof/>
                <w:lang w:val="en-US"/>
              </w:rPr>
              <w:drawing>
                <wp:inline distT="0" distB="0" distL="0" distR="0">
                  <wp:extent cx="4135796" cy="1545136"/>
                  <wp:effectExtent l="19050" t="0" r="0" b="0"/>
                  <wp:docPr id="1" name="Picture 1" descr="C:\Users\Burak\AppData\Local\Temp\Rar$DRa0.552\Monthly_Wind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AppData\Local\Temp\Rar$DRa0.552\Monthly_Windows.tif"/>
                          <pic:cNvPicPr>
                            <a:picLocks noChangeAspect="1" noChangeArrowheads="1"/>
                          </pic:cNvPicPr>
                        </pic:nvPicPr>
                        <pic:blipFill>
                          <a:blip r:embed="rId19" cstate="print"/>
                          <a:srcRect l="3629" t="5287" r="5893" b="52428"/>
                          <a:stretch>
                            <a:fillRect/>
                          </a:stretch>
                        </pic:blipFill>
                        <pic:spPr bwMode="auto">
                          <a:xfrm>
                            <a:off x="0" y="0"/>
                            <a:ext cx="4135796" cy="1545136"/>
                          </a:xfrm>
                          <a:prstGeom prst="rect">
                            <a:avLst/>
                          </a:prstGeom>
                          <a:noFill/>
                          <a:ln w="9525">
                            <a:noFill/>
                            <a:miter lim="800000"/>
                            <a:headEnd/>
                            <a:tailEnd/>
                          </a:ln>
                        </pic:spPr>
                      </pic:pic>
                    </a:graphicData>
                  </a:graphic>
                </wp:inline>
              </w:drawing>
            </w:r>
          </w:p>
        </w:tc>
      </w:tr>
      <w:tr w:rsidR="006620C3" w:rsidTr="006620C3">
        <w:tc>
          <w:tcPr>
            <w:tcW w:w="9576" w:type="dxa"/>
          </w:tcPr>
          <w:p w:rsidR="001A7D3E" w:rsidRDefault="00CD5EA9">
            <w:pPr>
              <w:spacing w:before="240" w:line="360" w:lineRule="auto"/>
              <w:jc w:val="center"/>
              <w:rPr>
                <w:rFonts w:cs="Times New Roman"/>
                <w:sz w:val="24"/>
              </w:rPr>
            </w:pPr>
            <w:r>
              <w:rPr>
                <w:rFonts w:cs="Times New Roman"/>
                <w:noProof/>
                <w:lang w:val="en-US"/>
              </w:rPr>
              <w:lastRenderedPageBreak/>
              <w:drawing>
                <wp:inline distT="0" distB="0" distL="0" distR="0">
                  <wp:extent cx="4135797" cy="1585182"/>
                  <wp:effectExtent l="19050" t="0" r="0" b="0"/>
                  <wp:docPr id="9" name="Picture 1" descr="C:\Users\Burak\AppData\Local\Temp\Rar$DRa0.552\Monthly_Wind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AppData\Local\Temp\Rar$DRa0.552\Monthly_Windows.tif"/>
                          <pic:cNvPicPr>
                            <a:picLocks noChangeAspect="1" noChangeArrowheads="1"/>
                          </pic:cNvPicPr>
                        </pic:nvPicPr>
                        <pic:blipFill>
                          <a:blip r:embed="rId19" cstate="print"/>
                          <a:srcRect l="3629" t="52189" r="5893" b="4466"/>
                          <a:stretch>
                            <a:fillRect/>
                          </a:stretch>
                        </pic:blipFill>
                        <pic:spPr bwMode="auto">
                          <a:xfrm>
                            <a:off x="0" y="0"/>
                            <a:ext cx="4135797" cy="1585182"/>
                          </a:xfrm>
                          <a:prstGeom prst="rect">
                            <a:avLst/>
                          </a:prstGeom>
                          <a:noFill/>
                          <a:ln w="9525">
                            <a:noFill/>
                            <a:miter lim="800000"/>
                            <a:headEnd/>
                            <a:tailEnd/>
                          </a:ln>
                        </pic:spPr>
                      </pic:pic>
                    </a:graphicData>
                  </a:graphic>
                </wp:inline>
              </w:drawing>
            </w:r>
          </w:p>
        </w:tc>
      </w:tr>
    </w:tbl>
    <w:p w:rsidR="0026232C" w:rsidRDefault="00BF25DE">
      <w:pPr>
        <w:jc w:val="both"/>
        <w:rPr>
          <w:szCs w:val="24"/>
        </w:rPr>
      </w:pPr>
      <w:bookmarkStart w:id="49" w:name="_Ref403557719"/>
      <w:bookmarkStart w:id="50" w:name="_Ref403597424"/>
      <w:bookmarkStart w:id="51" w:name="_Toc415674254"/>
      <w:bookmarkStart w:id="52" w:name="_Toc415769242"/>
      <w:bookmarkStart w:id="53" w:name="_Toc415833357"/>
      <w:bookmarkStart w:id="54" w:name="_Toc415833414"/>
      <w:bookmarkStart w:id="55" w:name="_Toc415833480"/>
      <w:bookmarkStart w:id="56" w:name="_Toc415853732"/>
      <w:bookmarkStart w:id="57" w:name="_Toc415940701"/>
      <w:bookmarkStart w:id="58" w:name="_Toc421178262"/>
      <w:bookmarkStart w:id="59" w:name="_Toc421178571"/>
      <w:r w:rsidRPr="00303BF6">
        <w:rPr>
          <w:szCs w:val="24"/>
        </w:rPr>
        <w:t xml:space="preserve">Figure </w:t>
      </w:r>
      <w:r w:rsidR="00F84CB0" w:rsidRPr="00303BF6">
        <w:rPr>
          <w:szCs w:val="24"/>
        </w:rPr>
        <w:fldChar w:fldCharType="begin"/>
      </w:r>
      <w:r w:rsidRPr="00303BF6">
        <w:rPr>
          <w:szCs w:val="24"/>
        </w:rPr>
        <w:instrText xml:space="preserve"> SEQ Figure \* ARABIC </w:instrText>
      </w:r>
      <w:r w:rsidR="00F84CB0" w:rsidRPr="00303BF6">
        <w:rPr>
          <w:szCs w:val="24"/>
        </w:rPr>
        <w:fldChar w:fldCharType="separate"/>
      </w:r>
      <w:r>
        <w:rPr>
          <w:noProof/>
          <w:szCs w:val="24"/>
        </w:rPr>
        <w:t>4</w:t>
      </w:r>
      <w:r w:rsidR="00F84CB0" w:rsidRPr="00303BF6">
        <w:rPr>
          <w:szCs w:val="24"/>
        </w:rPr>
        <w:fldChar w:fldCharType="end"/>
      </w:r>
      <w:bookmarkEnd w:id="49"/>
      <w:r w:rsidRPr="00303BF6">
        <w:rPr>
          <w:szCs w:val="24"/>
        </w:rPr>
        <w:t xml:space="preserve">: </w:t>
      </w:r>
      <w:bookmarkEnd w:id="50"/>
      <w:r w:rsidRPr="00303BF6">
        <w:rPr>
          <w:szCs w:val="24"/>
        </w:rPr>
        <w:t>Monthly windo</w:t>
      </w:r>
      <w:r w:rsidR="00051A6E">
        <w:rPr>
          <w:szCs w:val="24"/>
        </w:rPr>
        <w:t xml:space="preserve">w use predictions by (a) </w:t>
      </w:r>
      <w:proofErr w:type="spellStart"/>
      <w:r w:rsidR="00051A6E">
        <w:rPr>
          <w:szCs w:val="24"/>
        </w:rPr>
        <w:t>Rijal</w:t>
      </w:r>
      <w:proofErr w:type="spellEnd"/>
      <w:r w:rsidR="00051A6E">
        <w:rPr>
          <w:szCs w:val="24"/>
        </w:rPr>
        <w:t xml:space="preserve"> </w:t>
      </w:r>
      <w:r w:rsidRPr="00303BF6">
        <w:rPr>
          <w:szCs w:val="24"/>
        </w:rPr>
        <w:t xml:space="preserve">et al. (2008)'s model, (b) </w:t>
      </w:r>
      <w:proofErr w:type="spellStart"/>
      <w:r w:rsidRPr="00303BF6">
        <w:rPr>
          <w:szCs w:val="24"/>
        </w:rPr>
        <w:t>Yun</w:t>
      </w:r>
      <w:proofErr w:type="spellEnd"/>
      <w:r w:rsidRPr="00303BF6">
        <w:rPr>
          <w:szCs w:val="24"/>
        </w:rPr>
        <w:t xml:space="preserve"> and </w:t>
      </w:r>
      <w:proofErr w:type="spellStart"/>
      <w:r w:rsidRPr="00303BF6">
        <w:rPr>
          <w:szCs w:val="24"/>
        </w:rPr>
        <w:t>Steemers</w:t>
      </w:r>
      <w:proofErr w:type="spellEnd"/>
      <w:r w:rsidRPr="00303BF6">
        <w:rPr>
          <w:szCs w:val="24"/>
        </w:rPr>
        <w:t xml:space="preserve"> (2008)'s model, (c) </w:t>
      </w:r>
      <w:proofErr w:type="spellStart"/>
      <w:r w:rsidRPr="00303BF6">
        <w:rPr>
          <w:szCs w:val="24"/>
        </w:rPr>
        <w:t>Haldi</w:t>
      </w:r>
      <w:proofErr w:type="spellEnd"/>
      <w:r w:rsidRPr="00303BF6">
        <w:rPr>
          <w:szCs w:val="24"/>
        </w:rPr>
        <w:t xml:space="preserve"> and Robinson (2009)'s model and (d) </w:t>
      </w:r>
      <w:proofErr w:type="spellStart"/>
      <w:r w:rsidRPr="00303BF6">
        <w:rPr>
          <w:szCs w:val="24"/>
        </w:rPr>
        <w:t>Haldi</w:t>
      </w:r>
      <w:proofErr w:type="spellEnd"/>
      <w:r w:rsidRPr="00303BF6">
        <w:rPr>
          <w:szCs w:val="24"/>
        </w:rPr>
        <w:t xml:space="preserve"> and Robinson (2008)'s model.</w:t>
      </w:r>
      <w:bookmarkEnd w:id="51"/>
      <w:bookmarkEnd w:id="52"/>
      <w:bookmarkEnd w:id="53"/>
      <w:bookmarkEnd w:id="54"/>
      <w:bookmarkEnd w:id="55"/>
      <w:bookmarkEnd w:id="56"/>
      <w:bookmarkEnd w:id="57"/>
      <w:r>
        <w:rPr>
          <w:szCs w:val="24"/>
        </w:rPr>
        <w:t xml:space="preserve"> The straight lines represent the mean and the error bars represent the standard deviation.</w:t>
      </w:r>
      <w:bookmarkEnd w:id="58"/>
      <w:bookmarkEnd w:id="59"/>
    </w:p>
    <w:p w:rsidR="00BF25DE" w:rsidRDefault="00BF25DE" w:rsidP="00051A6E">
      <w:pPr>
        <w:spacing w:after="0" w:line="360" w:lineRule="auto"/>
        <w:jc w:val="both"/>
        <w:rPr>
          <w:rFonts w:cs="Times New Roman"/>
          <w:szCs w:val="24"/>
        </w:rPr>
      </w:pPr>
      <w:r>
        <w:rPr>
          <w:rFonts w:cs="Times New Roman"/>
          <w:szCs w:val="24"/>
        </w:rPr>
        <w:t xml:space="preserve">Figure 5 presents the annual fraction of the time-steps when the window remains open. Results indicate that </w:t>
      </w:r>
      <w:r>
        <w:t xml:space="preserve">the median </w:t>
      </w:r>
      <w:r w:rsidR="003A5CC3">
        <w:t>simulated occupant</w:t>
      </w:r>
      <w:r>
        <w:t xml:space="preserve"> with </w:t>
      </w:r>
      <w:r w:rsidR="00051A6E">
        <w:rPr>
          <w:rFonts w:cs="Times New Roman"/>
          <w:noProof/>
          <w:szCs w:val="24"/>
        </w:rPr>
        <w:t xml:space="preserve">Rijal </w:t>
      </w:r>
      <w:r>
        <w:rPr>
          <w:rFonts w:cs="Times New Roman"/>
          <w:noProof/>
          <w:szCs w:val="24"/>
        </w:rPr>
        <w:t>et al. (2008)</w:t>
      </w:r>
      <w:r>
        <w:rPr>
          <w:rFonts w:cs="Times New Roman"/>
          <w:szCs w:val="24"/>
        </w:rPr>
        <w:t xml:space="preserve">'s model </w:t>
      </w:r>
      <w:r>
        <w:t>kept the windows open by about 5% of the time</w:t>
      </w:r>
      <w:r>
        <w:rPr>
          <w:rFonts w:cs="Times New Roman"/>
          <w:szCs w:val="24"/>
        </w:rPr>
        <w:t xml:space="preserve">. For the same model, the median of the upper quartile was at 35%. This suggests that the predicted window opening rate shows a great variance between different simulation cases (i.e., </w:t>
      </w:r>
      <w:r w:rsidR="003A5CC3">
        <w:rPr>
          <w:rFonts w:cs="Times New Roman"/>
          <w:szCs w:val="24"/>
        </w:rPr>
        <w:t>simulated occupant</w:t>
      </w:r>
      <w:r>
        <w:rPr>
          <w:rFonts w:cs="Times New Roman"/>
          <w:szCs w:val="24"/>
        </w:rPr>
        <w:t xml:space="preserve">s). In contrast, </w:t>
      </w:r>
      <w:r>
        <w:rPr>
          <w:noProof/>
        </w:rPr>
        <w:t>Yun and Steemers (2008)</w:t>
      </w:r>
      <w:r>
        <w:t xml:space="preserve">, </w:t>
      </w:r>
      <w:r>
        <w:rPr>
          <w:rFonts w:cs="Times New Roman"/>
          <w:noProof/>
          <w:szCs w:val="24"/>
        </w:rPr>
        <w:t>Haldi and Robinson (2008)</w:t>
      </w:r>
      <w:r>
        <w:rPr>
          <w:rFonts w:cs="Times New Roman"/>
          <w:szCs w:val="24"/>
        </w:rPr>
        <w:t xml:space="preserve">, and </w:t>
      </w:r>
      <w:r>
        <w:rPr>
          <w:rFonts w:cs="Times New Roman"/>
          <w:noProof/>
          <w:szCs w:val="24"/>
        </w:rPr>
        <w:t>Haldi and Robinson (2009)</w:t>
      </w:r>
      <w:r>
        <w:rPr>
          <w:rFonts w:cs="Times New Roman"/>
          <w:szCs w:val="24"/>
        </w:rPr>
        <w:t xml:space="preserve">'s models predicted a smaller individual variance in window opening behaviour. </w:t>
      </w:r>
    </w:p>
    <w:p w:rsidR="00BF25DE" w:rsidRPr="00303BF6" w:rsidRDefault="00BF25DE" w:rsidP="00051A6E">
      <w:pPr>
        <w:spacing w:after="0"/>
        <w:jc w:val="center"/>
        <w:rPr>
          <w:rFonts w:cs="Times New Roman"/>
          <w:szCs w:val="24"/>
        </w:rPr>
      </w:pPr>
      <w:r w:rsidRPr="00303BF6">
        <w:rPr>
          <w:rFonts w:cs="Times New Roman"/>
          <w:noProof/>
          <w:szCs w:val="24"/>
          <w:lang w:val="en-US"/>
        </w:rPr>
        <w:drawing>
          <wp:inline distT="0" distB="0" distL="0" distR="0">
            <wp:extent cx="4192529" cy="2416152"/>
            <wp:effectExtent l="19050" t="0" r="0" b="0"/>
            <wp:docPr id="15" name="Picture 1" descr="C:\Users\Burak\Dropbox\Occupant_Modelling\Wind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Windows.tif"/>
                    <pic:cNvPicPr>
                      <a:picLocks noChangeAspect="1" noChangeArrowheads="1"/>
                    </pic:cNvPicPr>
                  </pic:nvPicPr>
                  <pic:blipFill>
                    <a:blip r:embed="rId20" cstate="print"/>
                    <a:srcRect l="842" t="69178" r="6526" b="1421"/>
                    <a:stretch>
                      <a:fillRect/>
                    </a:stretch>
                  </pic:blipFill>
                  <pic:spPr bwMode="auto">
                    <a:xfrm>
                      <a:off x="0" y="0"/>
                      <a:ext cx="4192529" cy="2416152"/>
                    </a:xfrm>
                    <a:prstGeom prst="rect">
                      <a:avLst/>
                    </a:prstGeom>
                    <a:noFill/>
                    <a:ln w="9525">
                      <a:noFill/>
                      <a:miter lim="800000"/>
                      <a:headEnd/>
                      <a:tailEnd/>
                    </a:ln>
                  </pic:spPr>
                </pic:pic>
              </a:graphicData>
            </a:graphic>
          </wp:inline>
        </w:drawing>
      </w:r>
    </w:p>
    <w:p w:rsidR="001A7D3E" w:rsidRDefault="00BF25DE">
      <w:pPr>
        <w:spacing w:after="0"/>
        <w:rPr>
          <w:rFonts w:cs="Times New Roman"/>
          <w:szCs w:val="24"/>
        </w:rPr>
      </w:pPr>
      <w:bookmarkStart w:id="60" w:name="_Toc415674255"/>
      <w:bookmarkStart w:id="61" w:name="_Toc415769243"/>
      <w:bookmarkStart w:id="62" w:name="_Toc415833358"/>
      <w:bookmarkStart w:id="63" w:name="_Toc415833415"/>
      <w:bookmarkStart w:id="64" w:name="_Toc415833481"/>
      <w:bookmarkStart w:id="65" w:name="_Toc415853733"/>
      <w:bookmarkStart w:id="66" w:name="_Toc415940702"/>
      <w:bookmarkStart w:id="67" w:name="_Toc421178263"/>
      <w:bookmarkStart w:id="68" w:name="_Toc421178572"/>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5</w:t>
      </w:r>
      <w:r w:rsidR="00F84CB0" w:rsidRPr="00303BF6">
        <w:rPr>
          <w:rFonts w:cs="Times New Roman"/>
          <w:szCs w:val="24"/>
        </w:rPr>
        <w:fldChar w:fldCharType="end"/>
      </w:r>
      <w:r w:rsidRPr="00303BF6">
        <w:rPr>
          <w:rFonts w:cs="Times New Roman"/>
          <w:szCs w:val="24"/>
        </w:rPr>
        <w:t>: Annual window use predictions.</w:t>
      </w:r>
      <w:bookmarkEnd w:id="60"/>
      <w:bookmarkEnd w:id="61"/>
      <w:bookmarkEnd w:id="62"/>
      <w:bookmarkEnd w:id="63"/>
      <w:bookmarkEnd w:id="64"/>
      <w:bookmarkEnd w:id="65"/>
      <w:bookmarkEnd w:id="66"/>
      <w:bookmarkEnd w:id="67"/>
      <w:bookmarkEnd w:id="68"/>
    </w:p>
    <w:p w:rsidR="001A7D3E" w:rsidRDefault="00BF25DE">
      <w:pPr>
        <w:spacing w:after="0" w:line="360" w:lineRule="auto"/>
        <w:jc w:val="both"/>
        <w:rPr>
          <w:rFonts w:cs="Times New Roman"/>
          <w:szCs w:val="24"/>
        </w:rPr>
      </w:pPr>
      <w:r>
        <w:rPr>
          <w:rFonts w:cs="Times New Roman"/>
          <w:szCs w:val="24"/>
        </w:rPr>
        <w:t xml:space="preserve">The window opening behaviour plays an unprecedented role over the space heating and cooling loads. If occupants choose to open their windows when the ambient conditions are advantageous, this will reduce the space cooling load. If they choose to open their windows during the heating season, this will increase the space heating load. To assess the design decision support </w:t>
      </w:r>
      <w:r>
        <w:rPr>
          <w:rFonts w:cs="Times New Roman"/>
          <w:szCs w:val="24"/>
        </w:rPr>
        <w:lastRenderedPageBreak/>
        <w:t xml:space="preserve">consistency, the space heating and cooling loads of the BPS model described in section 2.4 were estimated with four different window opening models and with fixed windows. Results shown in Figure 6 indicates that when occupant control of operable windows was modelled with </w:t>
      </w:r>
      <w:r w:rsidR="00051A6E">
        <w:rPr>
          <w:noProof/>
        </w:rPr>
        <w:t>Rijal</w:t>
      </w:r>
      <w:r>
        <w:rPr>
          <w:noProof/>
        </w:rPr>
        <w:t xml:space="preserve"> et al. (2008)</w:t>
      </w:r>
      <w:r>
        <w:t xml:space="preserve">, </w:t>
      </w:r>
      <w:r>
        <w:rPr>
          <w:rFonts w:cs="Times New Roman"/>
          <w:noProof/>
          <w:szCs w:val="24"/>
        </w:rPr>
        <w:t>Haldi and Robinson (2008)</w:t>
      </w:r>
      <w:r>
        <w:rPr>
          <w:rFonts w:cs="Times New Roman"/>
          <w:szCs w:val="24"/>
        </w:rPr>
        <w:t xml:space="preserve"> or </w:t>
      </w:r>
      <w:r>
        <w:rPr>
          <w:rFonts w:cs="Times New Roman"/>
          <w:noProof/>
          <w:szCs w:val="24"/>
        </w:rPr>
        <w:t>Haldi and Robinson (2009)</w:t>
      </w:r>
      <w:r>
        <w:rPr>
          <w:rFonts w:cs="Times New Roman"/>
          <w:szCs w:val="24"/>
        </w:rPr>
        <w:t xml:space="preserve">'s models, the space heating load was predicted to increase by about 4 to 8% and the space cooling load was predicted to decrease by about 15 to 20%. When </w:t>
      </w:r>
      <w:r>
        <w:rPr>
          <w:noProof/>
        </w:rPr>
        <w:t>Yun and Steemers (2008)</w:t>
      </w:r>
      <w:r>
        <w:t>'s model</w:t>
      </w:r>
      <w:r>
        <w:rPr>
          <w:rFonts w:cs="Times New Roman"/>
          <w:szCs w:val="24"/>
        </w:rPr>
        <w:t xml:space="preserve"> was employed, the operable windows were predicted to increase the heating load by about 15% and to decrease the cooling load by about 40%. Although the impact of occupant use of operable windows appears to change between different window use models, all four models consistently predicted that the reduction in cooling loads with the use of operable windows will be about three times larger than the increase in heating loads for this particular BPS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F25DE" w:rsidRPr="00303BF6" w:rsidTr="00051A6E">
        <w:tc>
          <w:tcPr>
            <w:tcW w:w="9576" w:type="dxa"/>
          </w:tcPr>
          <w:p w:rsidR="001A7D3E" w:rsidRDefault="00BF25DE">
            <w:pPr>
              <w:jc w:val="center"/>
              <w:rPr>
                <w:rFonts w:cs="Times New Roman"/>
                <w:sz w:val="24"/>
                <w:szCs w:val="24"/>
              </w:rPr>
            </w:pPr>
            <w:r w:rsidRPr="00303BF6">
              <w:rPr>
                <w:rFonts w:cs="Times New Roman"/>
                <w:noProof/>
                <w:szCs w:val="24"/>
                <w:lang w:val="en-US"/>
              </w:rPr>
              <w:drawing>
                <wp:inline distT="0" distB="0" distL="0" distR="0">
                  <wp:extent cx="3490468" cy="2529846"/>
                  <wp:effectExtent l="19050" t="0" r="0" b="0"/>
                  <wp:docPr id="18" name="Picture 1" descr="C:\Users\Burak\Dropbox\Occupant_Modelling\Wind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Windows.tif"/>
                          <pic:cNvPicPr>
                            <a:picLocks noChangeAspect="1" noChangeArrowheads="1"/>
                          </pic:cNvPicPr>
                        </pic:nvPicPr>
                        <pic:blipFill>
                          <a:blip r:embed="rId20" cstate="print"/>
                          <a:srcRect l="9895" t="1259" r="4421" b="64550"/>
                          <a:stretch>
                            <a:fillRect/>
                          </a:stretch>
                        </pic:blipFill>
                        <pic:spPr bwMode="auto">
                          <a:xfrm>
                            <a:off x="0" y="0"/>
                            <a:ext cx="3490468" cy="2529846"/>
                          </a:xfrm>
                          <a:prstGeom prst="rect">
                            <a:avLst/>
                          </a:prstGeom>
                          <a:noFill/>
                          <a:ln w="9525">
                            <a:noFill/>
                            <a:miter lim="800000"/>
                            <a:headEnd/>
                            <a:tailEnd/>
                          </a:ln>
                        </pic:spPr>
                      </pic:pic>
                    </a:graphicData>
                  </a:graphic>
                </wp:inline>
              </w:drawing>
            </w:r>
          </w:p>
        </w:tc>
      </w:tr>
      <w:tr w:rsidR="00BF25DE" w:rsidRPr="00303BF6" w:rsidTr="00051A6E">
        <w:tc>
          <w:tcPr>
            <w:tcW w:w="9576" w:type="dxa"/>
          </w:tcPr>
          <w:p w:rsidR="001A7D3E" w:rsidRDefault="00BF25DE">
            <w:pPr>
              <w:jc w:val="center"/>
              <w:rPr>
                <w:rFonts w:cs="Times New Roman"/>
                <w:szCs w:val="24"/>
              </w:rPr>
            </w:pPr>
            <w:r w:rsidRPr="00303BF6">
              <w:rPr>
                <w:rFonts w:cs="Times New Roman"/>
                <w:noProof/>
                <w:szCs w:val="24"/>
                <w:lang w:val="en-US"/>
              </w:rPr>
              <w:drawing>
                <wp:inline distT="0" distB="0" distL="0" distR="0">
                  <wp:extent cx="3507618" cy="2295515"/>
                  <wp:effectExtent l="19050" t="0" r="0" b="0"/>
                  <wp:docPr id="17" name="Picture 1" descr="C:\Users\Burak\Dropbox\Occupant_Modelling\Wind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Windows.tif"/>
                          <pic:cNvPicPr>
                            <a:picLocks noChangeAspect="1" noChangeArrowheads="1"/>
                          </pic:cNvPicPr>
                        </pic:nvPicPr>
                        <pic:blipFill>
                          <a:blip r:embed="rId20" cstate="print"/>
                          <a:srcRect l="8421" t="37313" r="5474" b="31663"/>
                          <a:stretch>
                            <a:fillRect/>
                          </a:stretch>
                        </pic:blipFill>
                        <pic:spPr bwMode="auto">
                          <a:xfrm>
                            <a:off x="0" y="0"/>
                            <a:ext cx="3507618" cy="2295515"/>
                          </a:xfrm>
                          <a:prstGeom prst="rect">
                            <a:avLst/>
                          </a:prstGeom>
                          <a:noFill/>
                          <a:ln w="9525">
                            <a:noFill/>
                            <a:miter lim="800000"/>
                            <a:headEnd/>
                            <a:tailEnd/>
                          </a:ln>
                        </pic:spPr>
                      </pic:pic>
                    </a:graphicData>
                  </a:graphic>
                </wp:inline>
              </w:drawing>
            </w:r>
          </w:p>
        </w:tc>
      </w:tr>
    </w:tbl>
    <w:p w:rsidR="001A7D3E" w:rsidRDefault="00BF25DE">
      <w:pPr>
        <w:spacing w:line="240" w:lineRule="auto"/>
        <w:rPr>
          <w:rFonts w:cs="Times New Roman"/>
          <w:szCs w:val="24"/>
        </w:rPr>
      </w:pPr>
      <w:bookmarkStart w:id="69" w:name="_Toc415674256"/>
      <w:bookmarkStart w:id="70" w:name="_Toc415769244"/>
      <w:bookmarkStart w:id="71" w:name="_Toc415833359"/>
      <w:bookmarkStart w:id="72" w:name="_Toc415833416"/>
      <w:bookmarkStart w:id="73" w:name="_Toc415833482"/>
      <w:bookmarkStart w:id="74" w:name="_Toc415853734"/>
      <w:bookmarkStart w:id="75" w:name="_Toc415940703"/>
      <w:bookmarkStart w:id="76" w:name="_Toc421178264"/>
      <w:bookmarkStart w:id="77" w:name="_Toc421178573"/>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6</w:t>
      </w:r>
      <w:r w:rsidR="00F84CB0" w:rsidRPr="00303BF6">
        <w:rPr>
          <w:rFonts w:cs="Times New Roman"/>
          <w:szCs w:val="24"/>
        </w:rPr>
        <w:fldChar w:fldCharType="end"/>
      </w:r>
      <w:r w:rsidRPr="00303BF6">
        <w:rPr>
          <w:rFonts w:cs="Times New Roman"/>
          <w:szCs w:val="24"/>
        </w:rPr>
        <w:t>: Heating and cooling load predictions by employing different window use models.</w:t>
      </w:r>
      <w:bookmarkEnd w:id="69"/>
      <w:bookmarkEnd w:id="70"/>
      <w:bookmarkEnd w:id="71"/>
      <w:bookmarkEnd w:id="72"/>
      <w:bookmarkEnd w:id="73"/>
      <w:bookmarkEnd w:id="74"/>
      <w:bookmarkEnd w:id="75"/>
      <w:bookmarkEnd w:id="76"/>
      <w:bookmarkEnd w:id="77"/>
    </w:p>
    <w:p w:rsidR="00BF25DE" w:rsidRDefault="00BF25DE" w:rsidP="00051A6E">
      <w:pPr>
        <w:pStyle w:val="Heading1"/>
        <w:numPr>
          <w:ilvl w:val="1"/>
          <w:numId w:val="1"/>
        </w:numPr>
        <w:spacing w:before="0" w:line="360" w:lineRule="auto"/>
        <w:rPr>
          <w:rFonts w:cs="Times New Roman"/>
          <w:sz w:val="24"/>
          <w:szCs w:val="24"/>
        </w:rPr>
      </w:pPr>
      <w:r>
        <w:rPr>
          <w:rFonts w:cs="Times New Roman"/>
          <w:sz w:val="24"/>
          <w:szCs w:val="24"/>
        </w:rPr>
        <w:lastRenderedPageBreak/>
        <w:t>Electric lighting and blind use models</w:t>
      </w:r>
    </w:p>
    <w:p w:rsidR="00BF25DE" w:rsidRDefault="00BF25DE" w:rsidP="00051A6E">
      <w:pPr>
        <w:spacing w:after="0" w:line="360" w:lineRule="auto"/>
        <w:jc w:val="both"/>
        <w:rPr>
          <w:rFonts w:cs="Times New Roman"/>
          <w:szCs w:val="24"/>
        </w:rPr>
      </w:pPr>
      <w:r>
        <w:rPr>
          <w:rFonts w:cs="Times New Roman"/>
          <w:szCs w:val="24"/>
        </w:rPr>
        <w:t xml:space="preserve">The electric lighting models input the </w:t>
      </w:r>
      <w:proofErr w:type="spellStart"/>
      <w:r>
        <w:rPr>
          <w:rFonts w:cs="Times New Roman"/>
          <w:szCs w:val="24"/>
        </w:rPr>
        <w:t>workplane</w:t>
      </w:r>
      <w:proofErr w:type="spellEnd"/>
      <w:r>
        <w:rPr>
          <w:rFonts w:cs="Times New Roman"/>
          <w:szCs w:val="24"/>
        </w:rPr>
        <w:t xml:space="preserve"> </w:t>
      </w:r>
      <w:proofErr w:type="spellStart"/>
      <w:r>
        <w:rPr>
          <w:rFonts w:cs="Times New Roman"/>
          <w:szCs w:val="24"/>
        </w:rPr>
        <w:t>illuminance</w:t>
      </w:r>
      <w:proofErr w:type="spellEnd"/>
      <w:r>
        <w:rPr>
          <w:rFonts w:cs="Times New Roman"/>
          <w:szCs w:val="24"/>
        </w:rPr>
        <w:t xml:space="preserve"> which is also influenced by the position of the blinds.</w:t>
      </w:r>
      <w:r w:rsidRPr="008B717D">
        <w:rPr>
          <w:rFonts w:cs="Times New Roman"/>
          <w:szCs w:val="24"/>
        </w:rPr>
        <w:t xml:space="preserve"> </w:t>
      </w:r>
      <w:r w:rsidRPr="007116D6">
        <w:rPr>
          <w:rFonts w:cs="Times New Roman"/>
          <w:szCs w:val="24"/>
        </w:rPr>
        <w:t xml:space="preserve">As a result, a </w:t>
      </w:r>
      <w:r w:rsidR="003A5CC3">
        <w:rPr>
          <w:rFonts w:cs="Times New Roman"/>
          <w:szCs w:val="24"/>
        </w:rPr>
        <w:t>simulated occupant</w:t>
      </w:r>
      <w:r w:rsidRPr="007116D6">
        <w:rPr>
          <w:rFonts w:cs="Times New Roman"/>
          <w:szCs w:val="24"/>
        </w:rPr>
        <w:t>'s control of lights can be influenced by the choice of both blinds and light</w:t>
      </w:r>
      <w:r>
        <w:rPr>
          <w:rFonts w:cs="Times New Roman"/>
          <w:szCs w:val="24"/>
        </w:rPr>
        <w:t>ing</w:t>
      </w:r>
      <w:r w:rsidRPr="007116D6">
        <w:rPr>
          <w:rFonts w:cs="Times New Roman"/>
          <w:szCs w:val="24"/>
        </w:rPr>
        <w:t xml:space="preserve"> use model. Therefore, for three different blinds and </w:t>
      </w:r>
      <w:r>
        <w:rPr>
          <w:rFonts w:cs="Times New Roman"/>
          <w:szCs w:val="24"/>
        </w:rPr>
        <w:t>four</w:t>
      </w:r>
      <w:r w:rsidRPr="007116D6">
        <w:rPr>
          <w:rFonts w:cs="Times New Roman"/>
          <w:szCs w:val="24"/>
        </w:rPr>
        <w:t xml:space="preserve"> different light use models </w:t>
      </w:r>
      <w:r>
        <w:rPr>
          <w:rFonts w:cs="Times New Roman"/>
          <w:szCs w:val="24"/>
        </w:rPr>
        <w:t>twelve</w:t>
      </w:r>
      <w:r w:rsidRPr="007116D6">
        <w:rPr>
          <w:rFonts w:cs="Times New Roman"/>
          <w:szCs w:val="24"/>
        </w:rPr>
        <w:t xml:space="preserve"> sets of </w:t>
      </w:r>
      <w:r>
        <w:rPr>
          <w:rFonts w:cs="Times New Roman"/>
          <w:szCs w:val="24"/>
        </w:rPr>
        <w:t xml:space="preserve">100 </w:t>
      </w:r>
      <w:r w:rsidR="003A5CC3">
        <w:rPr>
          <w:rFonts w:cs="Times New Roman"/>
          <w:szCs w:val="24"/>
        </w:rPr>
        <w:t>simulated occupant</w:t>
      </w:r>
      <w:r w:rsidRPr="007116D6">
        <w:rPr>
          <w:rFonts w:cs="Times New Roman"/>
          <w:szCs w:val="24"/>
        </w:rPr>
        <w:t>s were created</w:t>
      </w:r>
      <w:r>
        <w:rPr>
          <w:rFonts w:cs="Times New Roman"/>
          <w:szCs w:val="24"/>
        </w:rPr>
        <w:t xml:space="preserve"> (see Table 9)</w:t>
      </w:r>
      <w:r w:rsidRPr="007116D6">
        <w:rPr>
          <w:rFonts w:cs="Times New Roman"/>
          <w:szCs w:val="24"/>
        </w:rPr>
        <w:t>.</w:t>
      </w:r>
      <w:r>
        <w:rPr>
          <w:rFonts w:cs="Times New Roman"/>
          <w:szCs w:val="24"/>
        </w:rPr>
        <w:t xml:space="preserve"> </w:t>
      </w:r>
    </w:p>
    <w:p w:rsidR="00BF25DE" w:rsidRDefault="00BF25DE" w:rsidP="00051A6E">
      <w:pPr>
        <w:spacing w:line="360" w:lineRule="auto"/>
        <w:jc w:val="both"/>
        <w:rPr>
          <w:rFonts w:cs="Times New Roman"/>
          <w:szCs w:val="24"/>
        </w:rPr>
      </w:pPr>
      <w:r>
        <w:t>Figure 7</w:t>
      </w:r>
      <w:r>
        <w:rPr>
          <w:rFonts w:cs="Times New Roman"/>
          <w:szCs w:val="24"/>
        </w:rPr>
        <w:t xml:space="preserve"> shows that the mean hourly lighting load predictions with the occupant models do not follow a consistent pattern. When </w:t>
      </w:r>
      <w:r>
        <w:rPr>
          <w:rFonts w:cs="Times New Roman"/>
          <w:noProof/>
          <w:szCs w:val="24"/>
        </w:rPr>
        <w:t>Hunt (1979)</w:t>
      </w:r>
      <w:r>
        <w:rPr>
          <w:rFonts w:cs="Times New Roman"/>
          <w:szCs w:val="24"/>
        </w:rPr>
        <w:t xml:space="preserve">'s light switch-on model is employed, the lighting load tends to peak earlier in the day; whereas when </w:t>
      </w:r>
      <w:r>
        <w:rPr>
          <w:rFonts w:cs="Times New Roman"/>
          <w:noProof/>
          <w:szCs w:val="24"/>
        </w:rPr>
        <w:t>Reinhart (2004)</w:t>
      </w:r>
      <w:r>
        <w:rPr>
          <w:rFonts w:cs="Times New Roman"/>
          <w:szCs w:val="24"/>
        </w:rPr>
        <w:t xml:space="preserve">'s light switch-on model was employed the lighting load tends to peak later in the day (at arrival after the last coffee break). When </w:t>
      </w:r>
      <w:r>
        <w:rPr>
          <w:rFonts w:cs="Times New Roman"/>
          <w:noProof/>
          <w:szCs w:val="24"/>
        </w:rPr>
        <w:t>Reinhart (2004)</w:t>
      </w:r>
      <w:r>
        <w:rPr>
          <w:rFonts w:cs="Times New Roman"/>
          <w:szCs w:val="24"/>
        </w:rPr>
        <w:t xml:space="preserve">'s light switch-off model was employed, occupants tend to turn off their lights prior to departure in about 95% of the times. In contrast, when </w:t>
      </w:r>
      <w:r w:rsidR="00051A6E">
        <w:rPr>
          <w:rFonts w:cs="Times New Roman"/>
          <w:noProof/>
          <w:szCs w:val="24"/>
        </w:rPr>
        <w:t>Boyce</w:t>
      </w:r>
      <w:r>
        <w:rPr>
          <w:rFonts w:cs="Times New Roman"/>
          <w:noProof/>
          <w:szCs w:val="24"/>
        </w:rPr>
        <w:t xml:space="preserve"> et al. (2006)</w:t>
      </w:r>
      <w:r>
        <w:rPr>
          <w:rFonts w:cs="Times New Roman"/>
          <w:szCs w:val="24"/>
        </w:rPr>
        <w:t xml:space="preserve">'s model is employed, </w:t>
      </w:r>
      <w:r w:rsidR="003A5CC3">
        <w:rPr>
          <w:rFonts w:cs="Times New Roman"/>
          <w:szCs w:val="24"/>
        </w:rPr>
        <w:t>simulated occupant</w:t>
      </w:r>
      <w:r>
        <w:rPr>
          <w:rFonts w:cs="Times New Roman"/>
          <w:szCs w:val="24"/>
        </w:rPr>
        <w:t xml:space="preserve">s exhibit a greater tendency to forget their lights on prior to departure. This can be explained with the fact that occupants defined by the </w:t>
      </w:r>
      <w:r w:rsidR="00051A6E">
        <w:rPr>
          <w:rFonts w:cs="Times New Roman"/>
          <w:noProof/>
          <w:szCs w:val="24"/>
        </w:rPr>
        <w:t xml:space="preserve">Boyce </w:t>
      </w:r>
      <w:r>
        <w:rPr>
          <w:rFonts w:cs="Times New Roman"/>
          <w:noProof/>
          <w:szCs w:val="24"/>
        </w:rPr>
        <w:t>et al. (2006)</w:t>
      </w:r>
      <w:r>
        <w:rPr>
          <w:rFonts w:cs="Times New Roman"/>
          <w:szCs w:val="24"/>
        </w:rPr>
        <w:t xml:space="preserve">'s model decide whether or not to turn off their lights based on the </w:t>
      </w:r>
      <w:proofErr w:type="spellStart"/>
      <w:r>
        <w:rPr>
          <w:rFonts w:cs="Times New Roman"/>
          <w:szCs w:val="24"/>
        </w:rPr>
        <w:t>workplane</w:t>
      </w:r>
      <w:proofErr w:type="spellEnd"/>
      <w:r>
        <w:rPr>
          <w:rFonts w:cs="Times New Roman"/>
          <w:szCs w:val="24"/>
        </w:rPr>
        <w:t xml:space="preserve"> </w:t>
      </w:r>
      <w:proofErr w:type="spellStart"/>
      <w:r>
        <w:rPr>
          <w:rFonts w:cs="Times New Roman"/>
          <w:szCs w:val="24"/>
        </w:rPr>
        <w:t>illuminance</w:t>
      </w:r>
      <w:proofErr w:type="spellEnd"/>
      <w:r>
        <w:rPr>
          <w:rFonts w:cs="Times New Roman"/>
          <w:szCs w:val="24"/>
        </w:rPr>
        <w:t xml:space="preserve"> ― which tends to be not high enough to trigger the light switch-off behaviour</w:t>
      </w:r>
      <w:r w:rsidR="00FA4ABF">
        <w:rPr>
          <w:rFonts w:cs="Times New Roman"/>
          <w:szCs w:val="24"/>
        </w:rPr>
        <w:t xml:space="preserve"> upon departure</w:t>
      </w:r>
      <w:r>
        <w:rPr>
          <w:rFonts w:cs="Times New Roman"/>
          <w:szCs w:val="24"/>
        </w:rPr>
        <w:t>. In line with</w:t>
      </w:r>
      <w:r w:rsidRPr="00331F95">
        <w:rPr>
          <w:rFonts w:cs="Times New Roman"/>
          <w:szCs w:val="24"/>
        </w:rPr>
        <w:t xml:space="preserve"> </w:t>
      </w:r>
      <w:r>
        <w:rPr>
          <w:rFonts w:cs="Times New Roman"/>
          <w:noProof/>
          <w:szCs w:val="24"/>
        </w:rPr>
        <w:t>Reinhart (2004)</w:t>
      </w:r>
      <w:r>
        <w:rPr>
          <w:rFonts w:cs="Times New Roman"/>
          <w:szCs w:val="24"/>
        </w:rPr>
        <w:t xml:space="preserve">'s interpretation about the light switch-off behaviour, </w:t>
      </w:r>
      <w:r w:rsidR="00051A6E">
        <w:rPr>
          <w:rFonts w:cs="Times New Roman"/>
          <w:noProof/>
          <w:szCs w:val="24"/>
        </w:rPr>
        <w:t>Pigg</w:t>
      </w:r>
      <w:r>
        <w:rPr>
          <w:rFonts w:cs="Times New Roman"/>
          <w:noProof/>
          <w:szCs w:val="24"/>
        </w:rPr>
        <w:t xml:space="preserve"> et al. (1996)</w:t>
      </w:r>
      <w:r>
        <w:rPr>
          <w:rFonts w:cs="Times New Roman"/>
          <w:szCs w:val="24"/>
        </w:rPr>
        <w:t xml:space="preserve"> and </w:t>
      </w:r>
      <w:r>
        <w:rPr>
          <w:rFonts w:cs="Times New Roman"/>
          <w:noProof/>
          <w:szCs w:val="24"/>
        </w:rPr>
        <w:t>Reinhart and Voss (2003)</w:t>
      </w:r>
      <w:r>
        <w:rPr>
          <w:rFonts w:cs="Times New Roman"/>
          <w:szCs w:val="24"/>
        </w:rPr>
        <w:t xml:space="preserve"> reported that the vast majority of the light switch-off actions take place just before departure and its likelihood is a function of the vacancy period followed by this departure. Therefore, </w:t>
      </w:r>
      <w:r>
        <w:rPr>
          <w:rFonts w:cs="Times New Roman"/>
          <w:noProof/>
          <w:szCs w:val="24"/>
        </w:rPr>
        <w:t>Reinhart and Voss (2003)</w:t>
      </w:r>
      <w:r>
        <w:rPr>
          <w:rFonts w:cs="Times New Roman"/>
          <w:szCs w:val="24"/>
        </w:rPr>
        <w:t xml:space="preserve">'s light switch-off model appears to capture this behaviour. However, future research should further investigate the timing and cause of light switch-off behaviour. </w:t>
      </w:r>
    </w:p>
    <w:p w:rsidR="00C55AE6" w:rsidRDefault="00C55AE6" w:rsidP="00051A6E">
      <w:pPr>
        <w:spacing w:line="360" w:lineRule="auto"/>
        <w:jc w:val="both"/>
        <w:rPr>
          <w:rFonts w:cs="Times New Roman"/>
          <w:szCs w:val="24"/>
        </w:rPr>
      </w:pPr>
    </w:p>
    <w:p w:rsidR="00C55AE6" w:rsidRDefault="00C55AE6" w:rsidP="00051A6E">
      <w:pPr>
        <w:spacing w:line="360" w:lineRule="auto"/>
        <w:jc w:val="both"/>
        <w:rPr>
          <w:rFonts w:cs="Times New Roman"/>
          <w:szCs w:val="24"/>
        </w:rPr>
      </w:pPr>
    </w:p>
    <w:p w:rsidR="00C55AE6" w:rsidRDefault="00C55AE6" w:rsidP="00051A6E">
      <w:pPr>
        <w:spacing w:line="360" w:lineRule="auto"/>
        <w:jc w:val="both"/>
        <w:rPr>
          <w:rFonts w:cs="Times New Roman"/>
          <w:szCs w:val="24"/>
        </w:rPr>
      </w:pPr>
    </w:p>
    <w:p w:rsidR="00C55AE6" w:rsidRDefault="00C55AE6" w:rsidP="00051A6E">
      <w:pPr>
        <w:spacing w:line="360" w:lineRule="auto"/>
        <w:jc w:val="both"/>
        <w:rPr>
          <w:rFonts w:cs="Times New Roman"/>
          <w:szCs w:val="24"/>
        </w:rPr>
      </w:pPr>
    </w:p>
    <w:p w:rsidR="00C55AE6" w:rsidRDefault="00C55AE6" w:rsidP="00051A6E">
      <w:pPr>
        <w:spacing w:line="360" w:lineRule="auto"/>
        <w:jc w:val="both"/>
        <w:rPr>
          <w:rFonts w:cs="Times New Roman"/>
          <w:szCs w:val="24"/>
        </w:rPr>
      </w:pPr>
    </w:p>
    <w:p w:rsidR="00C55AE6" w:rsidRDefault="00C55AE6" w:rsidP="00051A6E">
      <w:pPr>
        <w:spacing w:line="360" w:lineRule="auto"/>
        <w:jc w:val="both"/>
        <w:rPr>
          <w:rFonts w:cs="Times New Roman"/>
          <w:szCs w:val="24"/>
        </w:rPr>
      </w:pPr>
    </w:p>
    <w:p w:rsidR="00C55AE6" w:rsidRDefault="00C55AE6" w:rsidP="00051A6E">
      <w:pPr>
        <w:spacing w:line="360" w:lineRule="auto"/>
        <w:jc w:val="both"/>
        <w:rPr>
          <w:rFonts w:cs="Times New Roman"/>
          <w:szCs w:val="24"/>
        </w:rPr>
      </w:pPr>
    </w:p>
    <w:p w:rsidR="00BF25DE" w:rsidRPr="00716F43" w:rsidRDefault="00BF25DE" w:rsidP="00051A6E">
      <w:pPr>
        <w:pStyle w:val="Caption"/>
        <w:rPr>
          <w:rFonts w:cs="Times New Roman"/>
          <w:b w:val="0"/>
          <w:color w:val="auto"/>
          <w:sz w:val="24"/>
          <w:szCs w:val="24"/>
        </w:rPr>
      </w:pPr>
      <w:bookmarkStart w:id="78" w:name="_Toc415940847"/>
      <w:r w:rsidRPr="00716F43">
        <w:rPr>
          <w:rFonts w:cs="Times New Roman"/>
          <w:b w:val="0"/>
          <w:color w:val="auto"/>
          <w:sz w:val="24"/>
          <w:szCs w:val="24"/>
        </w:rPr>
        <w:lastRenderedPageBreak/>
        <w:t xml:space="preserve">Table </w:t>
      </w:r>
      <w:r w:rsidR="00F84CB0" w:rsidRPr="00716F43">
        <w:rPr>
          <w:rFonts w:cs="Times New Roman"/>
          <w:b w:val="0"/>
          <w:color w:val="auto"/>
          <w:sz w:val="24"/>
          <w:szCs w:val="24"/>
        </w:rPr>
        <w:fldChar w:fldCharType="begin"/>
      </w:r>
      <w:r w:rsidRPr="00716F43">
        <w:rPr>
          <w:rFonts w:cs="Times New Roman"/>
          <w:b w:val="0"/>
          <w:color w:val="auto"/>
          <w:sz w:val="24"/>
          <w:szCs w:val="24"/>
        </w:rPr>
        <w:instrText xml:space="preserve"> SEQ Table \* ARABIC </w:instrText>
      </w:r>
      <w:r w:rsidR="00F84CB0" w:rsidRPr="00716F43">
        <w:rPr>
          <w:rFonts w:cs="Times New Roman"/>
          <w:b w:val="0"/>
          <w:color w:val="auto"/>
          <w:sz w:val="24"/>
          <w:szCs w:val="24"/>
        </w:rPr>
        <w:fldChar w:fldCharType="separate"/>
      </w:r>
      <w:r w:rsidRPr="00716F43">
        <w:rPr>
          <w:rFonts w:cs="Times New Roman"/>
          <w:b w:val="0"/>
          <w:noProof/>
          <w:color w:val="auto"/>
          <w:sz w:val="24"/>
          <w:szCs w:val="24"/>
        </w:rPr>
        <w:t>9</w:t>
      </w:r>
      <w:r w:rsidR="00F84CB0" w:rsidRPr="00716F43">
        <w:rPr>
          <w:rFonts w:cs="Times New Roman"/>
          <w:b w:val="0"/>
          <w:color w:val="auto"/>
          <w:sz w:val="24"/>
          <w:szCs w:val="24"/>
        </w:rPr>
        <w:fldChar w:fldCharType="end"/>
      </w:r>
      <w:r w:rsidRPr="00716F43">
        <w:rPr>
          <w:rFonts w:cs="Times New Roman"/>
          <w:b w:val="0"/>
          <w:color w:val="auto"/>
          <w:sz w:val="24"/>
          <w:szCs w:val="24"/>
        </w:rPr>
        <w:t>: Occupant models used in the run-cases shown in Figures 7 to 9 and Figures 13 to 15.</w:t>
      </w:r>
      <w:bookmarkEnd w:id="78"/>
    </w:p>
    <w:tbl>
      <w:tblPr>
        <w:tblStyle w:val="TableGrid"/>
        <w:tblW w:w="4681" w:type="pct"/>
        <w:tblLayout w:type="fixed"/>
        <w:tblLook w:val="06A0"/>
      </w:tblPr>
      <w:tblGrid>
        <w:gridCol w:w="2487"/>
        <w:gridCol w:w="1617"/>
        <w:gridCol w:w="1712"/>
        <w:gridCol w:w="1623"/>
        <w:gridCol w:w="1526"/>
      </w:tblGrid>
      <w:tr w:rsidR="00BF25DE" w:rsidRPr="001031CE" w:rsidTr="00051A6E">
        <w:trPr>
          <w:trHeight w:val="570"/>
        </w:trPr>
        <w:tc>
          <w:tcPr>
            <w:tcW w:w="1387"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sidRPr="001031CE">
              <w:rPr>
                <w:rFonts w:eastAsia="Times New Roman" w:cs="Times New Roman"/>
                <w:b/>
                <w:color w:val="000000"/>
                <w:sz w:val="20"/>
                <w:szCs w:val="24"/>
                <w:lang w:eastAsia="en-CA"/>
              </w:rPr>
              <w:t>Blinds</w:t>
            </w:r>
          </w:p>
        </w:tc>
        <w:tc>
          <w:tcPr>
            <w:tcW w:w="902"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Pr>
                <w:rFonts w:eastAsia="Times New Roman" w:cs="Times New Roman"/>
                <w:b/>
                <w:color w:val="000000"/>
                <w:sz w:val="20"/>
                <w:szCs w:val="24"/>
                <w:lang w:eastAsia="en-CA"/>
              </w:rPr>
              <w:t>Light switch-</w:t>
            </w:r>
            <w:r w:rsidRPr="001031CE">
              <w:rPr>
                <w:rFonts w:eastAsia="Times New Roman" w:cs="Times New Roman"/>
                <w:b/>
                <w:color w:val="000000"/>
                <w:sz w:val="20"/>
                <w:szCs w:val="24"/>
                <w:lang w:eastAsia="en-CA"/>
              </w:rPr>
              <w:t>on</w:t>
            </w:r>
          </w:p>
        </w:tc>
        <w:tc>
          <w:tcPr>
            <w:tcW w:w="955" w:type="pct"/>
            <w:vAlign w:val="center"/>
          </w:tcPr>
          <w:p w:rsidR="00BF25DE" w:rsidRPr="001031CE" w:rsidRDefault="00BF25DE" w:rsidP="00051A6E">
            <w:pPr>
              <w:jc w:val="center"/>
              <w:rPr>
                <w:rFonts w:eastAsia="Times New Roman" w:cs="Times New Roman"/>
                <w:b/>
                <w:color w:val="000000"/>
                <w:sz w:val="20"/>
                <w:szCs w:val="24"/>
                <w:lang w:eastAsia="en-CA"/>
              </w:rPr>
            </w:pPr>
            <w:r>
              <w:rPr>
                <w:rFonts w:eastAsia="Times New Roman" w:cs="Times New Roman"/>
                <w:b/>
                <w:color w:val="000000"/>
                <w:sz w:val="20"/>
                <w:szCs w:val="24"/>
                <w:lang w:eastAsia="en-CA"/>
              </w:rPr>
              <w:t>Light switch-</w:t>
            </w:r>
            <w:r w:rsidRPr="001031CE">
              <w:rPr>
                <w:rFonts w:eastAsia="Times New Roman" w:cs="Times New Roman"/>
                <w:b/>
                <w:color w:val="000000"/>
                <w:sz w:val="20"/>
                <w:szCs w:val="24"/>
                <w:lang w:eastAsia="en-CA"/>
              </w:rPr>
              <w:t>o</w:t>
            </w:r>
            <w:r>
              <w:rPr>
                <w:rFonts w:eastAsia="Times New Roman" w:cs="Times New Roman"/>
                <w:b/>
                <w:color w:val="000000"/>
                <w:sz w:val="20"/>
                <w:szCs w:val="24"/>
                <w:lang w:eastAsia="en-CA"/>
              </w:rPr>
              <w:t>ff</w:t>
            </w:r>
          </w:p>
        </w:tc>
        <w:tc>
          <w:tcPr>
            <w:tcW w:w="905"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sidRPr="001031CE">
              <w:rPr>
                <w:rFonts w:eastAsia="Times New Roman" w:cs="Times New Roman"/>
                <w:b/>
                <w:color w:val="000000"/>
                <w:sz w:val="20"/>
                <w:szCs w:val="24"/>
                <w:lang w:eastAsia="en-CA"/>
              </w:rPr>
              <w:t>Clothing</w:t>
            </w:r>
          </w:p>
        </w:tc>
        <w:tc>
          <w:tcPr>
            <w:tcW w:w="851"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sidRPr="001031CE">
              <w:rPr>
                <w:rFonts w:eastAsia="Times New Roman" w:cs="Times New Roman"/>
                <w:b/>
                <w:color w:val="000000"/>
                <w:sz w:val="20"/>
                <w:szCs w:val="24"/>
                <w:lang w:eastAsia="en-CA"/>
              </w:rPr>
              <w:t>Occupancy</w:t>
            </w:r>
          </w:p>
        </w:tc>
      </w:tr>
      <w:tr w:rsidR="00BF25DE" w:rsidRPr="001031CE" w:rsidTr="00051A6E">
        <w:trPr>
          <w:trHeight w:val="300"/>
        </w:trPr>
        <w:tc>
          <w:tcPr>
            <w:tcW w:w="1387" w:type="pc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Haldi</w:t>
            </w:r>
            <w:proofErr w:type="spellEnd"/>
            <w:r w:rsidRPr="001031CE">
              <w:rPr>
                <w:rFonts w:eastAsia="Times New Roman" w:cs="Times New Roman"/>
                <w:color w:val="000000"/>
                <w:sz w:val="20"/>
                <w:szCs w:val="24"/>
                <w:lang w:eastAsia="en-CA"/>
              </w:rPr>
              <w:t xml:space="preserve"> and Robinson (2010)</w:t>
            </w:r>
          </w:p>
        </w:tc>
        <w:tc>
          <w:tcPr>
            <w:tcW w:w="902"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r>
              <w:rPr>
                <w:rFonts w:eastAsia="Times New Roman" w:cs="Times New Roman"/>
                <w:color w:val="000000"/>
                <w:sz w:val="20"/>
                <w:szCs w:val="24"/>
                <w:lang w:eastAsia="en-CA"/>
              </w:rPr>
              <w:t>Hunt (1979)</w:t>
            </w:r>
          </w:p>
        </w:tc>
        <w:tc>
          <w:tcPr>
            <w:tcW w:w="955" w:type="pct"/>
            <w:vMerge w:val="restart"/>
            <w:vAlign w:val="center"/>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Boyce et al. (2006)</w:t>
            </w:r>
          </w:p>
        </w:tc>
        <w:tc>
          <w:tcPr>
            <w:tcW w:w="905"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Schiavon</w:t>
            </w:r>
            <w:proofErr w:type="spellEnd"/>
            <w:r w:rsidRPr="001031CE">
              <w:rPr>
                <w:rFonts w:eastAsia="Times New Roman" w:cs="Times New Roman"/>
                <w:color w:val="000000"/>
                <w:sz w:val="20"/>
                <w:szCs w:val="24"/>
                <w:lang w:eastAsia="en-CA"/>
              </w:rPr>
              <w:t xml:space="preserve"> and Lee (2013)</w:t>
            </w:r>
          </w:p>
        </w:tc>
        <w:tc>
          <w:tcPr>
            <w:tcW w:w="851" w:type="pct"/>
            <w:vMerge w:val="restart"/>
            <w:noWrap/>
            <w:vAlign w:val="center"/>
            <w:hideMark/>
          </w:tcPr>
          <w:p w:rsidR="00BF25DE" w:rsidRPr="001031CE" w:rsidRDefault="00051A6E" w:rsidP="00051A6E">
            <w:pPr>
              <w:spacing w:line="276" w:lineRule="auto"/>
              <w:jc w:val="center"/>
              <w:rPr>
                <w:rFonts w:eastAsia="Times New Roman" w:cs="Times New Roman"/>
                <w:color w:val="000000"/>
                <w:sz w:val="20"/>
                <w:szCs w:val="24"/>
                <w:lang w:eastAsia="en-CA"/>
              </w:rPr>
            </w:pPr>
            <w:r>
              <w:rPr>
                <w:rFonts w:eastAsia="Times New Roman" w:cs="Times New Roman"/>
                <w:color w:val="000000"/>
                <w:sz w:val="20"/>
                <w:szCs w:val="24"/>
                <w:lang w:eastAsia="en-CA"/>
              </w:rPr>
              <w:t>Wang</w:t>
            </w:r>
            <w:r w:rsidR="00BF25DE" w:rsidRPr="001031CE">
              <w:rPr>
                <w:rFonts w:eastAsia="Times New Roman" w:cs="Times New Roman"/>
                <w:color w:val="000000"/>
                <w:sz w:val="20"/>
                <w:szCs w:val="24"/>
                <w:lang w:eastAsia="en-CA"/>
              </w:rPr>
              <w:t xml:space="preserve"> et al. (2005)</w:t>
            </w:r>
          </w:p>
        </w:tc>
      </w:tr>
      <w:tr w:rsidR="00BF25DE" w:rsidRPr="001031CE" w:rsidTr="00051A6E">
        <w:trPr>
          <w:trHeight w:val="428"/>
        </w:trPr>
        <w:tc>
          <w:tcPr>
            <w:tcW w:w="1387" w:type="pc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r w:rsidRPr="001031CE">
              <w:rPr>
                <w:rFonts w:eastAsia="Times New Roman" w:cs="Times New Roman"/>
                <w:color w:val="000000"/>
                <w:sz w:val="20"/>
                <w:szCs w:val="24"/>
                <w:lang w:eastAsia="en-CA"/>
              </w:rPr>
              <w:t>Reinhart (2004)</w:t>
            </w:r>
          </w:p>
        </w:tc>
        <w:tc>
          <w:tcPr>
            <w:tcW w:w="902"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Newsham</w:t>
            </w:r>
            <w:proofErr w:type="spellEnd"/>
            <w:r w:rsidRPr="001031CE">
              <w:rPr>
                <w:rFonts w:eastAsia="Times New Roman" w:cs="Times New Roman"/>
                <w:color w:val="000000"/>
                <w:sz w:val="20"/>
                <w:szCs w:val="24"/>
                <w:lang w:eastAsia="en-CA"/>
              </w:rPr>
              <w:t xml:space="preserve"> (1994)</w:t>
            </w:r>
          </w:p>
        </w:tc>
        <w:tc>
          <w:tcPr>
            <w:tcW w:w="902"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Haldi</w:t>
            </w:r>
            <w:proofErr w:type="spellEnd"/>
            <w:r w:rsidRPr="001031CE">
              <w:rPr>
                <w:rFonts w:eastAsia="Times New Roman" w:cs="Times New Roman"/>
                <w:color w:val="000000"/>
                <w:sz w:val="20"/>
                <w:szCs w:val="24"/>
                <w:lang w:eastAsia="en-CA"/>
              </w:rPr>
              <w:t xml:space="preserve"> and Robinson (2010)</w:t>
            </w:r>
          </w:p>
        </w:tc>
        <w:tc>
          <w:tcPr>
            <w:tcW w:w="902" w:type="pct"/>
            <w:vMerge w:val="restart"/>
            <w:noWrap/>
            <w:vAlign w:val="center"/>
            <w:hideMark/>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Hunt (1979)</w:t>
            </w:r>
          </w:p>
        </w:tc>
        <w:tc>
          <w:tcPr>
            <w:tcW w:w="955" w:type="pct"/>
            <w:vMerge w:val="restart"/>
            <w:vAlign w:val="center"/>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Reinhart (2004)</w:t>
            </w: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r w:rsidRPr="001031CE">
              <w:rPr>
                <w:rFonts w:eastAsia="Times New Roman" w:cs="Times New Roman"/>
                <w:color w:val="000000"/>
                <w:sz w:val="20"/>
                <w:szCs w:val="24"/>
                <w:lang w:eastAsia="en-CA"/>
              </w:rPr>
              <w:t>Reinhart (2004)</w:t>
            </w:r>
          </w:p>
        </w:tc>
        <w:tc>
          <w:tcPr>
            <w:tcW w:w="902"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Newsham</w:t>
            </w:r>
            <w:proofErr w:type="spellEnd"/>
            <w:r w:rsidRPr="001031CE">
              <w:rPr>
                <w:rFonts w:eastAsia="Times New Roman" w:cs="Times New Roman"/>
                <w:color w:val="000000"/>
                <w:sz w:val="20"/>
                <w:szCs w:val="24"/>
                <w:lang w:eastAsia="en-CA"/>
              </w:rPr>
              <w:t xml:space="preserve"> (1994)</w:t>
            </w:r>
          </w:p>
        </w:tc>
        <w:tc>
          <w:tcPr>
            <w:tcW w:w="902"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Haldi</w:t>
            </w:r>
            <w:proofErr w:type="spellEnd"/>
            <w:r w:rsidRPr="001031CE">
              <w:rPr>
                <w:rFonts w:eastAsia="Times New Roman" w:cs="Times New Roman"/>
                <w:color w:val="000000"/>
                <w:sz w:val="20"/>
                <w:szCs w:val="24"/>
                <w:lang w:eastAsia="en-CA"/>
              </w:rPr>
              <w:t xml:space="preserve"> and Robinson (2010)</w:t>
            </w:r>
          </w:p>
        </w:tc>
        <w:tc>
          <w:tcPr>
            <w:tcW w:w="902" w:type="pct"/>
            <w:vMerge w:val="restart"/>
            <w:noWrap/>
            <w:vAlign w:val="center"/>
            <w:hideMark/>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Reinhart (2004)</w:t>
            </w:r>
          </w:p>
        </w:tc>
        <w:tc>
          <w:tcPr>
            <w:tcW w:w="955" w:type="pct"/>
            <w:vMerge w:val="restart"/>
            <w:vAlign w:val="center"/>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Boyce et al. (2006)</w:t>
            </w: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r w:rsidRPr="001031CE">
              <w:rPr>
                <w:rFonts w:eastAsia="Times New Roman" w:cs="Times New Roman"/>
                <w:color w:val="000000"/>
                <w:sz w:val="20"/>
                <w:szCs w:val="24"/>
                <w:lang w:eastAsia="en-CA"/>
              </w:rPr>
              <w:t>Reinhart (2004)</w:t>
            </w:r>
          </w:p>
        </w:tc>
        <w:tc>
          <w:tcPr>
            <w:tcW w:w="902"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Newsham</w:t>
            </w:r>
            <w:proofErr w:type="spellEnd"/>
            <w:r w:rsidRPr="001031CE">
              <w:rPr>
                <w:rFonts w:eastAsia="Times New Roman" w:cs="Times New Roman"/>
                <w:color w:val="000000"/>
                <w:sz w:val="20"/>
                <w:szCs w:val="24"/>
                <w:lang w:eastAsia="en-CA"/>
              </w:rPr>
              <w:t xml:space="preserve"> (1994)</w:t>
            </w:r>
          </w:p>
        </w:tc>
        <w:tc>
          <w:tcPr>
            <w:tcW w:w="902"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Haldi</w:t>
            </w:r>
            <w:proofErr w:type="spellEnd"/>
            <w:r w:rsidRPr="001031CE">
              <w:rPr>
                <w:rFonts w:eastAsia="Times New Roman" w:cs="Times New Roman"/>
                <w:color w:val="000000"/>
                <w:sz w:val="20"/>
                <w:szCs w:val="24"/>
                <w:lang w:eastAsia="en-CA"/>
              </w:rPr>
              <w:t xml:space="preserve"> and Robinson (2010)</w:t>
            </w:r>
          </w:p>
        </w:tc>
        <w:tc>
          <w:tcPr>
            <w:tcW w:w="902" w:type="pct"/>
            <w:vMerge w:val="restart"/>
            <w:noWrap/>
            <w:vAlign w:val="center"/>
            <w:hideMark/>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Reinhart (2004)</w:t>
            </w:r>
          </w:p>
        </w:tc>
        <w:tc>
          <w:tcPr>
            <w:tcW w:w="955" w:type="pct"/>
            <w:vMerge w:val="restart"/>
            <w:vAlign w:val="center"/>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Reinhart (2004)</w:t>
            </w: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r w:rsidRPr="001031CE">
              <w:rPr>
                <w:rFonts w:eastAsia="Times New Roman" w:cs="Times New Roman"/>
                <w:color w:val="000000"/>
                <w:sz w:val="20"/>
                <w:szCs w:val="24"/>
                <w:lang w:eastAsia="en-CA"/>
              </w:rPr>
              <w:t>Reinhart (2004)</w:t>
            </w:r>
          </w:p>
        </w:tc>
        <w:tc>
          <w:tcPr>
            <w:tcW w:w="902"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r w:rsidR="00BF25DE" w:rsidRPr="001031CE" w:rsidTr="00051A6E">
        <w:trPr>
          <w:trHeight w:val="422"/>
        </w:trPr>
        <w:tc>
          <w:tcPr>
            <w:tcW w:w="1387" w:type="pct"/>
            <w:noWrap/>
            <w:vAlign w:val="center"/>
            <w:hideMark/>
          </w:tcPr>
          <w:p w:rsidR="00BF25DE" w:rsidRPr="001031CE" w:rsidRDefault="00BF25DE" w:rsidP="00051A6E">
            <w:pPr>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Newsham</w:t>
            </w:r>
            <w:proofErr w:type="spellEnd"/>
            <w:r w:rsidRPr="001031CE">
              <w:rPr>
                <w:rFonts w:eastAsia="Times New Roman" w:cs="Times New Roman"/>
                <w:color w:val="000000"/>
                <w:sz w:val="20"/>
                <w:szCs w:val="24"/>
                <w:lang w:eastAsia="en-CA"/>
              </w:rPr>
              <w:t xml:space="preserve"> (1994)</w:t>
            </w:r>
          </w:p>
        </w:tc>
        <w:tc>
          <w:tcPr>
            <w:tcW w:w="902"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jc w:val="center"/>
              <w:rPr>
                <w:rFonts w:eastAsia="Times New Roman" w:cs="Times New Roman"/>
                <w:color w:val="000000"/>
                <w:sz w:val="20"/>
                <w:szCs w:val="24"/>
                <w:lang w:eastAsia="en-CA"/>
              </w:rPr>
            </w:pPr>
          </w:p>
        </w:tc>
      </w:tr>
    </w:tbl>
    <w:p w:rsidR="00BF25DE" w:rsidRDefault="00BF25DE" w:rsidP="00051A6E">
      <w:pPr>
        <w:pStyle w:val="Caption"/>
        <w:rPr>
          <w:rFonts w:cs="Times New Roman"/>
          <w:color w:val="auto"/>
          <w:sz w:val="24"/>
          <w:szCs w:val="24"/>
        </w:rPr>
      </w:pPr>
    </w:p>
    <w:p w:rsidR="00BF25DE" w:rsidRDefault="00BF25DE" w:rsidP="00051A6E">
      <w:pPr>
        <w:pStyle w:val="Caption"/>
        <w:rPr>
          <w:rFonts w:cs="Times New Roman"/>
          <w:color w:val="auto"/>
          <w:sz w:val="24"/>
          <w:szCs w:val="24"/>
        </w:rPr>
      </w:pPr>
    </w:p>
    <w:p w:rsidR="00BF25DE" w:rsidRDefault="00BF25DE" w:rsidP="00051A6E">
      <w:pPr>
        <w:spacing w:line="360" w:lineRule="auto"/>
        <w:jc w:val="both"/>
        <w:rPr>
          <w:rFonts w:cs="Times New Roman"/>
          <w:szCs w:val="24"/>
        </w:rPr>
      </w:pPr>
    </w:p>
    <w:p w:rsidR="00BF25DE" w:rsidRPr="00303BF6" w:rsidRDefault="00BF25DE" w:rsidP="00051A6E">
      <w:pPr>
        <w:spacing w:after="0"/>
        <w:jc w:val="center"/>
        <w:rPr>
          <w:rFonts w:cs="Times New Roman"/>
          <w:szCs w:val="24"/>
        </w:rPr>
      </w:pPr>
      <w:r w:rsidRPr="00303BF6">
        <w:rPr>
          <w:rFonts w:cs="Times New Roman"/>
          <w:noProof/>
          <w:szCs w:val="24"/>
          <w:lang w:val="en-US"/>
        </w:rPr>
        <w:lastRenderedPageBreak/>
        <w:drawing>
          <wp:inline distT="0" distB="0" distL="0" distR="0">
            <wp:extent cx="5368965" cy="7578993"/>
            <wp:effectExtent l="19050" t="0" r="3135" b="0"/>
            <wp:docPr id="13" name="Picture 1" descr="C:\Users\Burak\Dropbox\Occupant_Modelling\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Figure 7.tif"/>
                    <pic:cNvPicPr>
                      <a:picLocks noChangeAspect="1" noChangeArrowheads="1"/>
                    </pic:cNvPicPr>
                  </pic:nvPicPr>
                  <pic:blipFill>
                    <a:blip r:embed="rId21" cstate="print"/>
                    <a:srcRect/>
                    <a:stretch>
                      <a:fillRect/>
                    </a:stretch>
                  </pic:blipFill>
                  <pic:spPr bwMode="auto">
                    <a:xfrm>
                      <a:off x="0" y="0"/>
                      <a:ext cx="5368292" cy="7578043"/>
                    </a:xfrm>
                    <a:prstGeom prst="rect">
                      <a:avLst/>
                    </a:prstGeom>
                    <a:noFill/>
                    <a:ln w="9525">
                      <a:noFill/>
                      <a:miter lim="800000"/>
                      <a:headEnd/>
                      <a:tailEnd/>
                    </a:ln>
                  </pic:spPr>
                </pic:pic>
              </a:graphicData>
            </a:graphic>
          </wp:inline>
        </w:drawing>
      </w:r>
    </w:p>
    <w:p w:rsidR="00BF25DE" w:rsidRPr="00303BF6" w:rsidRDefault="00BF25DE" w:rsidP="00051A6E">
      <w:pPr>
        <w:jc w:val="both"/>
        <w:rPr>
          <w:rFonts w:cs="Times New Roman"/>
          <w:szCs w:val="24"/>
        </w:rPr>
      </w:pPr>
      <w:bookmarkStart w:id="79" w:name="_Toc415674257"/>
      <w:bookmarkStart w:id="80" w:name="_Toc415769245"/>
      <w:bookmarkStart w:id="81" w:name="_Toc415833360"/>
      <w:bookmarkStart w:id="82" w:name="_Toc415833417"/>
      <w:bookmarkStart w:id="83" w:name="_Toc415833483"/>
      <w:bookmarkStart w:id="84" w:name="_Toc415853735"/>
      <w:bookmarkStart w:id="85" w:name="_Toc415940704"/>
      <w:bookmarkStart w:id="86" w:name="_Toc421178265"/>
      <w:bookmarkStart w:id="87" w:name="_Toc421178574"/>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7</w:t>
      </w:r>
      <w:r w:rsidR="00F84CB0" w:rsidRPr="00303BF6">
        <w:rPr>
          <w:rFonts w:cs="Times New Roman"/>
          <w:szCs w:val="24"/>
        </w:rPr>
        <w:fldChar w:fldCharType="end"/>
      </w:r>
      <w:r w:rsidRPr="00303BF6">
        <w:rPr>
          <w:rFonts w:cs="Times New Roman"/>
          <w:szCs w:val="24"/>
        </w:rPr>
        <w:t>:</w:t>
      </w:r>
      <w:bookmarkEnd w:id="79"/>
      <w:r w:rsidRPr="00303BF6">
        <w:rPr>
          <w:rFonts w:cs="Times New Roman"/>
          <w:szCs w:val="24"/>
        </w:rPr>
        <w:t xml:space="preserve"> Mean weekday lighting load profiles computed by</w:t>
      </w:r>
      <w:r>
        <w:rPr>
          <w:rFonts w:cs="Times New Roman"/>
          <w:szCs w:val="24"/>
        </w:rPr>
        <w:t xml:space="preserve"> employing</w:t>
      </w:r>
      <w:r w:rsidRPr="00303BF6">
        <w:rPr>
          <w:rFonts w:cs="Times New Roman"/>
          <w:szCs w:val="24"/>
        </w:rPr>
        <w:t xml:space="preserve"> different combinations of electric lighting and blinds use models.</w:t>
      </w:r>
      <w:bookmarkEnd w:id="80"/>
      <w:bookmarkEnd w:id="81"/>
      <w:bookmarkEnd w:id="82"/>
      <w:bookmarkEnd w:id="83"/>
      <w:bookmarkEnd w:id="84"/>
      <w:bookmarkEnd w:id="85"/>
      <w:r>
        <w:rPr>
          <w:rFonts w:cs="Times New Roman"/>
          <w:szCs w:val="24"/>
        </w:rPr>
        <w:t xml:space="preserve"> The straight lines represent the mean and the error bars represent the standard deviation.</w:t>
      </w:r>
      <w:bookmarkEnd w:id="86"/>
      <w:bookmarkEnd w:id="87"/>
    </w:p>
    <w:p w:rsidR="00BF25DE" w:rsidRDefault="00BF25DE" w:rsidP="00051A6E">
      <w:pPr>
        <w:spacing w:after="0" w:line="360" w:lineRule="auto"/>
        <w:jc w:val="both"/>
        <w:rPr>
          <w:rFonts w:cs="Times New Roman"/>
          <w:szCs w:val="24"/>
        </w:rPr>
      </w:pPr>
      <w:r>
        <w:rPr>
          <w:rFonts w:cs="Times New Roman"/>
          <w:szCs w:val="24"/>
        </w:rPr>
        <w:lastRenderedPageBreak/>
        <w:t xml:space="preserve">Figure 8 presents the monthly lighting load profiles predicted by employing the twelve different occupant model combinations for lighting and blinds. Results indicate that the lighting load profiles exhibit a similar seasonal trend (minimum during the summer and maximum during the winter). However, the magnitude of the lighting load ratios are significantly different with different occupant models. When </w:t>
      </w:r>
      <w:r>
        <w:rPr>
          <w:rFonts w:cs="Times New Roman"/>
          <w:noProof/>
          <w:szCs w:val="24"/>
        </w:rPr>
        <w:t>Reinhart (2004)</w:t>
      </w:r>
      <w:r>
        <w:rPr>
          <w:rFonts w:cs="Times New Roman"/>
          <w:szCs w:val="24"/>
        </w:rPr>
        <w:t xml:space="preserve">'s blinds and light-switch models were employed, the minimum monthly lighting load ratio was 2% in July. In contrast, when </w:t>
      </w:r>
      <w:r>
        <w:rPr>
          <w:rFonts w:cs="Times New Roman"/>
          <w:noProof/>
          <w:szCs w:val="24"/>
        </w:rPr>
        <w:t>Haldi and Robinson (2010)</w:t>
      </w:r>
      <w:r>
        <w:rPr>
          <w:rFonts w:cs="Times New Roman"/>
          <w:szCs w:val="24"/>
        </w:rPr>
        <w:t xml:space="preserve">'s blinds use model was coupled with </w:t>
      </w:r>
      <w:r>
        <w:rPr>
          <w:rFonts w:cs="Times New Roman"/>
          <w:noProof/>
          <w:szCs w:val="24"/>
        </w:rPr>
        <w:t>Hunt (1979)</w:t>
      </w:r>
      <w:r>
        <w:rPr>
          <w:rFonts w:cs="Times New Roman"/>
          <w:szCs w:val="24"/>
        </w:rPr>
        <w:t xml:space="preserve">'s light switch-on model and </w:t>
      </w:r>
      <w:r w:rsidR="00051A6E">
        <w:rPr>
          <w:rFonts w:cs="Times New Roman"/>
          <w:noProof/>
          <w:szCs w:val="24"/>
        </w:rPr>
        <w:t>Boyce</w:t>
      </w:r>
      <w:r>
        <w:rPr>
          <w:rFonts w:cs="Times New Roman"/>
          <w:noProof/>
          <w:szCs w:val="24"/>
        </w:rPr>
        <w:t xml:space="preserve"> et al. (2006)</w:t>
      </w:r>
      <w:r>
        <w:rPr>
          <w:rFonts w:cs="Times New Roman"/>
          <w:szCs w:val="24"/>
        </w:rPr>
        <w:t xml:space="preserve">'s light switch-off model, the minimum monthly lighting load ratio was predicted as 15% (again in July). Figure 9 presents the annual lighting load distribution predicted by employing the twelve occupant model combinations for lighting and blinds. Results underline that model predictions can vary by a factor of five. However, they consistently provide predictions significantly lower than the reference office building lighting schedule recommended by </w:t>
      </w:r>
      <w:r>
        <w:rPr>
          <w:rFonts w:cs="Times New Roman"/>
          <w:noProof/>
          <w:szCs w:val="24"/>
        </w:rPr>
        <w:t>ASHRAE</w:t>
      </w:r>
      <w:r w:rsidR="00FA4ABF">
        <w:rPr>
          <w:rFonts w:cs="Times New Roman"/>
          <w:noProof/>
          <w:szCs w:val="24"/>
        </w:rPr>
        <w:t xml:space="preserve"> Standard 90.1</w:t>
      </w:r>
      <w:r>
        <w:rPr>
          <w:rFonts w:cs="Times New Roman"/>
          <w:noProof/>
          <w:szCs w:val="24"/>
        </w:rPr>
        <w:t xml:space="preserve"> (2013)</w:t>
      </w:r>
      <w:r>
        <w:rPr>
          <w:rFonts w:cs="Times New Roman"/>
          <w:szCs w:val="24"/>
        </w:rPr>
        <w:t>.</w:t>
      </w:r>
    </w:p>
    <w:p w:rsidR="00BF25DE" w:rsidRDefault="00BF25DE" w:rsidP="00051A6E">
      <w:pPr>
        <w:spacing w:after="0" w:line="360" w:lineRule="auto"/>
        <w:jc w:val="both"/>
        <w:rPr>
          <w:rFonts w:cs="Times New Roman"/>
          <w:szCs w:val="24"/>
        </w:rPr>
      </w:pPr>
      <w:r>
        <w:t>Figure 10</w:t>
      </w:r>
      <w:r>
        <w:rPr>
          <w:rFonts w:cs="Times New Roman"/>
          <w:szCs w:val="24"/>
        </w:rPr>
        <w:t xml:space="preserve"> presents the mean weekday blind occlusion rate predicted by the three blind use models </w:t>
      </w:r>
      <w:r>
        <w:rPr>
          <w:rFonts w:cs="Times New Roman"/>
          <w:noProof/>
          <w:szCs w:val="24"/>
        </w:rPr>
        <w:t>(Newsham 1994; Reinhart 2004; Haldi and Robinson 2010)</w:t>
      </w:r>
      <w:r>
        <w:rPr>
          <w:rFonts w:cs="Times New Roman"/>
          <w:szCs w:val="24"/>
        </w:rPr>
        <w:t xml:space="preserve"> at hourly intervals. Results do not follow a consistent trend. According to </w:t>
      </w:r>
      <w:r>
        <w:rPr>
          <w:rFonts w:cs="Times New Roman"/>
          <w:noProof/>
          <w:szCs w:val="24"/>
        </w:rPr>
        <w:t>Haldi and Robinson (2010)</w:t>
      </w:r>
      <w:r>
        <w:rPr>
          <w:rFonts w:cs="Times New Roman"/>
          <w:szCs w:val="24"/>
        </w:rPr>
        <w:t xml:space="preserve">'s model, the occlusion rate typically increases during the day until 15h00 and it starts decreasing thereon (until departure). On the contrary, in </w:t>
      </w:r>
      <w:r>
        <w:rPr>
          <w:rFonts w:cs="Times New Roman"/>
          <w:noProof/>
          <w:szCs w:val="24"/>
        </w:rPr>
        <w:t>Newsham (1994)</w:t>
      </w:r>
      <w:r>
        <w:rPr>
          <w:rFonts w:cs="Times New Roman"/>
          <w:szCs w:val="24"/>
        </w:rPr>
        <w:t xml:space="preserve">'s and </w:t>
      </w:r>
      <w:r>
        <w:rPr>
          <w:rFonts w:cs="Times New Roman"/>
          <w:noProof/>
          <w:szCs w:val="24"/>
        </w:rPr>
        <w:t>Reinhart (2004)</w:t>
      </w:r>
      <w:r>
        <w:rPr>
          <w:rFonts w:cs="Times New Roman"/>
          <w:szCs w:val="24"/>
        </w:rPr>
        <w:t xml:space="preserve">'s blind use model, the </w:t>
      </w:r>
      <w:r w:rsidR="003A5CC3">
        <w:rPr>
          <w:rFonts w:cs="Times New Roman"/>
          <w:szCs w:val="24"/>
        </w:rPr>
        <w:t>simulated occupant</w:t>
      </w:r>
      <w:r>
        <w:rPr>
          <w:rFonts w:cs="Times New Roman"/>
          <w:szCs w:val="24"/>
        </w:rPr>
        <w:t xml:space="preserve">s open their blinds only in the time-step following their first arrival. Thereafter, the occlusion rate can only increase or remain constant during the day. </w:t>
      </w:r>
    </w:p>
    <w:p w:rsidR="00BF25DE" w:rsidRDefault="00BF25DE" w:rsidP="00051A6E">
      <w:pPr>
        <w:spacing w:after="0" w:line="360" w:lineRule="auto"/>
        <w:jc w:val="both"/>
        <w:rPr>
          <w:rFonts w:cs="Times New Roman"/>
          <w:szCs w:val="24"/>
        </w:rPr>
      </w:pPr>
    </w:p>
    <w:p w:rsidR="00BF25DE" w:rsidRPr="00303BF6" w:rsidRDefault="00BF25DE" w:rsidP="00051A6E">
      <w:pPr>
        <w:spacing w:after="0"/>
        <w:jc w:val="center"/>
        <w:rPr>
          <w:rFonts w:cs="Times New Roman"/>
          <w:szCs w:val="24"/>
        </w:rPr>
      </w:pPr>
      <w:r w:rsidRPr="00303BF6">
        <w:rPr>
          <w:rFonts w:cs="Times New Roman"/>
          <w:noProof/>
          <w:szCs w:val="24"/>
          <w:lang w:val="en-US"/>
        </w:rPr>
        <w:lastRenderedPageBreak/>
        <w:drawing>
          <wp:inline distT="0" distB="0" distL="0" distR="0">
            <wp:extent cx="5587490" cy="7560081"/>
            <wp:effectExtent l="19050" t="0" r="0" b="0"/>
            <wp:docPr id="14" name="Picture 2" descr="C:\Users\Burak\Dropbox\Occupant_Modelling\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ak\Dropbox\Occupant_Modelling\Figure 8.tif"/>
                    <pic:cNvPicPr>
                      <a:picLocks noChangeAspect="1" noChangeArrowheads="1"/>
                    </pic:cNvPicPr>
                  </pic:nvPicPr>
                  <pic:blipFill>
                    <a:blip r:embed="rId22" cstate="print"/>
                    <a:srcRect b="989"/>
                    <a:stretch>
                      <a:fillRect/>
                    </a:stretch>
                  </pic:blipFill>
                  <pic:spPr bwMode="auto">
                    <a:xfrm>
                      <a:off x="0" y="0"/>
                      <a:ext cx="5587490" cy="7560081"/>
                    </a:xfrm>
                    <a:prstGeom prst="rect">
                      <a:avLst/>
                    </a:prstGeom>
                    <a:noFill/>
                    <a:ln w="9525">
                      <a:noFill/>
                      <a:miter lim="800000"/>
                      <a:headEnd/>
                      <a:tailEnd/>
                    </a:ln>
                  </pic:spPr>
                </pic:pic>
              </a:graphicData>
            </a:graphic>
          </wp:inline>
        </w:drawing>
      </w:r>
    </w:p>
    <w:p w:rsidR="00BF25DE" w:rsidRPr="00303BF6" w:rsidRDefault="00BF25DE" w:rsidP="00051A6E">
      <w:pPr>
        <w:jc w:val="both"/>
        <w:rPr>
          <w:rFonts w:cs="Times New Roman"/>
          <w:szCs w:val="24"/>
        </w:rPr>
      </w:pPr>
      <w:bookmarkStart w:id="88" w:name="_Toc415674258"/>
      <w:bookmarkStart w:id="89" w:name="_Toc415769246"/>
      <w:bookmarkStart w:id="90" w:name="_Toc415833361"/>
      <w:bookmarkStart w:id="91" w:name="_Toc415833418"/>
      <w:bookmarkStart w:id="92" w:name="_Toc415833484"/>
      <w:bookmarkStart w:id="93" w:name="_Toc415853736"/>
      <w:bookmarkStart w:id="94" w:name="_Toc415940705"/>
      <w:bookmarkStart w:id="95" w:name="_Toc421178266"/>
      <w:bookmarkStart w:id="96" w:name="_Toc421178575"/>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8</w:t>
      </w:r>
      <w:r w:rsidR="00F84CB0" w:rsidRPr="00303BF6">
        <w:rPr>
          <w:rFonts w:cs="Times New Roman"/>
          <w:szCs w:val="24"/>
        </w:rPr>
        <w:fldChar w:fldCharType="end"/>
      </w:r>
      <w:r w:rsidRPr="00303BF6">
        <w:rPr>
          <w:rFonts w:cs="Times New Roman"/>
          <w:szCs w:val="24"/>
        </w:rPr>
        <w:t>:</w:t>
      </w:r>
      <w:bookmarkEnd w:id="88"/>
      <w:r w:rsidRPr="00303BF6">
        <w:rPr>
          <w:rFonts w:cs="Times New Roman"/>
          <w:szCs w:val="24"/>
        </w:rPr>
        <w:t xml:space="preserve"> Monthly lighting load profiles computed by employing different blinds and lighting use models.</w:t>
      </w:r>
      <w:bookmarkEnd w:id="89"/>
      <w:bookmarkEnd w:id="90"/>
      <w:bookmarkEnd w:id="91"/>
      <w:bookmarkEnd w:id="92"/>
      <w:bookmarkEnd w:id="93"/>
      <w:bookmarkEnd w:id="94"/>
      <w:r>
        <w:rPr>
          <w:rFonts w:cs="Times New Roman"/>
          <w:szCs w:val="24"/>
        </w:rPr>
        <w:t xml:space="preserve"> </w:t>
      </w:r>
      <w:bookmarkEnd w:id="95"/>
      <w:r>
        <w:rPr>
          <w:rFonts w:cs="Times New Roman"/>
          <w:szCs w:val="24"/>
        </w:rPr>
        <w:t>The straight lines represent the mean and the error bars represent the standard deviation.</w:t>
      </w:r>
      <w:bookmarkEnd w:id="96"/>
    </w:p>
    <w:p w:rsidR="001A7D3E" w:rsidRDefault="00BF25DE">
      <w:pPr>
        <w:spacing w:after="0"/>
        <w:jc w:val="center"/>
        <w:rPr>
          <w:rFonts w:cs="Times New Roman"/>
          <w:szCs w:val="24"/>
        </w:rPr>
      </w:pPr>
      <w:r w:rsidRPr="00303BF6">
        <w:rPr>
          <w:rFonts w:cs="Times New Roman"/>
          <w:noProof/>
          <w:szCs w:val="24"/>
          <w:lang w:val="en-US"/>
        </w:rPr>
        <w:lastRenderedPageBreak/>
        <w:drawing>
          <wp:inline distT="0" distB="0" distL="0" distR="0">
            <wp:extent cx="4215890" cy="2527594"/>
            <wp:effectExtent l="19050" t="0" r="0" b="0"/>
            <wp:docPr id="16" name="Picture 4" descr="C:\Users\Burak\Dropbox\Occupant_Modelling\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ak\Dropbox\Occupant_Modelling\Figure 9.tif"/>
                    <pic:cNvPicPr>
                      <a:picLocks noChangeAspect="1" noChangeArrowheads="1"/>
                    </pic:cNvPicPr>
                  </pic:nvPicPr>
                  <pic:blipFill>
                    <a:blip r:embed="rId23" cstate="print"/>
                    <a:srcRect b="1765"/>
                    <a:stretch>
                      <a:fillRect/>
                    </a:stretch>
                  </pic:blipFill>
                  <pic:spPr bwMode="auto">
                    <a:xfrm>
                      <a:off x="0" y="0"/>
                      <a:ext cx="4215890" cy="2527594"/>
                    </a:xfrm>
                    <a:prstGeom prst="rect">
                      <a:avLst/>
                    </a:prstGeom>
                    <a:noFill/>
                    <a:ln w="9525">
                      <a:noFill/>
                      <a:miter lim="800000"/>
                      <a:headEnd/>
                      <a:tailEnd/>
                    </a:ln>
                  </pic:spPr>
                </pic:pic>
              </a:graphicData>
            </a:graphic>
          </wp:inline>
        </w:drawing>
      </w:r>
    </w:p>
    <w:p w:rsidR="00BF25DE" w:rsidRPr="00303BF6" w:rsidRDefault="00BF25DE" w:rsidP="00051A6E">
      <w:pPr>
        <w:jc w:val="both"/>
        <w:rPr>
          <w:rFonts w:cs="Times New Roman"/>
          <w:szCs w:val="24"/>
        </w:rPr>
      </w:pPr>
      <w:bookmarkStart w:id="97" w:name="_Toc415674259"/>
      <w:bookmarkStart w:id="98" w:name="_Toc415769247"/>
      <w:bookmarkStart w:id="99" w:name="_Toc415833362"/>
      <w:bookmarkStart w:id="100" w:name="_Toc415833419"/>
      <w:bookmarkStart w:id="101" w:name="_Toc415833485"/>
      <w:bookmarkStart w:id="102" w:name="_Toc415853737"/>
      <w:bookmarkStart w:id="103" w:name="_Toc415940706"/>
      <w:bookmarkStart w:id="104" w:name="_Toc421178267"/>
      <w:bookmarkStart w:id="105" w:name="_Toc421178576"/>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9</w:t>
      </w:r>
      <w:r w:rsidR="00F84CB0" w:rsidRPr="00303BF6">
        <w:rPr>
          <w:rFonts w:cs="Times New Roman"/>
          <w:szCs w:val="24"/>
        </w:rPr>
        <w:fldChar w:fldCharType="end"/>
      </w:r>
      <w:r w:rsidRPr="00303BF6">
        <w:rPr>
          <w:rFonts w:cs="Times New Roman"/>
          <w:szCs w:val="24"/>
        </w:rPr>
        <w:t>:</w:t>
      </w:r>
      <w:bookmarkEnd w:id="97"/>
      <w:r w:rsidRPr="00303BF6">
        <w:rPr>
          <w:rFonts w:cs="Times New Roman"/>
          <w:szCs w:val="24"/>
        </w:rPr>
        <w:t xml:space="preserve"> </w:t>
      </w:r>
      <w:r>
        <w:rPr>
          <w:rFonts w:cs="Times New Roman"/>
          <w:szCs w:val="24"/>
        </w:rPr>
        <w:t>The ratio of the times electric lighting was on during a year</w:t>
      </w:r>
      <w:r w:rsidRPr="00303BF6">
        <w:rPr>
          <w:rFonts w:cs="Times New Roman"/>
          <w:szCs w:val="24"/>
        </w:rPr>
        <w:t xml:space="preserve"> computed by employing different blinds and lighting use models.</w:t>
      </w:r>
      <w:bookmarkEnd w:id="98"/>
      <w:bookmarkEnd w:id="99"/>
      <w:bookmarkEnd w:id="100"/>
      <w:bookmarkEnd w:id="101"/>
      <w:bookmarkEnd w:id="102"/>
      <w:bookmarkEnd w:id="103"/>
      <w:bookmarkEnd w:id="104"/>
      <w:bookmarkEnd w:id="105"/>
      <w:r>
        <w:rPr>
          <w:rFonts w:cs="Times New Roman"/>
          <w:szCs w:val="24"/>
        </w:rPr>
        <w:t xml:space="preserve"> </w:t>
      </w:r>
    </w:p>
    <w:p w:rsidR="00BF25DE" w:rsidRPr="00303BF6" w:rsidRDefault="00BF25DE" w:rsidP="00051A6E">
      <w:pPr>
        <w:jc w:val="center"/>
        <w:rPr>
          <w:rFonts w:cs="Times New Roman"/>
          <w:szCs w:val="24"/>
        </w:rPr>
      </w:pPr>
      <w:r w:rsidRPr="00303BF6">
        <w:rPr>
          <w:rFonts w:cs="Times New Roman"/>
          <w:noProof/>
          <w:szCs w:val="24"/>
          <w:lang w:val="en-US"/>
        </w:rPr>
        <w:drawing>
          <wp:inline distT="0" distB="0" distL="0" distR="0">
            <wp:extent cx="4719320" cy="1824355"/>
            <wp:effectExtent l="19050" t="0" r="5080" b="0"/>
            <wp:docPr id="19" name="Picture 5" descr="C:\Users\Burak\Dropbox\Occupant_Modelling\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ak\Dropbox\Occupant_Modelling\Figure 10.tif"/>
                    <pic:cNvPicPr>
                      <a:picLocks noChangeAspect="1" noChangeArrowheads="1"/>
                    </pic:cNvPicPr>
                  </pic:nvPicPr>
                  <pic:blipFill>
                    <a:blip r:embed="rId24" cstate="print"/>
                    <a:srcRect/>
                    <a:stretch>
                      <a:fillRect/>
                    </a:stretch>
                  </pic:blipFill>
                  <pic:spPr bwMode="auto">
                    <a:xfrm>
                      <a:off x="0" y="0"/>
                      <a:ext cx="4719320" cy="1824355"/>
                    </a:xfrm>
                    <a:prstGeom prst="rect">
                      <a:avLst/>
                    </a:prstGeom>
                    <a:noFill/>
                    <a:ln w="9525">
                      <a:noFill/>
                      <a:miter lim="800000"/>
                      <a:headEnd/>
                      <a:tailEnd/>
                    </a:ln>
                  </pic:spPr>
                </pic:pic>
              </a:graphicData>
            </a:graphic>
          </wp:inline>
        </w:drawing>
      </w:r>
    </w:p>
    <w:p w:rsidR="00BF25DE" w:rsidRDefault="00BF25DE" w:rsidP="00051A6E">
      <w:pPr>
        <w:jc w:val="both"/>
        <w:rPr>
          <w:rFonts w:cs="Times New Roman"/>
          <w:szCs w:val="24"/>
        </w:rPr>
      </w:pPr>
      <w:bookmarkStart w:id="106" w:name="_Toc415674260"/>
      <w:bookmarkStart w:id="107" w:name="_Toc415833363"/>
      <w:bookmarkStart w:id="108" w:name="_Toc415833420"/>
      <w:bookmarkStart w:id="109" w:name="_Toc415833486"/>
      <w:bookmarkStart w:id="110" w:name="_Toc415853738"/>
      <w:bookmarkStart w:id="111" w:name="_Toc415940707"/>
      <w:bookmarkStart w:id="112" w:name="_Toc421178268"/>
      <w:bookmarkStart w:id="113" w:name="_Toc421178577"/>
      <w:bookmarkStart w:id="114" w:name="_Toc415769248"/>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10</w:t>
      </w:r>
      <w:r w:rsidR="00F84CB0" w:rsidRPr="00303BF6">
        <w:rPr>
          <w:rFonts w:cs="Times New Roman"/>
          <w:szCs w:val="24"/>
        </w:rPr>
        <w:fldChar w:fldCharType="end"/>
      </w:r>
      <w:r w:rsidRPr="00303BF6">
        <w:rPr>
          <w:rFonts w:cs="Times New Roman"/>
          <w:szCs w:val="24"/>
        </w:rPr>
        <w:t>:</w:t>
      </w:r>
      <w:bookmarkEnd w:id="106"/>
      <w:r w:rsidRPr="00303BF6">
        <w:rPr>
          <w:rFonts w:cs="Times New Roman"/>
          <w:szCs w:val="24"/>
        </w:rPr>
        <w:t xml:space="preserve"> </w:t>
      </w:r>
      <w:bookmarkEnd w:id="107"/>
      <w:bookmarkEnd w:id="108"/>
      <w:bookmarkEnd w:id="109"/>
      <w:r w:rsidRPr="00300212">
        <w:rPr>
          <w:rFonts w:cs="Times New Roman"/>
          <w:szCs w:val="24"/>
        </w:rPr>
        <w:t xml:space="preserve">Mean weekday blind occlusion rate computed by employing (a) Reinhart (2004)'s, (b) </w:t>
      </w:r>
      <w:proofErr w:type="spellStart"/>
      <w:r w:rsidRPr="00300212">
        <w:rPr>
          <w:rFonts w:cs="Times New Roman"/>
          <w:szCs w:val="24"/>
        </w:rPr>
        <w:t>Newsham</w:t>
      </w:r>
      <w:proofErr w:type="spellEnd"/>
      <w:r w:rsidRPr="00300212">
        <w:rPr>
          <w:rFonts w:cs="Times New Roman"/>
          <w:szCs w:val="24"/>
        </w:rPr>
        <w:t xml:space="preserve"> (1994)'s, and (c) </w:t>
      </w:r>
      <w:proofErr w:type="spellStart"/>
      <w:r w:rsidRPr="00300212">
        <w:rPr>
          <w:rFonts w:cs="Times New Roman"/>
          <w:szCs w:val="24"/>
        </w:rPr>
        <w:t>Haldi</w:t>
      </w:r>
      <w:proofErr w:type="spellEnd"/>
      <w:r w:rsidRPr="00300212">
        <w:rPr>
          <w:rFonts w:cs="Times New Roman"/>
          <w:szCs w:val="24"/>
        </w:rPr>
        <w:t xml:space="preserve"> and Robinson (2010)'s blinds use models.</w:t>
      </w:r>
      <w:bookmarkEnd w:id="110"/>
      <w:bookmarkEnd w:id="111"/>
      <w:r>
        <w:rPr>
          <w:rFonts w:cs="Times New Roman"/>
          <w:szCs w:val="24"/>
        </w:rPr>
        <w:t xml:space="preserve"> The straight lines represent the mean and the error bars represent the standard deviation of the blind occlusion rate.</w:t>
      </w:r>
      <w:bookmarkEnd w:id="112"/>
      <w:bookmarkEnd w:id="113"/>
    </w:p>
    <w:bookmarkEnd w:id="114"/>
    <w:p w:rsidR="00BF25DE" w:rsidRDefault="00BF25DE" w:rsidP="00051A6E">
      <w:pPr>
        <w:spacing w:after="0" w:line="360" w:lineRule="auto"/>
        <w:jc w:val="both"/>
        <w:rPr>
          <w:rFonts w:cs="Times New Roman"/>
          <w:szCs w:val="24"/>
        </w:rPr>
      </w:pPr>
      <w:r>
        <w:rPr>
          <w:rFonts w:cs="Times New Roman"/>
          <w:szCs w:val="24"/>
        </w:rPr>
        <w:t xml:space="preserve">Figure 11 presents the monthly blind occlusion rates predicted by the occupant models shown in Table 10. The results indicate that the blind occlusion rates do not exhibit a significant seasonal variation with </w:t>
      </w:r>
      <w:r>
        <w:rPr>
          <w:rFonts w:cs="Times New Roman"/>
          <w:noProof/>
          <w:szCs w:val="24"/>
        </w:rPr>
        <w:t>Haldi and Robinson (2010)</w:t>
      </w:r>
      <w:r>
        <w:rPr>
          <w:rFonts w:cs="Times New Roman"/>
          <w:szCs w:val="24"/>
        </w:rPr>
        <w:t xml:space="preserve">'s blinds use model. In contrast, the other models </w:t>
      </w:r>
      <w:r>
        <w:rPr>
          <w:rFonts w:cs="Times New Roman"/>
          <w:noProof/>
          <w:szCs w:val="24"/>
        </w:rPr>
        <w:t>(Newsham 1994; Reinhart 2004)</w:t>
      </w:r>
      <w:r>
        <w:rPr>
          <w:rFonts w:cs="Times New Roman"/>
          <w:szCs w:val="24"/>
        </w:rPr>
        <w:t xml:space="preserve"> predicted that the blind occlusion rates during the heating and cooling seasons were significantly different (i.e., 0.75 in January and 0.25 in July). This can be interpreted with the fact that </w:t>
      </w:r>
      <w:r>
        <w:rPr>
          <w:rFonts w:cs="Times New Roman"/>
          <w:noProof/>
          <w:szCs w:val="24"/>
        </w:rPr>
        <w:t>Newsham (1994)</w:t>
      </w:r>
      <w:r>
        <w:rPr>
          <w:rFonts w:cs="Times New Roman"/>
          <w:szCs w:val="24"/>
        </w:rPr>
        <w:t xml:space="preserve">'s and </w:t>
      </w:r>
      <w:r>
        <w:rPr>
          <w:rFonts w:cs="Times New Roman"/>
          <w:noProof/>
          <w:szCs w:val="24"/>
        </w:rPr>
        <w:t>Reinhart (2004)</w:t>
      </w:r>
      <w:r>
        <w:rPr>
          <w:rFonts w:cs="Times New Roman"/>
          <w:szCs w:val="24"/>
        </w:rPr>
        <w:t xml:space="preserve">'s blinds use models input direct solar irradiance to predict blinds closing actions. During the cooling season, when the solar altitude is higher, the beam solar irradiance does not reach the </w:t>
      </w:r>
      <w:proofErr w:type="spellStart"/>
      <w:r>
        <w:rPr>
          <w:rFonts w:cs="Times New Roman"/>
          <w:szCs w:val="24"/>
        </w:rPr>
        <w:t>workplane</w:t>
      </w:r>
      <w:proofErr w:type="spellEnd"/>
      <w:r>
        <w:rPr>
          <w:rFonts w:cs="Times New Roman"/>
          <w:szCs w:val="24"/>
        </w:rPr>
        <w:t xml:space="preserve"> and does not trigger the blinds closing actions. Because </w:t>
      </w:r>
      <w:r>
        <w:rPr>
          <w:rFonts w:cs="Times New Roman"/>
          <w:noProof/>
          <w:szCs w:val="24"/>
        </w:rPr>
        <w:t>Haldi and Robinson (2010)</w:t>
      </w:r>
      <w:r>
        <w:rPr>
          <w:rFonts w:cs="Times New Roman"/>
          <w:szCs w:val="24"/>
        </w:rPr>
        <w:t xml:space="preserve">'s blinds use model inputs the </w:t>
      </w:r>
      <w:proofErr w:type="spellStart"/>
      <w:r>
        <w:rPr>
          <w:rFonts w:cs="Times New Roman"/>
          <w:szCs w:val="24"/>
        </w:rPr>
        <w:lastRenderedPageBreak/>
        <w:t>workplane</w:t>
      </w:r>
      <w:proofErr w:type="spellEnd"/>
      <w:r>
        <w:rPr>
          <w:rFonts w:cs="Times New Roman"/>
          <w:szCs w:val="24"/>
        </w:rPr>
        <w:t xml:space="preserve"> </w:t>
      </w:r>
      <w:proofErr w:type="spellStart"/>
      <w:r>
        <w:rPr>
          <w:rFonts w:cs="Times New Roman"/>
          <w:szCs w:val="24"/>
        </w:rPr>
        <w:t>illuminance</w:t>
      </w:r>
      <w:proofErr w:type="spellEnd"/>
      <w:r>
        <w:rPr>
          <w:rFonts w:cs="Times New Roman"/>
          <w:szCs w:val="24"/>
        </w:rPr>
        <w:t xml:space="preserve">, its predictions do not strictly depend on the seasonal variations in the solar geometry. In line with </w:t>
      </w:r>
      <w:r>
        <w:rPr>
          <w:rFonts w:cs="Times New Roman"/>
          <w:noProof/>
          <w:szCs w:val="24"/>
        </w:rPr>
        <w:t>Haldi and Robinson (2010)</w:t>
      </w:r>
      <w:r>
        <w:rPr>
          <w:rFonts w:cs="Times New Roman"/>
          <w:szCs w:val="24"/>
        </w:rPr>
        <w:t xml:space="preserve">'s blind model, </w:t>
      </w:r>
      <w:r>
        <w:rPr>
          <w:rFonts w:cs="Times New Roman"/>
          <w:noProof/>
          <w:szCs w:val="24"/>
        </w:rPr>
        <w:t>Mahdavi (2009)</w:t>
      </w:r>
      <w:r>
        <w:rPr>
          <w:rFonts w:cs="Times New Roman"/>
          <w:szCs w:val="24"/>
        </w:rPr>
        <w:t xml:space="preserve"> and </w:t>
      </w:r>
      <w:r>
        <w:rPr>
          <w:rFonts w:cs="Times New Roman"/>
          <w:noProof/>
          <w:szCs w:val="24"/>
        </w:rPr>
        <w:t>Inoue (2003)</w:t>
      </w:r>
      <w:r>
        <w:rPr>
          <w:rFonts w:cs="Times New Roman"/>
          <w:szCs w:val="24"/>
        </w:rPr>
        <w:t xml:space="preserve"> did not observe a strong seasonal dependency on the blind occlusion rates on all facade orientation. Despite the hourly and monthly inconsistencies between blinds use model predictions, all three models were able to predict the annual blind occlusion rates consistently at about 50% (see Figure 12). </w:t>
      </w:r>
    </w:p>
    <w:p w:rsidR="00BF25DE" w:rsidRPr="00716F43" w:rsidRDefault="00BF25DE" w:rsidP="00051A6E">
      <w:pPr>
        <w:pStyle w:val="Caption"/>
        <w:spacing w:after="0"/>
        <w:rPr>
          <w:rFonts w:cs="Times New Roman"/>
          <w:b w:val="0"/>
          <w:color w:val="auto"/>
          <w:sz w:val="24"/>
          <w:szCs w:val="24"/>
        </w:rPr>
      </w:pPr>
      <w:r w:rsidRPr="00716F43">
        <w:rPr>
          <w:rFonts w:cs="Times New Roman"/>
          <w:b w:val="0"/>
          <w:color w:val="auto"/>
          <w:sz w:val="24"/>
          <w:szCs w:val="24"/>
        </w:rPr>
        <w:t xml:space="preserve">Table </w:t>
      </w:r>
      <w:r w:rsidR="00F84CB0" w:rsidRPr="00716F43">
        <w:rPr>
          <w:rFonts w:cs="Times New Roman"/>
          <w:b w:val="0"/>
          <w:color w:val="auto"/>
          <w:sz w:val="24"/>
          <w:szCs w:val="24"/>
        </w:rPr>
        <w:fldChar w:fldCharType="begin"/>
      </w:r>
      <w:r w:rsidRPr="00716F43">
        <w:rPr>
          <w:rFonts w:cs="Times New Roman"/>
          <w:b w:val="0"/>
          <w:color w:val="auto"/>
          <w:sz w:val="24"/>
          <w:szCs w:val="24"/>
        </w:rPr>
        <w:instrText xml:space="preserve"> SEQ Table \* ARABIC </w:instrText>
      </w:r>
      <w:r w:rsidR="00F84CB0" w:rsidRPr="00716F43">
        <w:rPr>
          <w:rFonts w:cs="Times New Roman"/>
          <w:b w:val="0"/>
          <w:color w:val="auto"/>
          <w:sz w:val="24"/>
          <w:szCs w:val="24"/>
        </w:rPr>
        <w:fldChar w:fldCharType="separate"/>
      </w:r>
      <w:r w:rsidRPr="00716F43">
        <w:rPr>
          <w:rFonts w:cs="Times New Roman"/>
          <w:b w:val="0"/>
          <w:noProof/>
          <w:color w:val="auto"/>
          <w:sz w:val="24"/>
          <w:szCs w:val="24"/>
        </w:rPr>
        <w:t>10</w:t>
      </w:r>
      <w:r w:rsidR="00F84CB0" w:rsidRPr="00716F43">
        <w:rPr>
          <w:rFonts w:cs="Times New Roman"/>
          <w:b w:val="0"/>
          <w:color w:val="auto"/>
          <w:sz w:val="24"/>
          <w:szCs w:val="24"/>
        </w:rPr>
        <w:fldChar w:fldCharType="end"/>
      </w:r>
      <w:r w:rsidRPr="00716F43">
        <w:rPr>
          <w:rFonts w:cs="Times New Roman"/>
          <w:b w:val="0"/>
          <w:color w:val="auto"/>
          <w:sz w:val="24"/>
          <w:szCs w:val="24"/>
        </w:rPr>
        <w:t>: Occupant models used in the run-cases shown in Figures 10 to 12.</w:t>
      </w:r>
    </w:p>
    <w:tbl>
      <w:tblPr>
        <w:tblStyle w:val="TableGrid"/>
        <w:tblW w:w="4681" w:type="pct"/>
        <w:jc w:val="center"/>
        <w:tblLayout w:type="fixed"/>
        <w:tblLook w:val="06A0"/>
      </w:tblPr>
      <w:tblGrid>
        <w:gridCol w:w="2487"/>
        <w:gridCol w:w="1617"/>
        <w:gridCol w:w="1712"/>
        <w:gridCol w:w="1623"/>
        <w:gridCol w:w="1526"/>
      </w:tblGrid>
      <w:tr w:rsidR="00BF25DE" w:rsidRPr="001031CE" w:rsidTr="00F31336">
        <w:trPr>
          <w:trHeight w:val="570"/>
          <w:jc w:val="center"/>
        </w:trPr>
        <w:tc>
          <w:tcPr>
            <w:tcW w:w="1387"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sidRPr="001031CE">
              <w:rPr>
                <w:rFonts w:eastAsia="Times New Roman" w:cs="Times New Roman"/>
                <w:b/>
                <w:color w:val="000000"/>
                <w:sz w:val="20"/>
                <w:szCs w:val="24"/>
                <w:lang w:eastAsia="en-CA"/>
              </w:rPr>
              <w:t>Blinds</w:t>
            </w:r>
          </w:p>
        </w:tc>
        <w:tc>
          <w:tcPr>
            <w:tcW w:w="902"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Pr>
                <w:rFonts w:eastAsia="Times New Roman" w:cs="Times New Roman"/>
                <w:b/>
                <w:color w:val="000000"/>
                <w:sz w:val="20"/>
                <w:szCs w:val="24"/>
                <w:lang w:eastAsia="en-CA"/>
              </w:rPr>
              <w:t>Light switch-</w:t>
            </w:r>
            <w:r w:rsidRPr="001031CE">
              <w:rPr>
                <w:rFonts w:eastAsia="Times New Roman" w:cs="Times New Roman"/>
                <w:b/>
                <w:color w:val="000000"/>
                <w:sz w:val="20"/>
                <w:szCs w:val="24"/>
                <w:lang w:eastAsia="en-CA"/>
              </w:rPr>
              <w:t>on</w:t>
            </w:r>
          </w:p>
        </w:tc>
        <w:tc>
          <w:tcPr>
            <w:tcW w:w="955" w:type="pct"/>
            <w:vAlign w:val="center"/>
          </w:tcPr>
          <w:p w:rsidR="00BF25DE" w:rsidRPr="001031CE" w:rsidRDefault="00BF25DE" w:rsidP="00051A6E">
            <w:pPr>
              <w:jc w:val="center"/>
              <w:rPr>
                <w:rFonts w:eastAsia="Times New Roman" w:cs="Times New Roman"/>
                <w:b/>
                <w:color w:val="000000"/>
                <w:sz w:val="20"/>
                <w:szCs w:val="24"/>
                <w:lang w:eastAsia="en-CA"/>
              </w:rPr>
            </w:pPr>
            <w:r>
              <w:rPr>
                <w:rFonts w:eastAsia="Times New Roman" w:cs="Times New Roman"/>
                <w:b/>
                <w:color w:val="000000"/>
                <w:sz w:val="20"/>
                <w:szCs w:val="24"/>
                <w:lang w:eastAsia="en-CA"/>
              </w:rPr>
              <w:t>Light switch-</w:t>
            </w:r>
            <w:r w:rsidRPr="001031CE">
              <w:rPr>
                <w:rFonts w:eastAsia="Times New Roman" w:cs="Times New Roman"/>
                <w:b/>
                <w:color w:val="000000"/>
                <w:sz w:val="20"/>
                <w:szCs w:val="24"/>
                <w:lang w:eastAsia="en-CA"/>
              </w:rPr>
              <w:t>o</w:t>
            </w:r>
            <w:r>
              <w:rPr>
                <w:rFonts w:eastAsia="Times New Roman" w:cs="Times New Roman"/>
                <w:b/>
                <w:color w:val="000000"/>
                <w:sz w:val="20"/>
                <w:szCs w:val="24"/>
                <w:lang w:eastAsia="en-CA"/>
              </w:rPr>
              <w:t>ff</w:t>
            </w:r>
          </w:p>
        </w:tc>
        <w:tc>
          <w:tcPr>
            <w:tcW w:w="905"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sidRPr="001031CE">
              <w:rPr>
                <w:rFonts w:eastAsia="Times New Roman" w:cs="Times New Roman"/>
                <w:b/>
                <w:color w:val="000000"/>
                <w:sz w:val="20"/>
                <w:szCs w:val="24"/>
                <w:lang w:eastAsia="en-CA"/>
              </w:rPr>
              <w:t>Clothing</w:t>
            </w:r>
          </w:p>
        </w:tc>
        <w:tc>
          <w:tcPr>
            <w:tcW w:w="851" w:type="pct"/>
            <w:noWrap/>
            <w:vAlign w:val="center"/>
            <w:hideMark/>
          </w:tcPr>
          <w:p w:rsidR="00BF25DE" w:rsidRPr="001031CE" w:rsidRDefault="00BF25DE" w:rsidP="00051A6E">
            <w:pPr>
              <w:spacing w:line="276" w:lineRule="auto"/>
              <w:jc w:val="center"/>
              <w:rPr>
                <w:rFonts w:eastAsia="Times New Roman" w:cs="Times New Roman"/>
                <w:b/>
                <w:color w:val="000000"/>
                <w:sz w:val="20"/>
                <w:szCs w:val="24"/>
                <w:lang w:eastAsia="en-CA"/>
              </w:rPr>
            </w:pPr>
            <w:r w:rsidRPr="001031CE">
              <w:rPr>
                <w:rFonts w:eastAsia="Times New Roman" w:cs="Times New Roman"/>
                <w:b/>
                <w:color w:val="000000"/>
                <w:sz w:val="20"/>
                <w:szCs w:val="24"/>
                <w:lang w:eastAsia="en-CA"/>
              </w:rPr>
              <w:t>Occupancy</w:t>
            </w:r>
          </w:p>
        </w:tc>
      </w:tr>
      <w:tr w:rsidR="00BF25DE" w:rsidRPr="001031CE" w:rsidTr="00F31336">
        <w:trPr>
          <w:trHeight w:val="300"/>
          <w:jc w:val="center"/>
        </w:trPr>
        <w:tc>
          <w:tcPr>
            <w:tcW w:w="1387" w:type="pc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Haldi</w:t>
            </w:r>
            <w:proofErr w:type="spellEnd"/>
            <w:r w:rsidRPr="001031CE">
              <w:rPr>
                <w:rFonts w:eastAsia="Times New Roman" w:cs="Times New Roman"/>
                <w:color w:val="000000"/>
                <w:sz w:val="20"/>
                <w:szCs w:val="24"/>
                <w:lang w:eastAsia="en-CA"/>
              </w:rPr>
              <w:t xml:space="preserve"> and Robinson (2010)</w:t>
            </w:r>
          </w:p>
        </w:tc>
        <w:tc>
          <w:tcPr>
            <w:tcW w:w="902"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r>
              <w:rPr>
                <w:rFonts w:eastAsia="Times New Roman" w:cs="Times New Roman"/>
                <w:color w:val="000000"/>
                <w:sz w:val="20"/>
                <w:szCs w:val="24"/>
                <w:lang w:eastAsia="en-CA"/>
              </w:rPr>
              <w:t>Hunt (1979)</w:t>
            </w:r>
          </w:p>
        </w:tc>
        <w:tc>
          <w:tcPr>
            <w:tcW w:w="955" w:type="pct"/>
            <w:vMerge w:val="restart"/>
            <w:vAlign w:val="center"/>
          </w:tcPr>
          <w:p w:rsidR="00BF25DE" w:rsidRPr="001031CE" w:rsidRDefault="00BF25DE" w:rsidP="00051A6E">
            <w:pPr>
              <w:jc w:val="center"/>
              <w:rPr>
                <w:rFonts w:eastAsia="Times New Roman" w:cs="Times New Roman"/>
                <w:color w:val="000000"/>
                <w:sz w:val="20"/>
                <w:szCs w:val="24"/>
                <w:lang w:eastAsia="en-CA"/>
              </w:rPr>
            </w:pPr>
            <w:r>
              <w:rPr>
                <w:rFonts w:eastAsia="Times New Roman" w:cs="Times New Roman"/>
                <w:color w:val="000000"/>
                <w:sz w:val="20"/>
                <w:szCs w:val="24"/>
                <w:lang w:eastAsia="en-CA"/>
              </w:rPr>
              <w:t>Boyce et al. (2006)</w:t>
            </w:r>
          </w:p>
        </w:tc>
        <w:tc>
          <w:tcPr>
            <w:tcW w:w="905" w:type="pct"/>
            <w:vMerge w:val="restar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Schiavon</w:t>
            </w:r>
            <w:proofErr w:type="spellEnd"/>
            <w:r w:rsidRPr="001031CE">
              <w:rPr>
                <w:rFonts w:eastAsia="Times New Roman" w:cs="Times New Roman"/>
                <w:color w:val="000000"/>
                <w:sz w:val="20"/>
                <w:szCs w:val="24"/>
                <w:lang w:eastAsia="en-CA"/>
              </w:rPr>
              <w:t xml:space="preserve"> and Lee (2013)</w:t>
            </w:r>
          </w:p>
        </w:tc>
        <w:tc>
          <w:tcPr>
            <w:tcW w:w="851" w:type="pct"/>
            <w:vMerge w:val="restart"/>
            <w:noWrap/>
            <w:vAlign w:val="center"/>
            <w:hideMark/>
          </w:tcPr>
          <w:p w:rsidR="00BF25DE" w:rsidRPr="001031CE" w:rsidRDefault="00051A6E" w:rsidP="00051A6E">
            <w:pPr>
              <w:spacing w:line="276" w:lineRule="auto"/>
              <w:jc w:val="center"/>
              <w:rPr>
                <w:rFonts w:eastAsia="Times New Roman" w:cs="Times New Roman"/>
                <w:color w:val="000000"/>
                <w:sz w:val="20"/>
                <w:szCs w:val="24"/>
                <w:lang w:eastAsia="en-CA"/>
              </w:rPr>
            </w:pPr>
            <w:r>
              <w:rPr>
                <w:rFonts w:eastAsia="Times New Roman" w:cs="Times New Roman"/>
                <w:color w:val="000000"/>
                <w:sz w:val="20"/>
                <w:szCs w:val="24"/>
                <w:lang w:eastAsia="en-CA"/>
              </w:rPr>
              <w:t>Wang</w:t>
            </w:r>
            <w:r w:rsidR="00BF25DE" w:rsidRPr="001031CE">
              <w:rPr>
                <w:rFonts w:eastAsia="Times New Roman" w:cs="Times New Roman"/>
                <w:color w:val="000000"/>
                <w:sz w:val="20"/>
                <w:szCs w:val="24"/>
                <w:lang w:eastAsia="en-CA"/>
              </w:rPr>
              <w:t xml:space="preserve"> et al. (2005)</w:t>
            </w:r>
          </w:p>
        </w:tc>
      </w:tr>
      <w:tr w:rsidR="00BF25DE" w:rsidRPr="001031CE" w:rsidTr="00F31336">
        <w:trPr>
          <w:trHeight w:val="428"/>
          <w:jc w:val="center"/>
        </w:trPr>
        <w:tc>
          <w:tcPr>
            <w:tcW w:w="1387" w:type="pc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r w:rsidRPr="001031CE">
              <w:rPr>
                <w:rFonts w:eastAsia="Times New Roman" w:cs="Times New Roman"/>
                <w:color w:val="000000"/>
                <w:sz w:val="20"/>
                <w:szCs w:val="24"/>
                <w:lang w:eastAsia="en-CA"/>
              </w:rPr>
              <w:t>Reinhart (2004)</w:t>
            </w:r>
          </w:p>
        </w:tc>
        <w:tc>
          <w:tcPr>
            <w:tcW w:w="902"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r>
      <w:tr w:rsidR="00BF25DE" w:rsidRPr="001031CE" w:rsidTr="00F31336">
        <w:trPr>
          <w:trHeight w:val="422"/>
          <w:jc w:val="center"/>
        </w:trPr>
        <w:tc>
          <w:tcPr>
            <w:tcW w:w="1387" w:type="pct"/>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roofErr w:type="spellStart"/>
            <w:r w:rsidRPr="001031CE">
              <w:rPr>
                <w:rFonts w:eastAsia="Times New Roman" w:cs="Times New Roman"/>
                <w:color w:val="000000"/>
                <w:sz w:val="20"/>
                <w:szCs w:val="24"/>
                <w:lang w:eastAsia="en-CA"/>
              </w:rPr>
              <w:t>Newsham</w:t>
            </w:r>
            <w:proofErr w:type="spellEnd"/>
            <w:r w:rsidRPr="001031CE">
              <w:rPr>
                <w:rFonts w:eastAsia="Times New Roman" w:cs="Times New Roman"/>
                <w:color w:val="000000"/>
                <w:sz w:val="20"/>
                <w:szCs w:val="24"/>
                <w:lang w:eastAsia="en-CA"/>
              </w:rPr>
              <w:t xml:space="preserve"> (1994)</w:t>
            </w:r>
          </w:p>
        </w:tc>
        <w:tc>
          <w:tcPr>
            <w:tcW w:w="902"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955" w:type="pct"/>
            <w:vMerge/>
          </w:tcPr>
          <w:p w:rsidR="00BF25DE" w:rsidRPr="001031CE" w:rsidRDefault="00BF25DE" w:rsidP="00051A6E">
            <w:pPr>
              <w:jc w:val="center"/>
              <w:rPr>
                <w:rFonts w:eastAsia="Times New Roman" w:cs="Times New Roman"/>
                <w:color w:val="000000"/>
                <w:sz w:val="20"/>
                <w:szCs w:val="24"/>
                <w:lang w:eastAsia="en-CA"/>
              </w:rPr>
            </w:pPr>
          </w:p>
        </w:tc>
        <w:tc>
          <w:tcPr>
            <w:tcW w:w="905"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c>
          <w:tcPr>
            <w:tcW w:w="851" w:type="pct"/>
            <w:vMerge/>
            <w:noWrap/>
            <w:vAlign w:val="center"/>
            <w:hideMark/>
          </w:tcPr>
          <w:p w:rsidR="00BF25DE" w:rsidRPr="001031CE" w:rsidRDefault="00BF25DE" w:rsidP="00051A6E">
            <w:pPr>
              <w:spacing w:line="276" w:lineRule="auto"/>
              <w:jc w:val="center"/>
              <w:rPr>
                <w:rFonts w:eastAsia="Times New Roman" w:cs="Times New Roman"/>
                <w:color w:val="000000"/>
                <w:sz w:val="20"/>
                <w:szCs w:val="24"/>
                <w:lang w:eastAsia="en-CA"/>
              </w:rPr>
            </w:pPr>
          </w:p>
        </w:tc>
      </w:tr>
    </w:tbl>
    <w:p w:rsidR="00BF25DE" w:rsidRPr="00303BF6" w:rsidRDefault="00BF25DE" w:rsidP="00051A6E">
      <w:pPr>
        <w:spacing w:after="0"/>
        <w:jc w:val="center"/>
        <w:rPr>
          <w:rFonts w:cs="Times New Roman"/>
          <w:szCs w:val="24"/>
        </w:rPr>
      </w:pPr>
      <w:r w:rsidRPr="00303BF6">
        <w:rPr>
          <w:rFonts w:cs="Times New Roman"/>
          <w:noProof/>
          <w:szCs w:val="24"/>
          <w:lang w:val="en-US"/>
        </w:rPr>
        <w:drawing>
          <wp:inline distT="0" distB="0" distL="0" distR="0">
            <wp:extent cx="4777503" cy="1671950"/>
            <wp:effectExtent l="19050" t="0" r="4047" b="0"/>
            <wp:docPr id="20" name="Picture 6" descr="C:\Users\Burak\Dropbox\Occupant_Modelling\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ak\Dropbox\Occupant_Modelling\Figure 11.tif"/>
                    <pic:cNvPicPr>
                      <a:picLocks noChangeAspect="1" noChangeArrowheads="1"/>
                    </pic:cNvPicPr>
                  </pic:nvPicPr>
                  <pic:blipFill>
                    <a:blip r:embed="rId25" cstate="print"/>
                    <a:srcRect b="3468"/>
                    <a:stretch>
                      <a:fillRect/>
                    </a:stretch>
                  </pic:blipFill>
                  <pic:spPr bwMode="auto">
                    <a:xfrm>
                      <a:off x="0" y="0"/>
                      <a:ext cx="4777503" cy="1671950"/>
                    </a:xfrm>
                    <a:prstGeom prst="rect">
                      <a:avLst/>
                    </a:prstGeom>
                    <a:noFill/>
                    <a:ln w="9525">
                      <a:noFill/>
                      <a:miter lim="800000"/>
                      <a:headEnd/>
                      <a:tailEnd/>
                    </a:ln>
                  </pic:spPr>
                </pic:pic>
              </a:graphicData>
            </a:graphic>
          </wp:inline>
        </w:drawing>
      </w:r>
    </w:p>
    <w:p w:rsidR="00BF25DE" w:rsidRPr="00303BF6" w:rsidRDefault="00BF25DE" w:rsidP="00051A6E">
      <w:pPr>
        <w:spacing w:after="0"/>
        <w:jc w:val="both"/>
        <w:rPr>
          <w:rFonts w:cs="Times New Roman"/>
          <w:szCs w:val="24"/>
        </w:rPr>
      </w:pPr>
      <w:bookmarkStart w:id="115" w:name="_Toc415674261"/>
      <w:bookmarkStart w:id="116" w:name="_Toc415769249"/>
      <w:bookmarkStart w:id="117" w:name="_Toc415833364"/>
      <w:bookmarkStart w:id="118" w:name="_Toc415833421"/>
      <w:bookmarkStart w:id="119" w:name="_Toc415833487"/>
      <w:bookmarkStart w:id="120" w:name="_Toc415853739"/>
      <w:bookmarkStart w:id="121" w:name="_Toc415940708"/>
      <w:bookmarkStart w:id="122" w:name="_Toc421178269"/>
      <w:bookmarkStart w:id="123" w:name="_Toc421178578"/>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11</w:t>
      </w:r>
      <w:r w:rsidR="00F84CB0" w:rsidRPr="00303BF6">
        <w:rPr>
          <w:rFonts w:cs="Times New Roman"/>
          <w:szCs w:val="24"/>
        </w:rPr>
        <w:fldChar w:fldCharType="end"/>
      </w:r>
      <w:r w:rsidRPr="00303BF6">
        <w:rPr>
          <w:rFonts w:cs="Times New Roman"/>
          <w:szCs w:val="24"/>
        </w:rPr>
        <w:t>:</w:t>
      </w:r>
      <w:bookmarkEnd w:id="115"/>
      <w:r w:rsidRPr="00303BF6">
        <w:rPr>
          <w:rFonts w:cs="Times New Roman"/>
          <w:szCs w:val="24"/>
        </w:rPr>
        <w:t xml:space="preserve"> </w:t>
      </w:r>
      <w:bookmarkEnd w:id="116"/>
      <w:bookmarkEnd w:id="117"/>
      <w:bookmarkEnd w:id="118"/>
      <w:bookmarkEnd w:id="119"/>
      <w:r w:rsidRPr="00300212">
        <w:rPr>
          <w:rFonts w:cs="Times New Roman"/>
          <w:szCs w:val="24"/>
        </w:rPr>
        <w:t xml:space="preserve">Monthly blind occlusion rate computed by employing (a) Reinhart (2004)'s, (b) </w:t>
      </w:r>
      <w:proofErr w:type="spellStart"/>
      <w:r w:rsidRPr="00300212">
        <w:rPr>
          <w:rFonts w:cs="Times New Roman"/>
          <w:szCs w:val="24"/>
        </w:rPr>
        <w:t>Newsham</w:t>
      </w:r>
      <w:proofErr w:type="spellEnd"/>
      <w:r w:rsidRPr="00300212">
        <w:rPr>
          <w:rFonts w:cs="Times New Roman"/>
          <w:szCs w:val="24"/>
        </w:rPr>
        <w:t xml:space="preserve"> (1994)'s, and (c) </w:t>
      </w:r>
      <w:proofErr w:type="spellStart"/>
      <w:r w:rsidRPr="00300212">
        <w:rPr>
          <w:rFonts w:cs="Times New Roman"/>
          <w:szCs w:val="24"/>
        </w:rPr>
        <w:t>Haldi</w:t>
      </w:r>
      <w:proofErr w:type="spellEnd"/>
      <w:r w:rsidRPr="00300212">
        <w:rPr>
          <w:rFonts w:cs="Times New Roman"/>
          <w:szCs w:val="24"/>
        </w:rPr>
        <w:t xml:space="preserve"> and Robinson (2010)'s blinds use models.</w:t>
      </w:r>
      <w:bookmarkEnd w:id="120"/>
      <w:bookmarkEnd w:id="121"/>
      <w:r>
        <w:rPr>
          <w:rFonts w:cs="Times New Roman"/>
          <w:szCs w:val="24"/>
        </w:rPr>
        <w:t xml:space="preserve"> The straight lines represent the mean and the error bars represent the standard deviation</w:t>
      </w:r>
      <w:bookmarkEnd w:id="122"/>
      <w:bookmarkEnd w:id="123"/>
      <w:r>
        <w:rPr>
          <w:rFonts w:cs="Times New Roman"/>
          <w:szCs w:val="24"/>
        </w:rPr>
        <w:t>.</w:t>
      </w:r>
    </w:p>
    <w:p w:rsidR="00BF25DE" w:rsidRPr="00303BF6" w:rsidRDefault="00BF25DE" w:rsidP="00051A6E">
      <w:pPr>
        <w:spacing w:after="0" w:line="240" w:lineRule="auto"/>
        <w:jc w:val="center"/>
        <w:rPr>
          <w:rFonts w:cs="Times New Roman"/>
          <w:szCs w:val="24"/>
        </w:rPr>
      </w:pPr>
      <w:r w:rsidRPr="00303BF6">
        <w:rPr>
          <w:rFonts w:cs="Times New Roman"/>
          <w:noProof/>
          <w:szCs w:val="24"/>
          <w:lang w:val="en-US"/>
        </w:rPr>
        <w:drawing>
          <wp:inline distT="0" distB="0" distL="0" distR="0">
            <wp:extent cx="3740711" cy="2301903"/>
            <wp:effectExtent l="19050" t="0" r="0" b="0"/>
            <wp:docPr id="22" name="Picture 8" descr="C:\Users\Burak\Dropbox\Occupant_Modelling\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rak\Dropbox\Occupant_Modelling\Figure 12.tif"/>
                    <pic:cNvPicPr>
                      <a:picLocks noChangeAspect="1" noChangeArrowheads="1"/>
                    </pic:cNvPicPr>
                  </pic:nvPicPr>
                  <pic:blipFill>
                    <a:blip r:embed="rId26" cstate="print"/>
                    <a:srcRect l="2049" t="3318" r="7586" b="4093"/>
                    <a:stretch>
                      <a:fillRect/>
                    </a:stretch>
                  </pic:blipFill>
                  <pic:spPr bwMode="auto">
                    <a:xfrm>
                      <a:off x="0" y="0"/>
                      <a:ext cx="3751836" cy="2308749"/>
                    </a:xfrm>
                    <a:prstGeom prst="rect">
                      <a:avLst/>
                    </a:prstGeom>
                    <a:noFill/>
                    <a:ln w="9525">
                      <a:noFill/>
                      <a:miter lim="800000"/>
                      <a:headEnd/>
                      <a:tailEnd/>
                    </a:ln>
                  </pic:spPr>
                </pic:pic>
              </a:graphicData>
            </a:graphic>
          </wp:inline>
        </w:drawing>
      </w:r>
    </w:p>
    <w:p w:rsidR="00BF25DE" w:rsidRPr="00303BF6" w:rsidRDefault="00BF25DE" w:rsidP="00051A6E">
      <w:pPr>
        <w:spacing w:after="0" w:line="240" w:lineRule="auto"/>
        <w:rPr>
          <w:rFonts w:cs="Times New Roman"/>
          <w:szCs w:val="24"/>
        </w:rPr>
      </w:pPr>
      <w:bookmarkStart w:id="124" w:name="_Toc415674262"/>
      <w:bookmarkStart w:id="125" w:name="_Toc415769250"/>
      <w:bookmarkStart w:id="126" w:name="_Toc415833365"/>
      <w:bookmarkStart w:id="127" w:name="_Toc415833422"/>
      <w:bookmarkStart w:id="128" w:name="_Toc415833488"/>
      <w:bookmarkStart w:id="129" w:name="_Toc415853740"/>
      <w:bookmarkStart w:id="130" w:name="_Toc415940709"/>
      <w:bookmarkStart w:id="131" w:name="_Toc421178270"/>
      <w:bookmarkStart w:id="132" w:name="_Toc421178579"/>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12</w:t>
      </w:r>
      <w:r w:rsidR="00F84CB0" w:rsidRPr="00303BF6">
        <w:rPr>
          <w:rFonts w:cs="Times New Roman"/>
          <w:szCs w:val="24"/>
        </w:rPr>
        <w:fldChar w:fldCharType="end"/>
      </w:r>
      <w:r w:rsidRPr="00303BF6">
        <w:rPr>
          <w:rFonts w:cs="Times New Roman"/>
          <w:szCs w:val="24"/>
        </w:rPr>
        <w:t>:</w:t>
      </w:r>
      <w:bookmarkEnd w:id="124"/>
      <w:r w:rsidRPr="00303BF6">
        <w:rPr>
          <w:rFonts w:cs="Times New Roman"/>
          <w:szCs w:val="24"/>
        </w:rPr>
        <w:t xml:space="preserve"> Mean blind occlusion rate distribution computed by employing three different blinds use models.</w:t>
      </w:r>
      <w:bookmarkEnd w:id="125"/>
      <w:bookmarkEnd w:id="126"/>
      <w:bookmarkEnd w:id="127"/>
      <w:bookmarkEnd w:id="128"/>
      <w:bookmarkEnd w:id="129"/>
      <w:bookmarkEnd w:id="130"/>
      <w:bookmarkEnd w:id="131"/>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F25DE" w:rsidRPr="00303BF6" w:rsidTr="00051A6E">
        <w:tc>
          <w:tcPr>
            <w:tcW w:w="9576" w:type="dxa"/>
          </w:tcPr>
          <w:p w:rsidR="00BF25DE" w:rsidRPr="00303BF6" w:rsidRDefault="00BF25DE" w:rsidP="00051A6E">
            <w:pPr>
              <w:jc w:val="center"/>
              <w:rPr>
                <w:rFonts w:cs="Times New Roman"/>
                <w:szCs w:val="24"/>
              </w:rPr>
            </w:pPr>
            <w:r w:rsidRPr="00156DAD">
              <w:rPr>
                <w:rFonts w:cs="Times New Roman"/>
                <w:noProof/>
                <w:szCs w:val="24"/>
                <w:lang w:val="en-US"/>
              </w:rPr>
              <w:lastRenderedPageBreak/>
              <w:drawing>
                <wp:inline distT="0" distB="0" distL="0" distR="0">
                  <wp:extent cx="4269286" cy="2619723"/>
                  <wp:effectExtent l="19050" t="0" r="0" b="0"/>
                  <wp:docPr id="30" name="Picture 4" descr="C:\Users\Burak\Dropbox\Occupant_Modelling\Figur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ak\Dropbox\Occupant_Modelling\Figure 13.tif"/>
                          <pic:cNvPicPr>
                            <a:picLocks noChangeAspect="1" noChangeArrowheads="1"/>
                          </pic:cNvPicPr>
                        </pic:nvPicPr>
                        <pic:blipFill>
                          <a:blip r:embed="rId27" cstate="print"/>
                          <a:srcRect b="4501"/>
                          <a:stretch>
                            <a:fillRect/>
                          </a:stretch>
                        </pic:blipFill>
                        <pic:spPr bwMode="auto">
                          <a:xfrm>
                            <a:off x="0" y="0"/>
                            <a:ext cx="4269286" cy="2619723"/>
                          </a:xfrm>
                          <a:prstGeom prst="rect">
                            <a:avLst/>
                          </a:prstGeom>
                          <a:noFill/>
                          <a:ln w="9525">
                            <a:noFill/>
                            <a:miter lim="800000"/>
                            <a:headEnd/>
                            <a:tailEnd/>
                          </a:ln>
                        </pic:spPr>
                      </pic:pic>
                    </a:graphicData>
                  </a:graphic>
                </wp:inline>
              </w:drawing>
            </w:r>
          </w:p>
        </w:tc>
      </w:tr>
      <w:tr w:rsidR="00BF25DE" w:rsidRPr="00303BF6" w:rsidTr="00051A6E">
        <w:tc>
          <w:tcPr>
            <w:tcW w:w="9576" w:type="dxa"/>
          </w:tcPr>
          <w:p w:rsidR="00BF25DE" w:rsidRPr="00303BF6" w:rsidRDefault="00BF25DE" w:rsidP="00051A6E">
            <w:pPr>
              <w:jc w:val="center"/>
              <w:rPr>
                <w:rFonts w:cs="Times New Roman"/>
                <w:szCs w:val="24"/>
              </w:rPr>
            </w:pPr>
            <w:r w:rsidRPr="00156DAD">
              <w:rPr>
                <w:rFonts w:cs="Times New Roman"/>
                <w:noProof/>
                <w:szCs w:val="24"/>
                <w:lang w:val="en-US"/>
              </w:rPr>
              <w:drawing>
                <wp:inline distT="0" distB="0" distL="0" distR="0">
                  <wp:extent cx="4246722" cy="2489570"/>
                  <wp:effectExtent l="19050" t="0" r="1428" b="0"/>
                  <wp:docPr id="36" name="Picture 6" descr="C:\Users\Burak\Dropbox\Occupant_Modelling\Figur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ak\Dropbox\Occupant_Modelling\Figure 13.tif"/>
                          <pic:cNvPicPr>
                            <a:picLocks noChangeAspect="1" noChangeArrowheads="1"/>
                          </pic:cNvPicPr>
                        </pic:nvPicPr>
                        <pic:blipFill>
                          <a:blip r:embed="rId28" cstate="print"/>
                          <a:srcRect t="4819" b="5301"/>
                          <a:stretch>
                            <a:fillRect/>
                          </a:stretch>
                        </pic:blipFill>
                        <pic:spPr bwMode="auto">
                          <a:xfrm>
                            <a:off x="0" y="0"/>
                            <a:ext cx="4246722" cy="2489570"/>
                          </a:xfrm>
                          <a:prstGeom prst="rect">
                            <a:avLst/>
                          </a:prstGeom>
                          <a:noFill/>
                          <a:ln w="9525">
                            <a:noFill/>
                            <a:miter lim="800000"/>
                            <a:headEnd/>
                            <a:tailEnd/>
                          </a:ln>
                        </pic:spPr>
                      </pic:pic>
                    </a:graphicData>
                  </a:graphic>
                </wp:inline>
              </w:drawing>
            </w:r>
          </w:p>
        </w:tc>
      </w:tr>
    </w:tbl>
    <w:p w:rsidR="00BF25DE" w:rsidRPr="00303BF6" w:rsidRDefault="00BF25DE" w:rsidP="00051A6E">
      <w:pPr>
        <w:jc w:val="both"/>
        <w:rPr>
          <w:rFonts w:cs="Times New Roman"/>
          <w:szCs w:val="24"/>
        </w:rPr>
      </w:pPr>
      <w:bookmarkStart w:id="133" w:name="_Toc415674263"/>
      <w:bookmarkStart w:id="134" w:name="_Toc415769251"/>
      <w:bookmarkStart w:id="135" w:name="_Toc415833366"/>
      <w:bookmarkStart w:id="136" w:name="_Toc415833423"/>
      <w:bookmarkStart w:id="137" w:name="_Toc415833489"/>
      <w:bookmarkStart w:id="138" w:name="_Toc415853741"/>
      <w:bookmarkStart w:id="139" w:name="_Toc415940710"/>
      <w:bookmarkStart w:id="140" w:name="_Toc421178271"/>
      <w:bookmarkStart w:id="141" w:name="_Toc421178580"/>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13</w:t>
      </w:r>
      <w:r w:rsidR="00F84CB0" w:rsidRPr="00303BF6">
        <w:rPr>
          <w:rFonts w:cs="Times New Roman"/>
          <w:szCs w:val="24"/>
        </w:rPr>
        <w:fldChar w:fldCharType="end"/>
      </w:r>
      <w:r w:rsidRPr="00303BF6">
        <w:rPr>
          <w:rFonts w:cs="Times New Roman"/>
          <w:szCs w:val="24"/>
        </w:rPr>
        <w:t>:</w:t>
      </w:r>
      <w:bookmarkEnd w:id="133"/>
      <w:r w:rsidRPr="00303BF6">
        <w:rPr>
          <w:rFonts w:cs="Times New Roman"/>
          <w:szCs w:val="24"/>
        </w:rPr>
        <w:t xml:space="preserve"> Space heating load</w:t>
      </w:r>
      <w:r>
        <w:rPr>
          <w:rFonts w:cs="Times New Roman"/>
          <w:szCs w:val="24"/>
        </w:rPr>
        <w:t>s</w:t>
      </w:r>
      <w:r w:rsidRPr="00303BF6">
        <w:rPr>
          <w:rFonts w:cs="Times New Roman"/>
          <w:szCs w:val="24"/>
        </w:rPr>
        <w:t xml:space="preserve"> predicted by employing</w:t>
      </w:r>
      <w:r>
        <w:rPr>
          <w:rFonts w:cs="Times New Roman"/>
          <w:szCs w:val="24"/>
        </w:rPr>
        <w:t xml:space="preserve"> a BPS model with a window assembly with (a) U-factor of 2 W.m</w:t>
      </w:r>
      <w:r w:rsidRPr="00303BF6">
        <w:rPr>
          <w:rFonts w:cs="Times New Roman"/>
          <w:szCs w:val="24"/>
          <w:vertAlign w:val="superscript"/>
        </w:rPr>
        <w:t>-2</w:t>
      </w:r>
      <w:r w:rsidRPr="00303BF6">
        <w:rPr>
          <w:rFonts w:cs="Times New Roman"/>
          <w:szCs w:val="24"/>
        </w:rPr>
        <w:t>°</w:t>
      </w:r>
      <w:r>
        <w:rPr>
          <w:rFonts w:cs="Times New Roman"/>
          <w:szCs w:val="24"/>
        </w:rPr>
        <w:t>C</w:t>
      </w:r>
      <w:r w:rsidRPr="00303BF6">
        <w:rPr>
          <w:rFonts w:cs="Times New Roman"/>
          <w:szCs w:val="24"/>
          <w:vertAlign w:val="superscript"/>
        </w:rPr>
        <w:t>-1</w:t>
      </w:r>
      <w:r w:rsidRPr="00303BF6">
        <w:rPr>
          <w:rFonts w:cs="Times New Roman"/>
          <w:szCs w:val="24"/>
        </w:rPr>
        <w:t>,</w:t>
      </w:r>
      <w:r>
        <w:rPr>
          <w:rFonts w:cs="Times New Roman"/>
          <w:szCs w:val="24"/>
        </w:rPr>
        <w:t xml:space="preserve"> SHGC of 0.6, visible transmittance of 0.75 and with (b) U-factor of 1.5 W.m</w:t>
      </w:r>
      <w:r w:rsidRPr="00303BF6">
        <w:rPr>
          <w:rFonts w:cs="Times New Roman"/>
          <w:szCs w:val="24"/>
          <w:vertAlign w:val="superscript"/>
        </w:rPr>
        <w:t>-2</w:t>
      </w:r>
      <w:r w:rsidRPr="00303BF6">
        <w:rPr>
          <w:rFonts w:cs="Times New Roman"/>
          <w:szCs w:val="24"/>
        </w:rPr>
        <w:t>°</w:t>
      </w:r>
      <w:r>
        <w:rPr>
          <w:rFonts w:cs="Times New Roman"/>
          <w:szCs w:val="24"/>
        </w:rPr>
        <w:t>C</w:t>
      </w:r>
      <w:r w:rsidRPr="00303BF6">
        <w:rPr>
          <w:rFonts w:cs="Times New Roman"/>
          <w:szCs w:val="24"/>
          <w:vertAlign w:val="superscript"/>
        </w:rPr>
        <w:t>-1</w:t>
      </w:r>
      <w:r w:rsidRPr="00303BF6">
        <w:rPr>
          <w:rFonts w:cs="Times New Roman"/>
          <w:szCs w:val="24"/>
        </w:rPr>
        <w:t>,</w:t>
      </w:r>
      <w:r>
        <w:rPr>
          <w:rFonts w:cs="Times New Roman"/>
          <w:szCs w:val="24"/>
        </w:rPr>
        <w:t xml:space="preserve"> SHGC of 0.5, visible transmittance of 0.5</w:t>
      </w:r>
      <w:r w:rsidRPr="00303BF6">
        <w:rPr>
          <w:rFonts w:cs="Times New Roman"/>
          <w:szCs w:val="24"/>
        </w:rPr>
        <w:t xml:space="preserve"> </w:t>
      </w:r>
      <w:r>
        <w:rPr>
          <w:rFonts w:cs="Times New Roman"/>
          <w:szCs w:val="24"/>
        </w:rPr>
        <w:t>with different blinds and lighting model combinations.</w:t>
      </w:r>
      <w:bookmarkEnd w:id="134"/>
      <w:bookmarkEnd w:id="135"/>
      <w:bookmarkEnd w:id="136"/>
      <w:bookmarkEnd w:id="137"/>
      <w:bookmarkEnd w:id="138"/>
      <w:bookmarkEnd w:id="139"/>
      <w:bookmarkEnd w:id="140"/>
      <w:bookmarkEnd w:id="141"/>
    </w:p>
    <w:p w:rsidR="00BF25DE" w:rsidRDefault="00BF25DE" w:rsidP="00051A6E">
      <w:pPr>
        <w:spacing w:after="0" w:line="360" w:lineRule="auto"/>
        <w:jc w:val="both"/>
        <w:rPr>
          <w:rFonts w:cs="Times New Roman"/>
          <w:szCs w:val="24"/>
        </w:rPr>
      </w:pPr>
      <w:r>
        <w:rPr>
          <w:rFonts w:cs="Times New Roman"/>
          <w:szCs w:val="24"/>
        </w:rPr>
        <w:t xml:space="preserve">Occupant use of blinds and lighting ― due to their impact over daylight, solar gains and lighting load ― influences the space heating and cooling loads. If a building's design is changed, these changes can impact the way occupants interact with their blinds and lighting ― which in turn will impact the heating, cooling, and lighting loads. The BPS model described in </w:t>
      </w:r>
      <w:r w:rsidR="00F31336">
        <w:rPr>
          <w:rFonts w:cs="Times New Roman"/>
          <w:szCs w:val="24"/>
        </w:rPr>
        <w:t>sub</w:t>
      </w:r>
      <w:r>
        <w:rPr>
          <w:rFonts w:cs="Times New Roman"/>
          <w:szCs w:val="24"/>
        </w:rPr>
        <w:t>section 2.4 with the twelve different blinds and lighting model combinations were simulated twice with two different window assemblies. One of them was defined with a U-factor of 2 W.m</w:t>
      </w:r>
      <w:r w:rsidRPr="000F0120">
        <w:rPr>
          <w:rFonts w:cs="Times New Roman"/>
          <w:szCs w:val="24"/>
          <w:vertAlign w:val="superscript"/>
        </w:rPr>
        <w:t>-2</w:t>
      </w:r>
      <w:r>
        <w:rPr>
          <w:rFonts w:ascii="Arial" w:hAnsi="Arial" w:cs="Arial"/>
          <w:color w:val="545454"/>
          <w:shd w:val="clear" w:color="auto" w:fill="FFFFFF"/>
        </w:rPr>
        <w:t>°</w:t>
      </w:r>
      <w:r>
        <w:rPr>
          <w:rFonts w:cs="Times New Roman"/>
          <w:szCs w:val="24"/>
        </w:rPr>
        <w:t>C</w:t>
      </w:r>
      <w:r w:rsidRPr="000F0120">
        <w:rPr>
          <w:rFonts w:cs="Times New Roman"/>
          <w:szCs w:val="24"/>
          <w:vertAlign w:val="superscript"/>
        </w:rPr>
        <w:t>-1</w:t>
      </w:r>
      <w:r w:rsidRPr="000F0120">
        <w:rPr>
          <w:rFonts w:cs="Times New Roman"/>
          <w:szCs w:val="24"/>
        </w:rPr>
        <w:t>,</w:t>
      </w:r>
      <w:r>
        <w:rPr>
          <w:rFonts w:cs="Times New Roman"/>
          <w:szCs w:val="24"/>
        </w:rPr>
        <w:t xml:space="preserve"> SHGC of 0.6, and a visible transmittance of 0.75. The second window assembly was defined with a U-factor of 1.5 W.m</w:t>
      </w:r>
      <w:r w:rsidRPr="009B4D33">
        <w:rPr>
          <w:rFonts w:cs="Times New Roman"/>
          <w:szCs w:val="24"/>
          <w:vertAlign w:val="superscript"/>
        </w:rPr>
        <w:t>-2</w:t>
      </w:r>
      <w:r>
        <w:rPr>
          <w:rFonts w:ascii="Arial" w:hAnsi="Arial" w:cs="Arial"/>
          <w:color w:val="545454"/>
          <w:shd w:val="clear" w:color="auto" w:fill="FFFFFF"/>
        </w:rPr>
        <w:t>°</w:t>
      </w:r>
      <w:r>
        <w:rPr>
          <w:rFonts w:cs="Times New Roman"/>
          <w:szCs w:val="24"/>
        </w:rPr>
        <w:t>C</w:t>
      </w:r>
      <w:r w:rsidRPr="009B4D33">
        <w:rPr>
          <w:rFonts w:cs="Times New Roman"/>
          <w:szCs w:val="24"/>
          <w:vertAlign w:val="superscript"/>
        </w:rPr>
        <w:t>-1</w:t>
      </w:r>
      <w:r w:rsidRPr="009B4D33">
        <w:rPr>
          <w:rFonts w:cs="Times New Roman"/>
          <w:szCs w:val="24"/>
        </w:rPr>
        <w:t>,</w:t>
      </w:r>
      <w:r>
        <w:rPr>
          <w:rFonts w:cs="Times New Roman"/>
          <w:szCs w:val="24"/>
        </w:rPr>
        <w:t xml:space="preserve"> SHGC of 0.5, and a visible transmittance of 0.5. </w:t>
      </w:r>
    </w:p>
    <w:p w:rsidR="00BF25DE" w:rsidRDefault="00BF25DE" w:rsidP="00051A6E">
      <w:pPr>
        <w:spacing w:after="0" w:line="360" w:lineRule="auto"/>
        <w:jc w:val="both"/>
        <w:rPr>
          <w:rFonts w:cs="Times New Roman"/>
          <w:szCs w:val="24"/>
        </w:rPr>
      </w:pPr>
      <w:r>
        <w:rPr>
          <w:rFonts w:cs="Times New Roman"/>
          <w:szCs w:val="24"/>
        </w:rPr>
        <w:lastRenderedPageBreak/>
        <w:t>A traditional BPS model would disregard the changes in the window's visible transmittance and input the identical lighting and blinds schedule (always open) for both cases as defined in</w:t>
      </w:r>
      <w:r w:rsidRPr="009B4D33">
        <w:rPr>
          <w:rFonts w:cs="Times New Roman"/>
          <w:szCs w:val="24"/>
        </w:rPr>
        <w:t xml:space="preserve"> </w:t>
      </w:r>
      <w:r>
        <w:rPr>
          <w:rFonts w:cs="Times New Roman"/>
          <w:noProof/>
          <w:szCs w:val="24"/>
        </w:rPr>
        <w:t>ASHRAE</w:t>
      </w:r>
      <w:r w:rsidR="00F31336">
        <w:rPr>
          <w:rFonts w:cs="Times New Roman"/>
          <w:noProof/>
          <w:szCs w:val="24"/>
        </w:rPr>
        <w:t xml:space="preserve"> Standard 90.1</w:t>
      </w:r>
      <w:r>
        <w:rPr>
          <w:rFonts w:cs="Times New Roman"/>
          <w:noProof/>
          <w:szCs w:val="24"/>
        </w:rPr>
        <w:t xml:space="preserve"> (2013)</w:t>
      </w:r>
      <w:r>
        <w:rPr>
          <w:rFonts w:cs="Times New Roman"/>
          <w:szCs w:val="24"/>
        </w:rPr>
        <w:t xml:space="preserve">. The BPS model with these static blinds and lighting schedules suggests that employing the second window assembly will reduce the heating load by 20% and the cooling load by 15% ― note the lighting load does not change between two designs (see Figures 13 to 15). Although the change in visible transmittance does not play a role in space heating, cooling, and lighting loads with this traditional modelling approach, in reality it should influence the daylight availability and the blind occlusion rate ― which in turn influence the solar gains and lighting loads causing an </w:t>
      </w:r>
      <w:r w:rsidR="00F31336">
        <w:rPr>
          <w:rFonts w:cs="Times New Roman"/>
          <w:szCs w:val="24"/>
        </w:rPr>
        <w:t xml:space="preserve">unknown </w:t>
      </w:r>
      <w:r>
        <w:rPr>
          <w:rFonts w:cs="Times New Roman"/>
          <w:szCs w:val="24"/>
        </w:rPr>
        <w:t xml:space="preserve">impact over the space heating and cooling loads. </w:t>
      </w:r>
    </w:p>
    <w:p w:rsidR="00BF25DE" w:rsidRDefault="00BF25DE" w:rsidP="00051A6E">
      <w:pPr>
        <w:spacing w:after="0" w:line="360" w:lineRule="auto"/>
        <w:jc w:val="both"/>
        <w:rPr>
          <w:rFonts w:cs="Times New Roman"/>
          <w:szCs w:val="24"/>
        </w:rPr>
      </w:pPr>
      <w:r>
        <w:rPr>
          <w:rFonts w:cs="Times New Roman"/>
          <w:szCs w:val="24"/>
        </w:rPr>
        <w:t xml:space="preserve">The comparison between the BPS results shown in Figure 13.a and b indicates that using the second window assembly in lieu of the first window assembly was predicted to yield a 40% reduction in space heating loads. Note that this was only 20% when the traditional modelling approach was employed. Results shown in Figure 14 indicate that the BPS model with all twelve occupant models combinations consistently predict that cooling load reductions with the use of second window assembly would be about 40%. Results shown in Figure 15 indicate that the BPS model with the occupant model combinations consistently predict that there will be a 10 to 20% increase in lighting energy with the use of second window assembly. It is worth recalling that the </w:t>
      </w:r>
      <w:r>
        <w:rPr>
          <w:rFonts w:cs="Times New Roman"/>
          <w:noProof/>
          <w:szCs w:val="24"/>
        </w:rPr>
        <w:t xml:space="preserve">ASHRAE </w:t>
      </w:r>
      <w:r w:rsidR="00186F62">
        <w:rPr>
          <w:rFonts w:cs="Times New Roman"/>
          <w:noProof/>
          <w:szCs w:val="24"/>
        </w:rPr>
        <w:t xml:space="preserve">Standard 90.1 </w:t>
      </w:r>
      <w:r>
        <w:rPr>
          <w:rFonts w:cs="Times New Roman"/>
          <w:noProof/>
          <w:szCs w:val="24"/>
        </w:rPr>
        <w:t>(2013)</w:t>
      </w:r>
      <w:r>
        <w:rPr>
          <w:rFonts w:cs="Times New Roman"/>
          <w:szCs w:val="24"/>
        </w:rPr>
        <w:t xml:space="preserve"> schedule for lighting remains identical between two window design cases.</w:t>
      </w:r>
    </w:p>
    <w:p w:rsidR="00BF25DE" w:rsidRDefault="00BF25DE" w:rsidP="00051A6E">
      <w:pPr>
        <w:spacing w:after="0" w:line="360" w:lineRule="auto"/>
        <w:jc w:val="both"/>
        <w:rPr>
          <w:rFonts w:cs="Times New Roman"/>
          <w:szCs w:val="24"/>
        </w:rPr>
      </w:pPr>
      <w:r>
        <w:rPr>
          <w:rFonts w:cs="Times New Roman"/>
          <w:szCs w:val="24"/>
        </w:rPr>
        <w:t xml:space="preserve">Also, the BPS model, when simulated with the static </w:t>
      </w:r>
      <w:r>
        <w:rPr>
          <w:rFonts w:cs="Times New Roman"/>
          <w:noProof/>
          <w:szCs w:val="24"/>
        </w:rPr>
        <w:t>ASHRAE (2013)</w:t>
      </w:r>
      <w:r>
        <w:rPr>
          <w:rFonts w:cs="Times New Roman"/>
          <w:szCs w:val="24"/>
        </w:rPr>
        <w:t xml:space="preserve"> schedules, predicts significantly more space cooling loads and significantly less space heating loads than when it was simulated with the occupant models (see Figures 13 and 14). This can be attributed to the fact that the traditional BPS model assumes blinds were always open and predicted at least 1.5 times more lighting loads than the BPS model with the occupant models (see Figure 15). This leaves a building designer with the conclusion that credits cooling energy use reducing strategies over heating energy use reducing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F25DE" w:rsidRPr="00303BF6" w:rsidTr="00051A6E">
        <w:tc>
          <w:tcPr>
            <w:tcW w:w="9576" w:type="dxa"/>
          </w:tcPr>
          <w:p w:rsidR="00BF25DE" w:rsidRPr="00303BF6" w:rsidRDefault="00BF25DE" w:rsidP="00051A6E">
            <w:pPr>
              <w:jc w:val="center"/>
              <w:rPr>
                <w:rFonts w:cs="Times New Roman"/>
                <w:szCs w:val="24"/>
              </w:rPr>
            </w:pPr>
            <w:r>
              <w:rPr>
                <w:rFonts w:cs="Times New Roman"/>
                <w:noProof/>
                <w:szCs w:val="24"/>
                <w:lang w:val="en-US"/>
              </w:rPr>
              <w:lastRenderedPageBreak/>
              <w:drawing>
                <wp:inline distT="0" distB="0" distL="0" distR="0">
                  <wp:extent cx="4289603" cy="2651760"/>
                  <wp:effectExtent l="19050" t="0" r="0" b="0"/>
                  <wp:docPr id="6" name="Picture 2" descr="C:\Users\Burak\Dropbox\Occupant_Modelling\Figure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ak\Dropbox\Occupant_Modelling\Figure 14.tif"/>
                          <pic:cNvPicPr>
                            <a:picLocks noChangeAspect="1" noChangeArrowheads="1"/>
                          </pic:cNvPicPr>
                        </pic:nvPicPr>
                        <pic:blipFill>
                          <a:blip r:embed="rId29" cstate="print"/>
                          <a:srcRect b="61369"/>
                          <a:stretch>
                            <a:fillRect/>
                          </a:stretch>
                        </pic:blipFill>
                        <pic:spPr bwMode="auto">
                          <a:xfrm>
                            <a:off x="0" y="0"/>
                            <a:ext cx="4289603" cy="2651760"/>
                          </a:xfrm>
                          <a:prstGeom prst="rect">
                            <a:avLst/>
                          </a:prstGeom>
                          <a:noFill/>
                          <a:ln w="9525">
                            <a:noFill/>
                            <a:miter lim="800000"/>
                            <a:headEnd/>
                            <a:tailEnd/>
                          </a:ln>
                        </pic:spPr>
                      </pic:pic>
                    </a:graphicData>
                  </a:graphic>
                </wp:inline>
              </w:drawing>
            </w:r>
          </w:p>
        </w:tc>
      </w:tr>
      <w:tr w:rsidR="00BF25DE" w:rsidRPr="00303BF6" w:rsidTr="00051A6E">
        <w:tc>
          <w:tcPr>
            <w:tcW w:w="9576" w:type="dxa"/>
          </w:tcPr>
          <w:p w:rsidR="00BF25DE" w:rsidRPr="00303BF6" w:rsidRDefault="00BF25DE" w:rsidP="00051A6E">
            <w:pPr>
              <w:jc w:val="center"/>
              <w:rPr>
                <w:rFonts w:cs="Times New Roman"/>
                <w:szCs w:val="24"/>
              </w:rPr>
            </w:pPr>
            <w:r w:rsidRPr="00F72F02">
              <w:rPr>
                <w:rFonts w:cs="Times New Roman"/>
                <w:noProof/>
                <w:szCs w:val="24"/>
                <w:lang w:val="en-US"/>
              </w:rPr>
              <w:drawing>
                <wp:inline distT="0" distB="0" distL="0" distR="0">
                  <wp:extent cx="4215890" cy="2686467"/>
                  <wp:effectExtent l="19050" t="0" r="0" b="0"/>
                  <wp:docPr id="11" name="Picture 1" descr="C:\Users\Burak\Dropbox\Occupant_Modelling\Figure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Figure 14.tif"/>
                          <pic:cNvPicPr>
                            <a:picLocks noChangeAspect="1" noChangeArrowheads="1"/>
                          </pic:cNvPicPr>
                        </pic:nvPicPr>
                        <pic:blipFill>
                          <a:blip r:embed="rId30" cstate="print"/>
                          <a:srcRect b="4734"/>
                          <a:stretch>
                            <a:fillRect/>
                          </a:stretch>
                        </pic:blipFill>
                        <pic:spPr bwMode="auto">
                          <a:xfrm>
                            <a:off x="0" y="0"/>
                            <a:ext cx="4215890" cy="2686467"/>
                          </a:xfrm>
                          <a:prstGeom prst="rect">
                            <a:avLst/>
                          </a:prstGeom>
                          <a:noFill/>
                          <a:ln w="9525">
                            <a:noFill/>
                            <a:miter lim="800000"/>
                            <a:headEnd/>
                            <a:tailEnd/>
                          </a:ln>
                        </pic:spPr>
                      </pic:pic>
                    </a:graphicData>
                  </a:graphic>
                </wp:inline>
              </w:drawing>
            </w:r>
          </w:p>
        </w:tc>
      </w:tr>
    </w:tbl>
    <w:p w:rsidR="00BF25DE" w:rsidRDefault="00BF25DE" w:rsidP="00051A6E">
      <w:pPr>
        <w:jc w:val="both"/>
        <w:rPr>
          <w:rFonts w:cs="Times New Roman"/>
          <w:szCs w:val="24"/>
        </w:rPr>
      </w:pPr>
      <w:bookmarkStart w:id="142" w:name="_Toc415674264"/>
      <w:bookmarkStart w:id="143" w:name="_Toc415769252"/>
      <w:bookmarkStart w:id="144" w:name="_Toc415833367"/>
      <w:bookmarkStart w:id="145" w:name="_Toc415833424"/>
      <w:bookmarkStart w:id="146" w:name="_Toc415833490"/>
      <w:bookmarkStart w:id="147" w:name="_Toc415853742"/>
      <w:bookmarkStart w:id="148" w:name="_Toc415940711"/>
      <w:bookmarkStart w:id="149" w:name="_Toc421178272"/>
      <w:bookmarkStart w:id="150" w:name="_Toc421178581"/>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14</w:t>
      </w:r>
      <w:r w:rsidR="00F84CB0" w:rsidRPr="00303BF6">
        <w:rPr>
          <w:rFonts w:cs="Times New Roman"/>
          <w:szCs w:val="24"/>
        </w:rPr>
        <w:fldChar w:fldCharType="end"/>
      </w:r>
      <w:r w:rsidRPr="00303BF6">
        <w:rPr>
          <w:rFonts w:cs="Times New Roman"/>
          <w:szCs w:val="24"/>
        </w:rPr>
        <w:t>:</w:t>
      </w:r>
      <w:bookmarkEnd w:id="142"/>
      <w:r>
        <w:rPr>
          <w:rFonts w:cs="Times New Roman"/>
          <w:szCs w:val="24"/>
        </w:rPr>
        <w:t xml:space="preserve"> </w:t>
      </w:r>
      <w:r w:rsidRPr="00303BF6">
        <w:rPr>
          <w:rFonts w:cs="Times New Roman"/>
          <w:szCs w:val="24"/>
        </w:rPr>
        <w:t xml:space="preserve">Space </w:t>
      </w:r>
      <w:r>
        <w:rPr>
          <w:rFonts w:cs="Times New Roman"/>
          <w:szCs w:val="24"/>
        </w:rPr>
        <w:t>cooling</w:t>
      </w:r>
      <w:r w:rsidRPr="00303BF6">
        <w:rPr>
          <w:rFonts w:cs="Times New Roman"/>
          <w:szCs w:val="24"/>
        </w:rPr>
        <w:t xml:space="preserve"> load</w:t>
      </w:r>
      <w:r>
        <w:rPr>
          <w:rFonts w:cs="Times New Roman"/>
          <w:szCs w:val="24"/>
        </w:rPr>
        <w:t>s</w:t>
      </w:r>
      <w:r w:rsidRPr="00303BF6">
        <w:rPr>
          <w:rFonts w:cs="Times New Roman"/>
          <w:szCs w:val="24"/>
        </w:rPr>
        <w:t xml:space="preserve"> predicted by employing</w:t>
      </w:r>
      <w:r>
        <w:rPr>
          <w:rFonts w:cs="Times New Roman"/>
          <w:szCs w:val="24"/>
        </w:rPr>
        <w:t xml:space="preserve"> a BPS model with a window assembly with (a) U-factor of 2 W.m</w:t>
      </w:r>
      <w:r w:rsidRPr="00303BF6">
        <w:rPr>
          <w:rFonts w:cs="Times New Roman"/>
          <w:szCs w:val="24"/>
          <w:vertAlign w:val="superscript"/>
        </w:rPr>
        <w:t>-2</w:t>
      </w:r>
      <w:r w:rsidRPr="00303BF6">
        <w:rPr>
          <w:rFonts w:cs="Times New Roman"/>
          <w:szCs w:val="24"/>
        </w:rPr>
        <w:t>°</w:t>
      </w:r>
      <w:r>
        <w:rPr>
          <w:rFonts w:cs="Times New Roman"/>
          <w:szCs w:val="24"/>
        </w:rPr>
        <w:t>C</w:t>
      </w:r>
      <w:r w:rsidRPr="00303BF6">
        <w:rPr>
          <w:rFonts w:cs="Times New Roman"/>
          <w:szCs w:val="24"/>
          <w:vertAlign w:val="superscript"/>
        </w:rPr>
        <w:t>-1</w:t>
      </w:r>
      <w:r w:rsidRPr="00303BF6">
        <w:rPr>
          <w:rFonts w:cs="Times New Roman"/>
          <w:szCs w:val="24"/>
        </w:rPr>
        <w:t>,</w:t>
      </w:r>
      <w:r>
        <w:rPr>
          <w:rFonts w:cs="Times New Roman"/>
          <w:szCs w:val="24"/>
        </w:rPr>
        <w:t xml:space="preserve"> SHGC of 0.6, visible transmittance of 0.75 and with (b) U-factor of 1.5 W.m</w:t>
      </w:r>
      <w:r w:rsidRPr="00303BF6">
        <w:rPr>
          <w:rFonts w:cs="Times New Roman"/>
          <w:szCs w:val="24"/>
          <w:vertAlign w:val="superscript"/>
        </w:rPr>
        <w:t>-2</w:t>
      </w:r>
      <w:r w:rsidRPr="00303BF6">
        <w:rPr>
          <w:rFonts w:cs="Times New Roman"/>
          <w:szCs w:val="24"/>
        </w:rPr>
        <w:t>°</w:t>
      </w:r>
      <w:r>
        <w:rPr>
          <w:rFonts w:cs="Times New Roman"/>
          <w:szCs w:val="24"/>
        </w:rPr>
        <w:t>C</w:t>
      </w:r>
      <w:r w:rsidRPr="00303BF6">
        <w:rPr>
          <w:rFonts w:cs="Times New Roman"/>
          <w:szCs w:val="24"/>
          <w:vertAlign w:val="superscript"/>
        </w:rPr>
        <w:t>-1</w:t>
      </w:r>
      <w:r w:rsidRPr="00303BF6">
        <w:rPr>
          <w:rFonts w:cs="Times New Roman"/>
          <w:szCs w:val="24"/>
        </w:rPr>
        <w:t>,</w:t>
      </w:r>
      <w:r>
        <w:rPr>
          <w:rFonts w:cs="Times New Roman"/>
          <w:szCs w:val="24"/>
        </w:rPr>
        <w:t xml:space="preserve"> SHGC of 0.5, visible transmittance of 0.5</w:t>
      </w:r>
      <w:r w:rsidRPr="00303BF6">
        <w:rPr>
          <w:rFonts w:cs="Times New Roman"/>
          <w:szCs w:val="24"/>
        </w:rPr>
        <w:t xml:space="preserve"> </w:t>
      </w:r>
      <w:r>
        <w:rPr>
          <w:rFonts w:cs="Times New Roman"/>
          <w:szCs w:val="24"/>
        </w:rPr>
        <w:t>with different blinds and lighting model combinations.</w:t>
      </w:r>
      <w:bookmarkEnd w:id="143"/>
      <w:bookmarkEnd w:id="144"/>
      <w:bookmarkEnd w:id="145"/>
      <w:bookmarkEnd w:id="146"/>
      <w:bookmarkEnd w:id="147"/>
      <w:bookmarkEnd w:id="148"/>
      <w:bookmarkEnd w:id="149"/>
      <w:bookmarkEnd w:id="1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BF25DE" w:rsidRPr="00303BF6" w:rsidTr="00051A6E">
        <w:tc>
          <w:tcPr>
            <w:tcW w:w="9576" w:type="dxa"/>
          </w:tcPr>
          <w:p w:rsidR="00BF25DE" w:rsidRPr="00303BF6" w:rsidRDefault="00BF25DE" w:rsidP="00051A6E">
            <w:pPr>
              <w:jc w:val="center"/>
              <w:rPr>
                <w:rFonts w:cs="Times New Roman"/>
                <w:szCs w:val="24"/>
              </w:rPr>
            </w:pPr>
            <w:r>
              <w:rPr>
                <w:rFonts w:cs="Times New Roman"/>
                <w:noProof/>
                <w:szCs w:val="24"/>
                <w:lang w:val="en-US"/>
              </w:rPr>
              <w:lastRenderedPageBreak/>
              <w:drawing>
                <wp:inline distT="0" distB="0" distL="0" distR="0">
                  <wp:extent cx="4146668" cy="2747534"/>
                  <wp:effectExtent l="19050" t="0" r="6232" b="0"/>
                  <wp:docPr id="5" name="Picture 1" descr="C:\Users\Burak\Dropbox\Occupant_Modelling\Figure 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Dropbox\Occupant_Modelling\Figure 15.tif"/>
                          <pic:cNvPicPr>
                            <a:picLocks noChangeAspect="1" noChangeArrowheads="1"/>
                          </pic:cNvPicPr>
                        </pic:nvPicPr>
                        <pic:blipFill>
                          <a:blip r:embed="rId31" cstate="print"/>
                          <a:srcRect l="1761" r="7666"/>
                          <a:stretch>
                            <a:fillRect/>
                          </a:stretch>
                        </pic:blipFill>
                        <pic:spPr bwMode="auto">
                          <a:xfrm>
                            <a:off x="0" y="0"/>
                            <a:ext cx="4146668" cy="2747534"/>
                          </a:xfrm>
                          <a:prstGeom prst="rect">
                            <a:avLst/>
                          </a:prstGeom>
                          <a:noFill/>
                          <a:ln w="9525">
                            <a:noFill/>
                            <a:miter lim="800000"/>
                            <a:headEnd/>
                            <a:tailEnd/>
                          </a:ln>
                        </pic:spPr>
                      </pic:pic>
                    </a:graphicData>
                  </a:graphic>
                </wp:inline>
              </w:drawing>
            </w:r>
          </w:p>
        </w:tc>
      </w:tr>
      <w:tr w:rsidR="00BF25DE" w:rsidRPr="00303BF6" w:rsidTr="00051A6E">
        <w:tc>
          <w:tcPr>
            <w:tcW w:w="9576" w:type="dxa"/>
          </w:tcPr>
          <w:p w:rsidR="00BF25DE" w:rsidRPr="00303BF6" w:rsidRDefault="00BF25DE" w:rsidP="00051A6E">
            <w:pPr>
              <w:jc w:val="center"/>
              <w:rPr>
                <w:rFonts w:cs="Times New Roman"/>
                <w:szCs w:val="24"/>
              </w:rPr>
            </w:pPr>
            <w:r w:rsidRPr="00303BF6">
              <w:rPr>
                <w:rFonts w:cs="Times New Roman"/>
                <w:noProof/>
                <w:szCs w:val="24"/>
                <w:lang w:val="en-US"/>
              </w:rPr>
              <w:drawing>
                <wp:inline distT="0" distB="0" distL="0" distR="0">
                  <wp:extent cx="4131824" cy="2500986"/>
                  <wp:effectExtent l="19050" t="0" r="2026" b="0"/>
                  <wp:docPr id="28" name="Picture 12" descr="C:\Users\Burak\Dropbox\Occupant_Modelling\Figure 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ak\Dropbox\Occupant_Modelling\Figure 15.tif"/>
                          <pic:cNvPicPr>
                            <a:picLocks noChangeAspect="1" noChangeArrowheads="1"/>
                          </pic:cNvPicPr>
                        </pic:nvPicPr>
                        <pic:blipFill>
                          <a:blip r:embed="rId32" cstate="print"/>
                          <a:srcRect l="3691" t="54354" r="7227" b="2290"/>
                          <a:stretch>
                            <a:fillRect/>
                          </a:stretch>
                        </pic:blipFill>
                        <pic:spPr bwMode="auto">
                          <a:xfrm>
                            <a:off x="0" y="0"/>
                            <a:ext cx="4131824" cy="2500986"/>
                          </a:xfrm>
                          <a:prstGeom prst="rect">
                            <a:avLst/>
                          </a:prstGeom>
                          <a:noFill/>
                          <a:ln w="9525">
                            <a:noFill/>
                            <a:miter lim="800000"/>
                            <a:headEnd/>
                            <a:tailEnd/>
                          </a:ln>
                        </pic:spPr>
                      </pic:pic>
                    </a:graphicData>
                  </a:graphic>
                </wp:inline>
              </w:drawing>
            </w:r>
          </w:p>
        </w:tc>
      </w:tr>
    </w:tbl>
    <w:p w:rsidR="00BF25DE" w:rsidRDefault="00BF25DE" w:rsidP="00051A6E">
      <w:pPr>
        <w:jc w:val="both"/>
        <w:rPr>
          <w:rFonts w:cs="Times New Roman"/>
          <w:szCs w:val="24"/>
        </w:rPr>
      </w:pPr>
      <w:bookmarkStart w:id="151" w:name="_Toc415674265"/>
      <w:bookmarkStart w:id="152" w:name="_Toc415769253"/>
      <w:bookmarkStart w:id="153" w:name="_Toc415833368"/>
      <w:bookmarkStart w:id="154" w:name="_Toc415833425"/>
      <w:bookmarkStart w:id="155" w:name="_Toc415833491"/>
      <w:bookmarkStart w:id="156" w:name="_Toc415853743"/>
      <w:bookmarkStart w:id="157" w:name="_Toc415940712"/>
      <w:bookmarkStart w:id="158" w:name="_Toc421178273"/>
      <w:bookmarkStart w:id="159" w:name="_Toc421178582"/>
      <w:r w:rsidRPr="00303BF6">
        <w:rPr>
          <w:rFonts w:cs="Times New Roman"/>
          <w:szCs w:val="24"/>
        </w:rPr>
        <w:t xml:space="preserve">Figure </w:t>
      </w:r>
      <w:r w:rsidR="00F84CB0" w:rsidRPr="00303BF6">
        <w:rPr>
          <w:rFonts w:cs="Times New Roman"/>
          <w:szCs w:val="24"/>
        </w:rPr>
        <w:fldChar w:fldCharType="begin"/>
      </w:r>
      <w:r w:rsidRPr="00303BF6">
        <w:rPr>
          <w:rFonts w:cs="Times New Roman"/>
          <w:szCs w:val="24"/>
        </w:rPr>
        <w:instrText xml:space="preserve"> SEQ Figure \* ARABIC </w:instrText>
      </w:r>
      <w:r w:rsidR="00F84CB0" w:rsidRPr="00303BF6">
        <w:rPr>
          <w:rFonts w:cs="Times New Roman"/>
          <w:szCs w:val="24"/>
        </w:rPr>
        <w:fldChar w:fldCharType="separate"/>
      </w:r>
      <w:r>
        <w:rPr>
          <w:rFonts w:cs="Times New Roman"/>
          <w:noProof/>
          <w:szCs w:val="24"/>
        </w:rPr>
        <w:t>15</w:t>
      </w:r>
      <w:r w:rsidR="00F84CB0" w:rsidRPr="00303BF6">
        <w:rPr>
          <w:rFonts w:cs="Times New Roman"/>
          <w:szCs w:val="24"/>
        </w:rPr>
        <w:fldChar w:fldCharType="end"/>
      </w:r>
      <w:r w:rsidRPr="00303BF6">
        <w:rPr>
          <w:rFonts w:cs="Times New Roman"/>
          <w:szCs w:val="24"/>
        </w:rPr>
        <w:t>:</w:t>
      </w:r>
      <w:bookmarkEnd w:id="151"/>
      <w:r w:rsidRPr="00303BF6">
        <w:rPr>
          <w:rFonts w:cs="Times New Roman"/>
          <w:szCs w:val="24"/>
        </w:rPr>
        <w:t xml:space="preserve"> </w:t>
      </w:r>
      <w:r>
        <w:rPr>
          <w:rFonts w:cs="Times New Roman"/>
          <w:szCs w:val="24"/>
        </w:rPr>
        <w:t>Lighting</w:t>
      </w:r>
      <w:r w:rsidRPr="00303BF6">
        <w:rPr>
          <w:rFonts w:cs="Times New Roman"/>
          <w:szCs w:val="24"/>
        </w:rPr>
        <w:t xml:space="preserve"> load predicted by employing</w:t>
      </w:r>
      <w:r>
        <w:rPr>
          <w:rFonts w:cs="Times New Roman"/>
          <w:szCs w:val="24"/>
        </w:rPr>
        <w:t xml:space="preserve"> a BPS model with a window assembly with (a) U-factor of 2 W.m</w:t>
      </w:r>
      <w:r w:rsidRPr="00303BF6">
        <w:rPr>
          <w:rFonts w:cs="Times New Roman"/>
          <w:szCs w:val="24"/>
          <w:vertAlign w:val="superscript"/>
        </w:rPr>
        <w:t>-2</w:t>
      </w:r>
      <w:r w:rsidRPr="00303BF6">
        <w:rPr>
          <w:rFonts w:cs="Times New Roman"/>
          <w:szCs w:val="24"/>
        </w:rPr>
        <w:t>°</w:t>
      </w:r>
      <w:r>
        <w:rPr>
          <w:rFonts w:cs="Times New Roman"/>
          <w:szCs w:val="24"/>
        </w:rPr>
        <w:t>C</w:t>
      </w:r>
      <w:r w:rsidRPr="00303BF6">
        <w:rPr>
          <w:rFonts w:cs="Times New Roman"/>
          <w:szCs w:val="24"/>
          <w:vertAlign w:val="superscript"/>
        </w:rPr>
        <w:t>-1</w:t>
      </w:r>
      <w:r w:rsidRPr="00303BF6">
        <w:rPr>
          <w:rFonts w:cs="Times New Roman"/>
          <w:szCs w:val="24"/>
        </w:rPr>
        <w:t>,</w:t>
      </w:r>
      <w:r>
        <w:rPr>
          <w:rFonts w:cs="Times New Roman"/>
          <w:szCs w:val="24"/>
        </w:rPr>
        <w:t xml:space="preserve"> SHGC of 0.6, visible transmittance of 0.75 and with (b) U-factor of 1.5 W.m</w:t>
      </w:r>
      <w:r w:rsidRPr="00303BF6">
        <w:rPr>
          <w:rFonts w:cs="Times New Roman"/>
          <w:szCs w:val="24"/>
          <w:vertAlign w:val="superscript"/>
        </w:rPr>
        <w:t>-2</w:t>
      </w:r>
      <w:r w:rsidRPr="00303BF6">
        <w:rPr>
          <w:rFonts w:cs="Times New Roman"/>
          <w:szCs w:val="24"/>
        </w:rPr>
        <w:t>°</w:t>
      </w:r>
      <w:r>
        <w:rPr>
          <w:rFonts w:cs="Times New Roman"/>
          <w:szCs w:val="24"/>
        </w:rPr>
        <w:t>C</w:t>
      </w:r>
      <w:r w:rsidRPr="00303BF6">
        <w:rPr>
          <w:rFonts w:cs="Times New Roman"/>
          <w:szCs w:val="24"/>
          <w:vertAlign w:val="superscript"/>
        </w:rPr>
        <w:t>-1</w:t>
      </w:r>
      <w:r w:rsidRPr="00303BF6">
        <w:rPr>
          <w:rFonts w:cs="Times New Roman"/>
          <w:szCs w:val="24"/>
        </w:rPr>
        <w:t>,</w:t>
      </w:r>
      <w:r>
        <w:rPr>
          <w:rFonts w:cs="Times New Roman"/>
          <w:szCs w:val="24"/>
        </w:rPr>
        <w:t xml:space="preserve"> SHGC of 0.5, visible transmittance of 0.5</w:t>
      </w:r>
      <w:r w:rsidRPr="00303BF6">
        <w:rPr>
          <w:rFonts w:cs="Times New Roman"/>
          <w:szCs w:val="24"/>
        </w:rPr>
        <w:t xml:space="preserve"> </w:t>
      </w:r>
      <w:r>
        <w:rPr>
          <w:rFonts w:cs="Times New Roman"/>
          <w:szCs w:val="24"/>
        </w:rPr>
        <w:t>with different blinds and lighting model combinations.</w:t>
      </w:r>
      <w:bookmarkEnd w:id="152"/>
      <w:bookmarkEnd w:id="153"/>
      <w:bookmarkEnd w:id="154"/>
      <w:bookmarkEnd w:id="155"/>
      <w:bookmarkEnd w:id="156"/>
      <w:bookmarkEnd w:id="157"/>
      <w:bookmarkEnd w:id="158"/>
      <w:bookmarkEnd w:id="159"/>
    </w:p>
    <w:p w:rsidR="00BF25DE" w:rsidRDefault="00BF25DE" w:rsidP="00051A6E">
      <w:pPr>
        <w:pStyle w:val="Heading1"/>
        <w:numPr>
          <w:ilvl w:val="1"/>
          <w:numId w:val="1"/>
        </w:numPr>
        <w:spacing w:before="0" w:line="360" w:lineRule="auto"/>
        <w:rPr>
          <w:rFonts w:cs="Times New Roman"/>
          <w:sz w:val="24"/>
          <w:szCs w:val="24"/>
        </w:rPr>
      </w:pPr>
      <w:r>
        <w:rPr>
          <w:rFonts w:cs="Times New Roman"/>
          <w:sz w:val="24"/>
          <w:szCs w:val="24"/>
        </w:rPr>
        <w:t>Unresolved issues and future work</w:t>
      </w:r>
    </w:p>
    <w:p w:rsidR="00BF25DE" w:rsidRDefault="00BF25DE" w:rsidP="00051A6E">
      <w:pPr>
        <w:pStyle w:val="Heading1"/>
        <w:numPr>
          <w:ilvl w:val="2"/>
          <w:numId w:val="1"/>
        </w:numPr>
        <w:spacing w:before="0" w:line="360" w:lineRule="auto"/>
        <w:rPr>
          <w:rFonts w:cs="Times New Roman"/>
          <w:sz w:val="24"/>
          <w:szCs w:val="24"/>
        </w:rPr>
      </w:pPr>
      <w:r>
        <w:rPr>
          <w:rFonts w:cs="Times New Roman"/>
          <w:sz w:val="24"/>
          <w:szCs w:val="24"/>
        </w:rPr>
        <w:t>Implementation issues</w:t>
      </w:r>
    </w:p>
    <w:p w:rsidR="00BF25DE" w:rsidRDefault="00BF25DE" w:rsidP="00051A6E">
      <w:pPr>
        <w:spacing w:after="0" w:line="360" w:lineRule="auto"/>
        <w:jc w:val="both"/>
      </w:pPr>
      <w:r>
        <w:t xml:space="preserve">The occupant models presented in this study were developed based on observational studies in different buildings across the globe. By combining different occupant </w:t>
      </w:r>
      <w:proofErr w:type="spellStart"/>
      <w:r>
        <w:t>submodels</w:t>
      </w:r>
      <w:proofErr w:type="spellEnd"/>
      <w:r>
        <w:t xml:space="preserve"> developed in different contexts, this paper implies that the occupant models are compatible with one another. This is an assumption as yet unverified. </w:t>
      </w:r>
    </w:p>
    <w:p w:rsidR="00BF25DE" w:rsidRDefault="00BF25DE" w:rsidP="00051A6E">
      <w:pPr>
        <w:spacing w:after="0" w:line="360" w:lineRule="auto"/>
        <w:jc w:val="both"/>
      </w:pPr>
      <w:r>
        <w:t xml:space="preserve">Anecdotal observations suggest that the order of execution of occupant behaviours can influence the likelihood of undertaking an adaptive behaviour </w:t>
      </w:r>
      <w:r w:rsidR="00051A6E">
        <w:rPr>
          <w:noProof/>
        </w:rPr>
        <w:t>(Brager</w:t>
      </w:r>
      <w:r>
        <w:rPr>
          <w:noProof/>
        </w:rPr>
        <w:t xml:space="preserve"> et al. 2004; Inkarojrit 2008; </w:t>
      </w:r>
      <w:r>
        <w:rPr>
          <w:noProof/>
        </w:rPr>
        <w:lastRenderedPageBreak/>
        <w:t>Andersen 2009)</w:t>
      </w:r>
      <w:r>
        <w:t xml:space="preserve">. For example, </w:t>
      </w:r>
      <w:r>
        <w:rPr>
          <w:noProof/>
        </w:rPr>
        <w:t>Inkarojrit (2008)</w:t>
      </w:r>
      <w:r>
        <w:t xml:space="preserve"> observed that</w:t>
      </w:r>
      <w:r w:rsidRPr="00B1281C">
        <w:t xml:space="preserve"> </w:t>
      </w:r>
      <w:r>
        <w:t>the blind occlusion rates can be influenced with the position of the operable windows. However, because existing occupant models do not provide the conditional likelihoods for the adaptive behaviours, the dependency of different occupant behaviours were not explicitly captured in this implementation (</w:t>
      </w:r>
      <w:proofErr w:type="spellStart"/>
      <w:r>
        <w:t>Haldi</w:t>
      </w:r>
      <w:proofErr w:type="spellEnd"/>
      <w:r>
        <w:t xml:space="preserve"> and Robinson, 2008).</w:t>
      </w:r>
    </w:p>
    <w:p w:rsidR="00BF25DE" w:rsidRDefault="00BF25DE" w:rsidP="00051A6E">
      <w:pPr>
        <w:spacing w:after="0" w:line="360" w:lineRule="auto"/>
        <w:jc w:val="both"/>
        <w:rPr>
          <w:rFonts w:cs="Times New Roman"/>
          <w:szCs w:val="24"/>
        </w:rPr>
      </w:pPr>
      <w:r>
        <w:rPr>
          <w:rFonts w:cs="Times New Roman"/>
          <w:szCs w:val="24"/>
        </w:rPr>
        <w:t xml:space="preserve">In some cases, occupant modelling was treated merely as a statistical data fitting project leaving perhaps the most important question unanswered: "When these models are simulated, how well can they replicate even their own observational dataset?" Regardless of the model complexity, the choice of simulation approaches plays a crucial role in predicting occupant behaviours in BPS. The model developers should find and report a suitable simulation algorithm for their models. </w:t>
      </w:r>
    </w:p>
    <w:p w:rsidR="00BF25DE" w:rsidRDefault="00BF25DE" w:rsidP="00051A6E">
      <w:pPr>
        <w:spacing w:after="0" w:line="360" w:lineRule="auto"/>
        <w:jc w:val="both"/>
      </w:pPr>
      <w:r>
        <w:t xml:space="preserve">In this implementation, the diversity between </w:t>
      </w:r>
      <w:r w:rsidR="003A5CC3">
        <w:t>simulated occupant</w:t>
      </w:r>
      <w:r>
        <w:t xml:space="preserve">s was represented by assuming that the parameters defining the occupants' behaviour and presence are normally distributed. This methodology was discussed in greater detail in </w:t>
      </w:r>
      <w:r>
        <w:rPr>
          <w:noProof/>
        </w:rPr>
        <w:t>Haldi (2013)</w:t>
      </w:r>
      <w:r>
        <w:t xml:space="preserve">. Alternatively, occupant behaviour and presence models could be defined for different individuals and from which different individuals could be randomly </w:t>
      </w:r>
      <w:r w:rsidR="00186F62">
        <w:t xml:space="preserve">sampled </w:t>
      </w:r>
      <w:r>
        <w:t xml:space="preserve">during the simulation. However, many of the existing occupant models were developed by merging the observational data collected for different individuals. Consequently, this approach could not be employed for the current implementation in </w:t>
      </w:r>
      <w:proofErr w:type="spellStart"/>
      <w:r>
        <w:t>EnergyPlus</w:t>
      </w:r>
      <w:proofErr w:type="spellEnd"/>
      <w:r>
        <w:t>.</w:t>
      </w:r>
    </w:p>
    <w:p w:rsidR="00BF25DE" w:rsidRDefault="00BF25DE" w:rsidP="00051A6E">
      <w:pPr>
        <w:spacing w:after="0" w:line="360" w:lineRule="auto"/>
        <w:jc w:val="both"/>
      </w:pPr>
      <w:r>
        <w:t xml:space="preserve">In an effort to discuss the influence of the occupant models in the results of a BPS model's predictions for heating, cooling, and lighting, a generic private office space in Ottawa was built using the BPS tool </w:t>
      </w:r>
      <w:proofErr w:type="spellStart"/>
      <w:r>
        <w:t>EnergyPlus</w:t>
      </w:r>
      <w:proofErr w:type="spellEnd"/>
      <w:r>
        <w:t xml:space="preserve">. Evidently, the results of this discussion can be influenced by the assumptions made while developing this model. Relative predictive performance of the occupant behaviour models may be different in other climates and for other BPS models. Results should be interpreted cautiously. </w:t>
      </w:r>
    </w:p>
    <w:p w:rsidR="003A5CC3" w:rsidRDefault="00123A7E">
      <w:pPr>
        <w:spacing w:after="0" w:line="360" w:lineRule="auto"/>
        <w:jc w:val="both"/>
      </w:pPr>
      <w:r>
        <w:rPr>
          <w:rFonts w:cs="Times New Roman"/>
          <w:szCs w:val="24"/>
        </w:rPr>
        <w:t>In this study, t</w:t>
      </w:r>
      <w:r w:rsidR="00F506F2">
        <w:rPr>
          <w:rFonts w:cs="Times New Roman"/>
          <w:szCs w:val="24"/>
        </w:rPr>
        <w:t xml:space="preserve">he ability of </w:t>
      </w:r>
      <w:r w:rsidR="00001CCD">
        <w:rPr>
          <w:rFonts w:cs="Times New Roman"/>
          <w:szCs w:val="24"/>
        </w:rPr>
        <w:t>this</w:t>
      </w:r>
      <w:r w:rsidR="00F506F2">
        <w:rPr>
          <w:rFonts w:cs="Times New Roman"/>
          <w:szCs w:val="24"/>
        </w:rPr>
        <w:t xml:space="preserve"> BPS model</w:t>
      </w:r>
      <w:r w:rsidR="00D97D61">
        <w:rPr>
          <w:rFonts w:cs="Times New Roman"/>
          <w:szCs w:val="24"/>
        </w:rPr>
        <w:t xml:space="preserve"> to reach a design decision consistently with or without these data-driven occupant models was studied based on a limited number of performance metrics (e.g., heating, cooling, </w:t>
      </w:r>
      <w:r w:rsidR="005D1FBA">
        <w:rPr>
          <w:rFonts w:cs="Times New Roman"/>
          <w:szCs w:val="24"/>
        </w:rPr>
        <w:t xml:space="preserve">and </w:t>
      </w:r>
      <w:r w:rsidR="00D97D61">
        <w:rPr>
          <w:rFonts w:cs="Times New Roman"/>
          <w:szCs w:val="24"/>
        </w:rPr>
        <w:t>lighting load distribution). The analysis could</w:t>
      </w:r>
      <w:r w:rsidR="00C857BB">
        <w:rPr>
          <w:rFonts w:cs="Times New Roman"/>
          <w:szCs w:val="24"/>
        </w:rPr>
        <w:t xml:space="preserve"> also</w:t>
      </w:r>
      <w:r w:rsidR="00D97D61">
        <w:rPr>
          <w:rFonts w:cs="Times New Roman"/>
          <w:szCs w:val="24"/>
        </w:rPr>
        <w:t xml:space="preserve"> be conducted with other performance indicators (e.g., predicted change in useful daylight </w:t>
      </w:r>
      <w:proofErr w:type="spellStart"/>
      <w:r w:rsidR="00D97D61">
        <w:rPr>
          <w:rFonts w:cs="Times New Roman"/>
          <w:szCs w:val="24"/>
        </w:rPr>
        <w:t>illuminance</w:t>
      </w:r>
      <w:proofErr w:type="spellEnd"/>
      <w:r w:rsidR="00D97D61">
        <w:rPr>
          <w:rFonts w:cs="Times New Roman"/>
          <w:szCs w:val="24"/>
        </w:rPr>
        <w:t xml:space="preserve"> </w:t>
      </w:r>
      <w:r w:rsidR="00186F62">
        <w:rPr>
          <w:rFonts w:cs="Times New Roman"/>
          <w:szCs w:val="24"/>
        </w:rPr>
        <w:t>or</w:t>
      </w:r>
      <w:r w:rsidR="00D97D61">
        <w:rPr>
          <w:rFonts w:cs="Times New Roman"/>
          <w:szCs w:val="24"/>
        </w:rPr>
        <w:t xml:space="preserve"> daylight autonomy upon a </w:t>
      </w:r>
      <w:r w:rsidR="00C857BB">
        <w:rPr>
          <w:rFonts w:cs="Times New Roman"/>
          <w:szCs w:val="24"/>
        </w:rPr>
        <w:t xml:space="preserve">fenestration </w:t>
      </w:r>
      <w:r w:rsidR="00D97D61">
        <w:rPr>
          <w:rFonts w:cs="Times New Roman"/>
          <w:szCs w:val="24"/>
        </w:rPr>
        <w:t>design change</w:t>
      </w:r>
      <w:r w:rsidR="00C857BB">
        <w:rPr>
          <w:rFonts w:cs="Times New Roman"/>
          <w:szCs w:val="24"/>
        </w:rPr>
        <w:t>).</w:t>
      </w:r>
      <w:r w:rsidR="00D97D61">
        <w:rPr>
          <w:rFonts w:cs="Times New Roman"/>
          <w:szCs w:val="24"/>
        </w:rPr>
        <w:t xml:space="preserve"> </w:t>
      </w:r>
      <w:r w:rsidR="000D2D17">
        <w:rPr>
          <w:rFonts w:cs="Times New Roman"/>
          <w:szCs w:val="24"/>
        </w:rPr>
        <w:t>This study also investigated</w:t>
      </w:r>
      <w:r w:rsidR="00001CCD">
        <w:rPr>
          <w:rFonts w:cs="Times New Roman"/>
          <w:szCs w:val="24"/>
        </w:rPr>
        <w:t xml:space="preserve"> the ability of different occupant behaviour models to make consistent predictions at </w:t>
      </w:r>
      <w:r w:rsidR="00001CCD">
        <w:rPr>
          <w:rFonts w:cs="Times New Roman"/>
          <w:szCs w:val="24"/>
        </w:rPr>
        <w:lastRenderedPageBreak/>
        <w:t xml:space="preserve">different temporal resolutions. Beyond investigating the consistency of the </w:t>
      </w:r>
      <w:r w:rsidR="000D2D17">
        <w:rPr>
          <w:rFonts w:cs="Times New Roman"/>
          <w:szCs w:val="24"/>
        </w:rPr>
        <w:t>occupant models' predictions</w:t>
      </w:r>
      <w:r w:rsidR="00001CCD">
        <w:rPr>
          <w:rFonts w:cs="Times New Roman"/>
          <w:szCs w:val="24"/>
        </w:rPr>
        <w:t xml:space="preserve">, the accuracy of </w:t>
      </w:r>
      <w:r w:rsidR="000D2D17">
        <w:rPr>
          <w:rFonts w:cs="Times New Roman"/>
          <w:szCs w:val="24"/>
        </w:rPr>
        <w:t xml:space="preserve">them </w:t>
      </w:r>
      <w:r w:rsidR="00001CCD">
        <w:rPr>
          <w:rFonts w:cs="Times New Roman"/>
          <w:szCs w:val="24"/>
        </w:rPr>
        <w:t xml:space="preserve">could be assessed with respect to </w:t>
      </w:r>
      <w:r w:rsidR="000D2D17">
        <w:rPr>
          <w:rFonts w:cs="Times New Roman"/>
          <w:szCs w:val="24"/>
        </w:rPr>
        <w:t>data gathered from</w:t>
      </w:r>
      <w:r w:rsidR="00CE3E3A">
        <w:rPr>
          <w:rFonts w:cs="Times New Roman"/>
          <w:szCs w:val="24"/>
        </w:rPr>
        <w:t xml:space="preserve"> numerous office</w:t>
      </w:r>
      <w:r w:rsidR="000D2D17">
        <w:rPr>
          <w:rFonts w:cs="Times New Roman"/>
          <w:szCs w:val="24"/>
        </w:rPr>
        <w:t xml:space="preserve"> space</w:t>
      </w:r>
      <w:r w:rsidR="00CE3E3A">
        <w:rPr>
          <w:rFonts w:cs="Times New Roman"/>
          <w:szCs w:val="24"/>
        </w:rPr>
        <w:t>s</w:t>
      </w:r>
      <w:r w:rsidR="000D2D17">
        <w:rPr>
          <w:rFonts w:cs="Times New Roman"/>
          <w:szCs w:val="24"/>
        </w:rPr>
        <w:t>.</w:t>
      </w:r>
      <w:r w:rsidR="00F506F2" w:rsidRPr="00675E1C">
        <w:rPr>
          <w:rFonts w:cs="Times New Roman"/>
          <w:szCs w:val="24"/>
        </w:rPr>
        <w:t xml:space="preserve"> </w:t>
      </w:r>
      <w:r w:rsidR="000D2D17">
        <w:rPr>
          <w:rFonts w:cs="Times New Roman"/>
          <w:szCs w:val="24"/>
        </w:rPr>
        <w:t xml:space="preserve">Future work </w:t>
      </w:r>
      <w:r w:rsidR="00CE3E3A">
        <w:rPr>
          <w:rFonts w:cs="Times New Roman"/>
          <w:szCs w:val="24"/>
        </w:rPr>
        <w:t>is planned to</w:t>
      </w:r>
      <w:r w:rsidR="000D2D17">
        <w:rPr>
          <w:rFonts w:cs="Times New Roman"/>
          <w:szCs w:val="24"/>
        </w:rPr>
        <w:t xml:space="preserve"> address these limitations</w:t>
      </w:r>
      <w:r w:rsidR="00CE3E3A">
        <w:rPr>
          <w:rFonts w:cs="Times New Roman"/>
          <w:szCs w:val="24"/>
        </w:rPr>
        <w:t>.</w:t>
      </w:r>
      <w:r w:rsidR="000D2D17">
        <w:rPr>
          <w:rFonts w:cs="Times New Roman"/>
          <w:szCs w:val="24"/>
        </w:rPr>
        <w:t xml:space="preserve"> </w:t>
      </w:r>
    </w:p>
    <w:p w:rsidR="00BF25DE" w:rsidRPr="00175B09" w:rsidRDefault="00BF25DE" w:rsidP="00051A6E">
      <w:pPr>
        <w:spacing w:after="0" w:line="360" w:lineRule="auto"/>
        <w:jc w:val="both"/>
        <w:rPr>
          <w:rFonts w:cs="Times New Roman"/>
          <w:szCs w:val="24"/>
        </w:rPr>
      </w:pPr>
      <w:r>
        <w:rPr>
          <w:szCs w:val="24"/>
        </w:rPr>
        <w:t>In private office spaces, the occupant behaviour models were developed by observing occupants individually. In shared-office spaces, these models were developed by observing occupants as collective entities. Although it has been noted that occupants' behaviour patterns can be substantially different in shared-office spaces than private office spaces</w:t>
      </w:r>
      <w:r>
        <w:rPr>
          <w:rFonts w:cs="Times New Roman"/>
          <w:szCs w:val="24"/>
        </w:rPr>
        <w:t xml:space="preserve"> </w:t>
      </w:r>
      <w:r>
        <w:rPr>
          <w:rFonts w:cs="Times New Roman"/>
          <w:noProof/>
          <w:szCs w:val="24"/>
        </w:rPr>
        <w:t>(Newsham 1997; Reinhart and Voss 2003; Haldi and Robinson 2010)</w:t>
      </w:r>
      <w:r>
        <w:rPr>
          <w:rFonts w:cs="Times New Roman"/>
          <w:szCs w:val="24"/>
        </w:rPr>
        <w:t xml:space="preserve">, existing occupant behaviour models do not make a distinction between these two groups. As a result, in this implementation occupant models represent individuals independent from each other and responsible for a particular window, window blind, and lighting. </w:t>
      </w:r>
    </w:p>
    <w:p w:rsidR="00BF25DE" w:rsidRDefault="00BF25DE" w:rsidP="00051A6E">
      <w:pPr>
        <w:spacing w:after="0" w:line="360" w:lineRule="auto"/>
        <w:jc w:val="both"/>
      </w:pPr>
      <w:r>
        <w:t xml:space="preserve">A simple BPS model was used to discuss its predictive consistency and its ability to yield consistent design decisions when different occupant models were employed. This approach, despite being appropriate to assess heating, cooling, and lighting load predictions, does not provide any information about the sensitivity of the building-level heating, ventilation, and cooling equipment performance to the selection of occupant models. Future research should look into the effects of occupant models over the whole-building energy simulation. </w:t>
      </w:r>
    </w:p>
    <w:p w:rsidR="00BF25DE" w:rsidRDefault="00BF25DE" w:rsidP="00051A6E">
      <w:pPr>
        <w:pStyle w:val="Heading1"/>
        <w:numPr>
          <w:ilvl w:val="2"/>
          <w:numId w:val="1"/>
        </w:numPr>
        <w:spacing w:before="0" w:line="360" w:lineRule="auto"/>
      </w:pPr>
      <w:r>
        <w:rPr>
          <w:rFonts w:cs="Times New Roman"/>
          <w:sz w:val="24"/>
          <w:szCs w:val="24"/>
        </w:rPr>
        <w:t>Modelling issues</w:t>
      </w:r>
    </w:p>
    <w:p w:rsidR="00BF25DE" w:rsidRDefault="00BF25DE" w:rsidP="00051A6E">
      <w:pPr>
        <w:spacing w:after="0" w:line="360" w:lineRule="auto"/>
        <w:jc w:val="both"/>
      </w:pPr>
      <w:r>
        <w:t xml:space="preserve">The occupant models presented in this study vary considerably in their observational data collection and model verification methodologies. For example, some of the models were developed upon at least several years’ worth of data </w:t>
      </w:r>
      <w:r>
        <w:rPr>
          <w:noProof/>
        </w:rPr>
        <w:t>(e.g., Haldi and Robinson 2008; Page, Robinson et al. 2008; Haldi and Robinson 2009; Haldi and Robinson 2010)</w:t>
      </w:r>
      <w:r>
        <w:t xml:space="preserve">, whereas some of the models were developed upon only several months’ worth of data </w:t>
      </w:r>
      <w:r>
        <w:rPr>
          <w:noProof/>
        </w:rPr>
        <w:t>(e.g., Reinhart and Voss 2003; Yun and Steemers 2008)</w:t>
      </w:r>
      <w:r>
        <w:t xml:space="preserve">. In some cases candidate predictor variables were monitored via indoor sensory measurements </w:t>
      </w:r>
      <w:r>
        <w:rPr>
          <w:noProof/>
        </w:rPr>
        <w:t>(e.g., Haldi and Robinson 2008; Haldi and Robinson 2009; Haldi and Robinson 2010)</w:t>
      </w:r>
      <w:r>
        <w:t xml:space="preserve">, and in some other cases local ambient conditions were used in simulation to compute the indoor predictor variables </w:t>
      </w:r>
      <w:r>
        <w:rPr>
          <w:noProof/>
        </w:rPr>
        <w:t>(Hunt 1979; Reinhart 2004)</w:t>
      </w:r>
      <w:r>
        <w:t xml:space="preserve">. In a few cases, the predictive accuracy of the occupant models were assessed via cross-validation </w:t>
      </w:r>
      <w:r>
        <w:rPr>
          <w:noProof/>
        </w:rPr>
        <w:t>(e.g., Haldi and Robinson 2008; Haldi and Robinson 2009; Haldi and Robinson 2010)</w:t>
      </w:r>
      <w:r>
        <w:t xml:space="preserve"> and their predictions were contrasted against other occupant models </w:t>
      </w:r>
      <w:r>
        <w:rPr>
          <w:noProof/>
        </w:rPr>
        <w:t>(e.g., Haldi and Robinson 2009)</w:t>
      </w:r>
      <w:r>
        <w:t xml:space="preserve">. This underlines the need for a set of guidelines for collecting observational data, model development and verification. </w:t>
      </w:r>
    </w:p>
    <w:p w:rsidR="00BF25DE" w:rsidRDefault="00BF25DE" w:rsidP="00051A6E">
      <w:pPr>
        <w:spacing w:after="0" w:line="360" w:lineRule="auto"/>
        <w:jc w:val="both"/>
      </w:pPr>
      <w:r>
        <w:lastRenderedPageBreak/>
        <w:t xml:space="preserve">Inconsistencies among the predictions of different occupant models typically arose, when models attempted to predict light switch-off or blinds opening actions. It is crucial to note that occupants typically have very little motivation to undertake these actions. Occupants' light switch-on or blinds closing actions are triggered by visual discomfort, whereas the reversal of these actions can be prompted with rather abstract concepts: 'switching off lights to be energy conscious' or 'opening blinds to regain view and connection to outdoors'. </w:t>
      </w:r>
    </w:p>
    <w:p w:rsidR="00BF25DE" w:rsidRDefault="00BF25DE" w:rsidP="00051A6E">
      <w:pPr>
        <w:spacing w:after="0" w:line="360" w:lineRule="auto"/>
        <w:jc w:val="both"/>
      </w:pPr>
      <w:r>
        <w:rPr>
          <w:noProof/>
        </w:rPr>
        <w:t>Newsham (1994)</w:t>
      </w:r>
      <w:r w:rsidRPr="00277300">
        <w:t xml:space="preserve">'s model inputs </w:t>
      </w:r>
      <w:r>
        <w:t>transmitted direct solar irradiance</w:t>
      </w:r>
      <w:r w:rsidRPr="00277300">
        <w:t xml:space="preserve"> to predict an occupant's blinds closing action</w:t>
      </w:r>
      <w:r>
        <w:t xml:space="preserve">. Although transmitted direct solar irradiance should correlate to the light intensity distribution at a cubicle, the </w:t>
      </w:r>
      <w:proofErr w:type="spellStart"/>
      <w:r>
        <w:t>illuminance</w:t>
      </w:r>
      <w:proofErr w:type="spellEnd"/>
      <w:r>
        <w:t xml:space="preserve"> at the cubicle should be influenced with the size and optical properties of the window.</w:t>
      </w:r>
      <w:r w:rsidRPr="00277300">
        <w:t xml:space="preserve"> This undermines the transferability of this model to buildings with different </w:t>
      </w:r>
      <w:r>
        <w:t>windows</w:t>
      </w:r>
      <w:r w:rsidRPr="00277300">
        <w:t>.</w:t>
      </w:r>
      <w:r w:rsidR="00CE3E3A">
        <w:t xml:space="preserve"> </w:t>
      </w:r>
    </w:p>
    <w:p w:rsidR="00BF25DE" w:rsidRDefault="00BF25DE" w:rsidP="00051A6E">
      <w:pPr>
        <w:spacing w:after="0" w:line="360" w:lineRule="auto"/>
        <w:jc w:val="both"/>
      </w:pPr>
      <w:r>
        <w:t xml:space="preserve">All three blind use models </w:t>
      </w:r>
      <w:r>
        <w:rPr>
          <w:noProof/>
        </w:rPr>
        <w:t>(Newsham 1994; Reinhart 2004; Haldi and Robinson 2010)</w:t>
      </w:r>
      <w:r>
        <w:t xml:space="preserve"> were developed based on observations of near-south-facing offices and have not been validated for other orientations. </w:t>
      </w:r>
      <w:r>
        <w:rPr>
          <w:noProof/>
        </w:rPr>
        <w:t>Inoue (2003)</w:t>
      </w:r>
      <w:r>
        <w:t xml:space="preserve"> reported that, not only was blind occlusion a function of orientation, but daily opening and closing patterns clearly followed the sun (e.g., east-facing occupants closed blinds in the morning and opened them in the afternoon). Observational studies of offices facing other orientations would be useful. </w:t>
      </w:r>
    </w:p>
    <w:p w:rsidR="00BF25DE" w:rsidRDefault="00BF25DE" w:rsidP="00051A6E">
      <w:pPr>
        <w:spacing w:after="0" w:line="360" w:lineRule="auto"/>
        <w:jc w:val="both"/>
      </w:pPr>
      <w:r>
        <w:t>Window use models</w:t>
      </w:r>
      <w:r w:rsidRPr="007116D6">
        <w:rPr>
          <w:rFonts w:cs="Times New Roman"/>
          <w:szCs w:val="24"/>
        </w:rPr>
        <w:t xml:space="preserve"> </w:t>
      </w:r>
      <w:r w:rsidR="00051A6E">
        <w:rPr>
          <w:rFonts w:cs="Times New Roman"/>
          <w:noProof/>
          <w:szCs w:val="24"/>
        </w:rPr>
        <w:t>(Rijal</w:t>
      </w:r>
      <w:r>
        <w:rPr>
          <w:rFonts w:cs="Times New Roman"/>
          <w:noProof/>
          <w:szCs w:val="24"/>
        </w:rPr>
        <w:t xml:space="preserve"> et al. 2008; Yun and Steemers 2008; Haldi and Robinson 2009)</w:t>
      </w:r>
      <w:r>
        <w:rPr>
          <w:rFonts w:cs="Times New Roman"/>
          <w:szCs w:val="24"/>
        </w:rPr>
        <w:t xml:space="preserve"> were developed based on observations of offices without mechanical ventilation systems. However, occupant use of windows in buildings with mechanical ventilation can be fundamentally different than it is in buildings with natural ventilation </w:t>
      </w:r>
      <w:r w:rsidR="00051A6E">
        <w:rPr>
          <w:rFonts w:cs="Times New Roman"/>
          <w:noProof/>
          <w:szCs w:val="24"/>
        </w:rPr>
        <w:t>(Schweiker</w:t>
      </w:r>
      <w:r>
        <w:rPr>
          <w:rFonts w:cs="Times New Roman"/>
          <w:noProof/>
          <w:szCs w:val="24"/>
        </w:rPr>
        <w:t xml:space="preserve"> et al. 2011)</w:t>
      </w:r>
      <w:r>
        <w:rPr>
          <w:rFonts w:cs="Times New Roman"/>
          <w:szCs w:val="24"/>
        </w:rPr>
        <w:t>. Occupants in a building with mechanical ventilation are likely to use their windows to achieve better thermal comfort, whereas occupants in buildings with natural ventilation are likely to use them for both thermal comfort and indoor air quality related reasons.</w:t>
      </w:r>
      <w:r w:rsidRPr="007D3FBC">
        <w:t xml:space="preserve"> </w:t>
      </w:r>
    </w:p>
    <w:p w:rsidR="00BF25DE" w:rsidRDefault="00BF25DE" w:rsidP="00051A6E">
      <w:pPr>
        <w:spacing w:after="0" w:line="360" w:lineRule="auto"/>
        <w:jc w:val="both"/>
      </w:pPr>
      <w:r>
        <w:t xml:space="preserve">In an early observational study conducted by Warren and </w:t>
      </w:r>
      <w:proofErr w:type="spellStart"/>
      <w:r>
        <w:t>Parkins</w:t>
      </w:r>
      <w:proofErr w:type="spellEnd"/>
      <w:r>
        <w:t xml:space="preserve"> (1984), it was reported that partial window openings were associated with poor indoor air quality; whereas full window openings were typically associated with thermal discomfort. They also reported that ambient noise and indoor draftiness were the primary reasons for closing windows. Future window use models can consider partial window opening and closing actions; and the role of non-temperature variables over the window use behaviour. In another observational study, Fritsch et al. (</w:t>
      </w:r>
      <w:r w:rsidRPr="00617A58">
        <w:t>1990</w:t>
      </w:r>
      <w:r>
        <w:t xml:space="preserve">) observed that the window opening behaviour appeared to become independent from </w:t>
      </w:r>
      <w:r>
        <w:lastRenderedPageBreak/>
        <w:t xml:space="preserve">the outdoor temperature when it falls below </w:t>
      </w:r>
      <w:r w:rsidRPr="00420F4D">
        <w:rPr>
          <w:rFonts w:cs="Times New Roman"/>
        </w:rPr>
        <w:t>18</w:t>
      </w:r>
      <w:r w:rsidRPr="00420F4D">
        <w:rPr>
          <w:rFonts w:cs="Times New Roman"/>
          <w:color w:val="545454"/>
          <w:shd w:val="clear" w:color="auto" w:fill="FFFFFF"/>
        </w:rPr>
        <w:t>°C</w:t>
      </w:r>
      <w:r>
        <w:t xml:space="preserve">. Future window use models should consider reflecting such nonlinearities, particularly for modelling window use in cold climates. </w:t>
      </w:r>
    </w:p>
    <w:p w:rsidR="00BF25DE" w:rsidRDefault="00BF25DE" w:rsidP="00051A6E">
      <w:pPr>
        <w:spacing w:after="0" w:line="360" w:lineRule="auto"/>
        <w:jc w:val="both"/>
      </w:pPr>
      <w:r>
        <w:rPr>
          <w:noProof/>
        </w:rPr>
        <w:t>Haldi and Robinson (2010)</w:t>
      </w:r>
      <w:r>
        <w:t xml:space="preserve">'s blind use model was based on offices with motorized blinds with controls that favour fully open or fully closed positions. </w:t>
      </w:r>
      <w:r w:rsidR="00051A6E">
        <w:rPr>
          <w:noProof/>
        </w:rPr>
        <w:t>Sutter</w:t>
      </w:r>
      <w:r>
        <w:rPr>
          <w:noProof/>
        </w:rPr>
        <w:t xml:space="preserve"> et al. (2006)</w:t>
      </w:r>
      <w:r>
        <w:t xml:space="preserve"> found that occupants with motorized blinds move them three times as frequently as those with manually-operated blinds. Such controls can also lead to bias towards fully open or fully closed blinds since the control interfaces favour these positions. Their results could also be influenced by the peculiar façade design upon which their model is based, which features an </w:t>
      </w:r>
      <w:proofErr w:type="spellStart"/>
      <w:r>
        <w:t>anidolic</w:t>
      </w:r>
      <w:proofErr w:type="spellEnd"/>
      <w:r>
        <w:t xml:space="preserve"> reflector and two sets of blinds. However, </w:t>
      </w:r>
      <w:proofErr w:type="spellStart"/>
      <w:r>
        <w:t>Haldi</w:t>
      </w:r>
      <w:proofErr w:type="spellEnd"/>
      <w:r>
        <w:t xml:space="preserve"> and Robinson (2010)’s model is the only known model to consider partial blind opening and closing movements.</w:t>
      </w:r>
    </w:p>
    <w:p w:rsidR="00BF25DE" w:rsidRDefault="00BF25DE" w:rsidP="00051A6E">
      <w:pPr>
        <w:spacing w:after="0" w:line="360" w:lineRule="auto"/>
        <w:jc w:val="both"/>
      </w:pPr>
      <w:r>
        <w:t xml:space="preserve">In </w:t>
      </w:r>
      <w:r>
        <w:rPr>
          <w:noProof/>
        </w:rPr>
        <w:t>Reinhart (2004)</w:t>
      </w:r>
      <w:r>
        <w:t xml:space="preserve"> and </w:t>
      </w:r>
      <w:r>
        <w:rPr>
          <w:noProof/>
        </w:rPr>
        <w:t>Newsham (1994)</w:t>
      </w:r>
      <w:r>
        <w:t xml:space="preserve">, occupants were modelled to open their blinds as they arrive. This almost certainly exaggerates occupants' activeness, as once occupants close their blinds it typically takes them much longer than a day to reopen them </w:t>
      </w:r>
      <w:r w:rsidR="00051A6E">
        <w:rPr>
          <w:rFonts w:cs="Times New Roman"/>
          <w:noProof/>
          <w:szCs w:val="24"/>
        </w:rPr>
        <w:t>(e.g., Rubin</w:t>
      </w:r>
      <w:r>
        <w:rPr>
          <w:rFonts w:cs="Times New Roman"/>
          <w:noProof/>
          <w:szCs w:val="24"/>
        </w:rPr>
        <w:t xml:space="preserve"> et al.</w:t>
      </w:r>
      <w:r w:rsidR="00051A6E">
        <w:rPr>
          <w:rFonts w:cs="Times New Roman"/>
          <w:noProof/>
          <w:szCs w:val="24"/>
        </w:rPr>
        <w:t xml:space="preserve"> 1978; Rea 1984; O'Brien</w:t>
      </w:r>
      <w:r>
        <w:rPr>
          <w:rFonts w:cs="Times New Roman"/>
          <w:noProof/>
          <w:szCs w:val="24"/>
        </w:rPr>
        <w:t xml:space="preserve"> et al. 2013)</w:t>
      </w:r>
      <w:r>
        <w:rPr>
          <w:rFonts w:cs="Times New Roman"/>
          <w:szCs w:val="24"/>
        </w:rPr>
        <w:t>.</w:t>
      </w:r>
    </w:p>
    <w:p w:rsidR="00BF25DE" w:rsidRDefault="00BF25DE" w:rsidP="00051A6E">
      <w:pPr>
        <w:spacing w:after="0" w:line="360" w:lineRule="auto"/>
        <w:jc w:val="both"/>
        <w:rPr>
          <w:rFonts w:cs="Times New Roman"/>
          <w:szCs w:val="24"/>
        </w:rPr>
      </w:pPr>
      <w:r>
        <w:rPr>
          <w:rFonts w:cs="Times New Roman"/>
          <w:szCs w:val="24"/>
        </w:rPr>
        <w:t xml:space="preserve">Although the evidence suggests that occupants rarely undertake major clothing level adjustments during a day, </w:t>
      </w:r>
      <w:r>
        <w:t xml:space="preserve">small clothing level adjustments (e.g., opening a collar or rolling up a sleeve) during a day can play a substantial role over an occupant's operative comfort temperature range </w:t>
      </w:r>
      <w:r>
        <w:rPr>
          <w:rFonts w:cs="Times New Roman"/>
          <w:noProof/>
          <w:szCs w:val="24"/>
        </w:rPr>
        <w:t>(Haldi and Robinson 2011)</w:t>
      </w:r>
      <w:r>
        <w:rPr>
          <w:rFonts w:cs="Times New Roman"/>
          <w:szCs w:val="24"/>
        </w:rPr>
        <w:t>.</w:t>
      </w:r>
      <w:r w:rsidRPr="00C84477">
        <w:t xml:space="preserve"> </w:t>
      </w:r>
      <w:r>
        <w:t>However, a Markov transition probability for such adjustments are not available.</w:t>
      </w:r>
    </w:p>
    <w:p w:rsidR="00BF25DE" w:rsidRDefault="00BF25DE" w:rsidP="00051A6E">
      <w:pPr>
        <w:spacing w:after="0" w:line="360" w:lineRule="auto"/>
        <w:jc w:val="both"/>
      </w:pPr>
      <w:r>
        <w:t xml:space="preserve">Some model developers tend not to report the standard error of their regression coefficients. As reported by </w:t>
      </w:r>
      <w:r>
        <w:rPr>
          <w:noProof/>
        </w:rPr>
        <w:t>Haldi (2013)</w:t>
      </w:r>
      <w:r>
        <w:t xml:space="preserve">, the standard error of an occupant model's regression coefficients can provide users the information to generate a realistically diverse synthetic population </w:t>
      </w:r>
      <w:r w:rsidRPr="007116D6">
        <w:rPr>
          <w:rFonts w:cs="Times New Roman"/>
          <w:szCs w:val="24"/>
        </w:rPr>
        <w:t>—</w:t>
      </w:r>
      <w:r w:rsidR="002E467C">
        <w:rPr>
          <w:rFonts w:cs="Times New Roman"/>
          <w:szCs w:val="24"/>
        </w:rPr>
        <w:t xml:space="preserve"> </w:t>
      </w:r>
      <w:r>
        <w:rPr>
          <w:rFonts w:cs="Times New Roman"/>
          <w:szCs w:val="24"/>
        </w:rPr>
        <w:t xml:space="preserve">rather than exposing the </w:t>
      </w:r>
      <w:r w:rsidR="005D1FBA" w:rsidRPr="005D1FBA">
        <w:rPr>
          <w:rFonts w:cs="Times New Roman"/>
          <w:szCs w:val="24"/>
        </w:rPr>
        <w:t>error in fitting a regression model</w:t>
      </w:r>
      <w:r>
        <w:rPr>
          <w:rFonts w:cs="Times New Roman"/>
          <w:szCs w:val="24"/>
        </w:rPr>
        <w:t>.</w:t>
      </w:r>
    </w:p>
    <w:p w:rsidR="00BF25DE" w:rsidRDefault="00BF25DE" w:rsidP="00051A6E">
      <w:pPr>
        <w:pStyle w:val="Heading1"/>
        <w:numPr>
          <w:ilvl w:val="0"/>
          <w:numId w:val="1"/>
        </w:numPr>
        <w:spacing w:before="0" w:line="360" w:lineRule="auto"/>
        <w:rPr>
          <w:rFonts w:cs="Times New Roman"/>
          <w:sz w:val="24"/>
          <w:szCs w:val="24"/>
        </w:rPr>
      </w:pPr>
      <w:r>
        <w:rPr>
          <w:rFonts w:cs="Times New Roman"/>
          <w:sz w:val="24"/>
          <w:szCs w:val="24"/>
        </w:rPr>
        <w:t>Conclusions</w:t>
      </w:r>
    </w:p>
    <w:p w:rsidR="00BF25DE" w:rsidRDefault="00BF25DE" w:rsidP="00051A6E">
      <w:pPr>
        <w:spacing w:after="0" w:line="360" w:lineRule="auto"/>
        <w:jc w:val="both"/>
      </w:pPr>
      <w:r>
        <w:t xml:space="preserve">Existing occupant models for windows, blinds, lighting, clothing, and occupancy were implemented in the EMS application of </w:t>
      </w:r>
      <w:proofErr w:type="spellStart"/>
      <w:r>
        <w:t>EnergyPlus</w:t>
      </w:r>
      <w:proofErr w:type="spellEnd"/>
      <w:r>
        <w:t xml:space="preserve">. The EMS script was made publicly available. </w:t>
      </w:r>
    </w:p>
    <w:p w:rsidR="00BF25DE" w:rsidRDefault="00BF25DE" w:rsidP="00051A6E">
      <w:pPr>
        <w:spacing w:after="0" w:line="360" w:lineRule="auto"/>
        <w:jc w:val="both"/>
      </w:pPr>
      <w:r>
        <w:t xml:space="preserve">The results predicted by different occupant models were compared with each other. The way the differences of these models influence the heating, cooling, and lighting energy computations of BPS was discussed. </w:t>
      </w:r>
    </w:p>
    <w:p w:rsidR="00BF25DE" w:rsidRDefault="00BF25DE" w:rsidP="00051A6E">
      <w:pPr>
        <w:spacing w:after="0" w:line="360" w:lineRule="auto"/>
        <w:jc w:val="both"/>
        <w:rPr>
          <w:rFonts w:cs="Times New Roman"/>
          <w:szCs w:val="24"/>
        </w:rPr>
      </w:pPr>
      <w:r>
        <w:rPr>
          <w:rFonts w:cs="Times New Roman"/>
          <w:szCs w:val="24"/>
        </w:rPr>
        <w:lastRenderedPageBreak/>
        <w:t>Although the impact of occupant use of operable windows appears to change between the four different window use models, all four models consistently exhibit similar seasonal window opening trends and provide support for similar design decisions ― i.e.,</w:t>
      </w:r>
      <w:r w:rsidRPr="00FD30D1">
        <w:rPr>
          <w:rFonts w:cs="Times New Roman"/>
          <w:szCs w:val="24"/>
        </w:rPr>
        <w:t xml:space="preserve"> </w:t>
      </w:r>
      <w:r>
        <w:rPr>
          <w:rFonts w:cs="Times New Roman"/>
          <w:szCs w:val="24"/>
        </w:rPr>
        <w:t xml:space="preserve">all four models consistently predicted that the reduction in cooling loads with the use of operable windows (instead of fixed windows) will be about three times larger than the increase in heating loads for a specific BPS model. </w:t>
      </w:r>
    </w:p>
    <w:p w:rsidR="00BF25DE" w:rsidRDefault="00BF25DE" w:rsidP="00051A6E">
      <w:pPr>
        <w:spacing w:after="0" w:line="360" w:lineRule="auto"/>
        <w:jc w:val="both"/>
        <w:rPr>
          <w:rFonts w:cs="Times New Roman"/>
          <w:szCs w:val="24"/>
        </w:rPr>
      </w:pPr>
      <w:r>
        <w:rPr>
          <w:rFonts w:cs="Times New Roman"/>
          <w:szCs w:val="24"/>
        </w:rPr>
        <w:t xml:space="preserve">The blinds and lighting use models exhibit significant variations in their hourly and seasonal predictions. The lighting loads predicted by the twelve different blinds and lighting use model combinations varied by a factor of six. Despite this significant variation, the BPS models with different blinds and lighting use model combinations provided consistent load reduction predictions in response to a design change. In particular, for a specific BPS model with different blinds and lighting use models, substituting a window assembly with another window assembly was consistently predicted to yield a 40% reduction in the heating and cooling loads and a 10 to 20% increase in the lighting loads. In contrast, when the schedules recommended by </w:t>
      </w:r>
      <w:r>
        <w:rPr>
          <w:rFonts w:cs="Times New Roman"/>
          <w:noProof/>
          <w:szCs w:val="24"/>
        </w:rPr>
        <w:t>ASHRAE (2013)</w:t>
      </w:r>
      <w:r>
        <w:rPr>
          <w:rFonts w:cs="Times New Roman"/>
          <w:szCs w:val="24"/>
        </w:rPr>
        <w:t xml:space="preserve"> were employed to represent lighting and blinds, the identical window assembly change was predicted to yield only a 15 to 20% reduction in the heating and cooling loads and no change in the lighting loads. Also, the BPS model, when simulated with the </w:t>
      </w:r>
      <w:r>
        <w:rPr>
          <w:rFonts w:cs="Times New Roman"/>
          <w:noProof/>
          <w:szCs w:val="24"/>
        </w:rPr>
        <w:t>ASHRAE (2013)</w:t>
      </w:r>
      <w:r>
        <w:rPr>
          <w:rFonts w:cs="Times New Roman"/>
          <w:szCs w:val="24"/>
        </w:rPr>
        <w:t xml:space="preserve"> schedules, predicts significantly more space cooling loads and significantly less space heating loads than when it was simulated with any of the occupant model combinations.</w:t>
      </w:r>
    </w:p>
    <w:p w:rsidR="00BF25DE" w:rsidRDefault="00BF25DE" w:rsidP="00051A6E">
      <w:pPr>
        <w:spacing w:line="360" w:lineRule="auto"/>
        <w:jc w:val="both"/>
        <w:rPr>
          <w:rFonts w:cs="Times New Roman"/>
          <w:szCs w:val="24"/>
        </w:rPr>
      </w:pPr>
      <w:r>
        <w:rPr>
          <w:rFonts w:cs="Times New Roman"/>
          <w:szCs w:val="24"/>
        </w:rPr>
        <w:t>Results of this study indicates that employing existing occupant models can be an improvement over the use of static input schedules, but future research is needed to better represent human presence and behaviour in office spaces.</w:t>
      </w:r>
    </w:p>
    <w:p w:rsidR="00BF25DE" w:rsidRDefault="00BF25DE" w:rsidP="00051A6E">
      <w:pPr>
        <w:spacing w:before="240" w:after="0" w:line="360" w:lineRule="auto"/>
        <w:jc w:val="both"/>
        <w:rPr>
          <w:b/>
        </w:rPr>
      </w:pPr>
      <w:r>
        <w:rPr>
          <w:b/>
        </w:rPr>
        <w:t>References</w:t>
      </w:r>
    </w:p>
    <w:p w:rsidR="00BF25DE" w:rsidRPr="006E0EAA" w:rsidRDefault="00BF25DE" w:rsidP="00AA5C93">
      <w:pPr>
        <w:spacing w:after="0" w:line="240" w:lineRule="auto"/>
        <w:ind w:left="720" w:hanging="720"/>
        <w:jc w:val="both"/>
        <w:rPr>
          <w:rFonts w:cs="Times New Roman"/>
          <w:noProof/>
          <w:szCs w:val="24"/>
        </w:rPr>
      </w:pPr>
      <w:bookmarkStart w:id="160" w:name="_ENREF_1"/>
      <w:r w:rsidRPr="006E0EAA">
        <w:rPr>
          <w:rFonts w:cs="Times New Roman"/>
          <w:noProof/>
          <w:szCs w:val="24"/>
        </w:rPr>
        <w:t xml:space="preserve">Andersen, R. V. (2009). "Occupant behaviour with regard to control of the indoor environment." </w:t>
      </w:r>
      <w:r w:rsidR="00AA5C93">
        <w:t>PhD diss.</w:t>
      </w:r>
      <w:r w:rsidRPr="006E0EAA">
        <w:rPr>
          <w:rFonts w:cs="Times New Roman"/>
          <w:noProof/>
          <w:szCs w:val="24"/>
        </w:rPr>
        <w:t>, Technical University of Denmark.</w:t>
      </w:r>
      <w:bookmarkEnd w:id="160"/>
    </w:p>
    <w:p w:rsidR="00AA5C93" w:rsidRPr="006E0EAA" w:rsidRDefault="00AA5C93" w:rsidP="00AA5C93">
      <w:pPr>
        <w:spacing w:after="0" w:line="240" w:lineRule="auto"/>
        <w:ind w:left="720" w:hanging="720"/>
        <w:jc w:val="both"/>
        <w:rPr>
          <w:rFonts w:cs="Times New Roman"/>
          <w:noProof/>
          <w:szCs w:val="24"/>
        </w:rPr>
      </w:pPr>
      <w:bookmarkStart w:id="161" w:name="_ENREF_2"/>
      <w:r>
        <w:rPr>
          <w:rFonts w:cs="Times New Roman"/>
          <w:noProof/>
          <w:szCs w:val="24"/>
        </w:rPr>
        <w:t xml:space="preserve">ASHRAE (2010) </w:t>
      </w:r>
      <w:r w:rsidR="00BF25DE" w:rsidRPr="006E0EAA">
        <w:rPr>
          <w:rFonts w:cs="Times New Roman"/>
          <w:noProof/>
          <w:szCs w:val="24"/>
        </w:rPr>
        <w:t>Standard 55</w:t>
      </w:r>
      <w:r>
        <w:rPr>
          <w:rFonts w:cs="Times New Roman"/>
          <w:noProof/>
          <w:szCs w:val="24"/>
        </w:rPr>
        <w:t>.</w:t>
      </w:r>
      <w:r w:rsidR="00BF25DE" w:rsidRPr="006E0EAA">
        <w:rPr>
          <w:rFonts w:cs="Times New Roman"/>
          <w:noProof/>
          <w:szCs w:val="24"/>
        </w:rPr>
        <w:t xml:space="preserve"> </w:t>
      </w:r>
      <w:r>
        <w:rPr>
          <w:rFonts w:cs="Times New Roman"/>
          <w:noProof/>
          <w:szCs w:val="24"/>
        </w:rPr>
        <w:t>"</w:t>
      </w:r>
      <w:r w:rsidR="00BF25DE" w:rsidRPr="006E0EAA">
        <w:rPr>
          <w:rFonts w:cs="Times New Roman"/>
          <w:noProof/>
          <w:szCs w:val="24"/>
        </w:rPr>
        <w:t>Thermal environmental conditions for human occupancy.</w:t>
      </w:r>
      <w:bookmarkStart w:id="162" w:name="_ENREF_3"/>
      <w:bookmarkEnd w:id="161"/>
      <w:r>
        <w:rPr>
          <w:rFonts w:cs="Times New Roman"/>
          <w:noProof/>
          <w:szCs w:val="24"/>
        </w:rPr>
        <w:t xml:space="preserve">" </w:t>
      </w:r>
      <w:r w:rsidRPr="006E0EAA">
        <w:rPr>
          <w:rFonts w:cs="Times New Roman"/>
          <w:noProof/>
          <w:szCs w:val="24"/>
        </w:rPr>
        <w:t>Atlanta, American Society fo</w:t>
      </w:r>
      <w:r>
        <w:rPr>
          <w:rFonts w:cs="Times New Roman"/>
          <w:noProof/>
          <w:szCs w:val="24"/>
        </w:rPr>
        <w:t>r Heating Refrigeration and Air</w:t>
      </w:r>
      <w:r w:rsidRPr="006E0EAA">
        <w:rPr>
          <w:rFonts w:cs="Times New Roman"/>
          <w:noProof/>
          <w:szCs w:val="24"/>
        </w:rPr>
        <w:t>conditioning</w:t>
      </w:r>
      <w:r>
        <w:rPr>
          <w:rFonts w:cs="Times New Roman"/>
          <w:noProof/>
          <w:szCs w:val="24"/>
        </w:rPr>
        <w:t xml:space="preserve"> Engineers</w:t>
      </w:r>
      <w:r w:rsidRPr="006E0EAA">
        <w:rPr>
          <w:rFonts w:cs="Times New Roman"/>
          <w:noProof/>
          <w:szCs w:val="24"/>
        </w:rPr>
        <w:t>.</w:t>
      </w:r>
    </w:p>
    <w:p w:rsidR="00BF25DE" w:rsidRPr="006E0EAA" w:rsidRDefault="00BF25DE" w:rsidP="00AA5C93">
      <w:pPr>
        <w:spacing w:after="0" w:line="240" w:lineRule="auto"/>
        <w:ind w:left="720" w:hanging="720"/>
        <w:jc w:val="both"/>
        <w:rPr>
          <w:rFonts w:cs="Times New Roman"/>
          <w:noProof/>
          <w:szCs w:val="24"/>
        </w:rPr>
      </w:pPr>
      <w:r w:rsidRPr="006E0EAA">
        <w:rPr>
          <w:rFonts w:cs="Times New Roman"/>
          <w:noProof/>
          <w:szCs w:val="24"/>
        </w:rPr>
        <w:t>ASHRAE (2011)</w:t>
      </w:r>
      <w:r w:rsidR="00AA5C93">
        <w:rPr>
          <w:rFonts w:cs="Times New Roman"/>
          <w:noProof/>
          <w:szCs w:val="24"/>
        </w:rPr>
        <w:t xml:space="preserve"> Standard 140.</w:t>
      </w:r>
      <w:r w:rsidRPr="006E0EAA">
        <w:rPr>
          <w:rFonts w:cs="Times New Roman"/>
          <w:noProof/>
          <w:szCs w:val="24"/>
        </w:rPr>
        <w:t xml:space="preserve"> </w:t>
      </w:r>
      <w:r w:rsidR="00AA5C93">
        <w:rPr>
          <w:rFonts w:cs="Times New Roman"/>
          <w:noProof/>
          <w:szCs w:val="24"/>
        </w:rPr>
        <w:t>"</w:t>
      </w:r>
      <w:r w:rsidRPr="006E0EAA">
        <w:rPr>
          <w:rFonts w:cs="Times New Roman"/>
          <w:noProof/>
          <w:szCs w:val="24"/>
        </w:rPr>
        <w:t>Standard method of test for the evaluation of building energy analysis computer programs.</w:t>
      </w:r>
      <w:r w:rsidR="00AA5C93">
        <w:rPr>
          <w:rFonts w:cs="Times New Roman"/>
          <w:noProof/>
          <w:szCs w:val="24"/>
        </w:rPr>
        <w:t xml:space="preserve">" </w:t>
      </w:r>
      <w:r w:rsidR="00AA5C93" w:rsidRPr="006E0EAA">
        <w:rPr>
          <w:rFonts w:cs="Times New Roman"/>
          <w:noProof/>
          <w:szCs w:val="24"/>
        </w:rPr>
        <w:t>Atlanta, American Society fo</w:t>
      </w:r>
      <w:r w:rsidR="00AA5C93">
        <w:rPr>
          <w:rFonts w:cs="Times New Roman"/>
          <w:noProof/>
          <w:szCs w:val="24"/>
        </w:rPr>
        <w:t>r Heating Refrigeration and Air</w:t>
      </w:r>
      <w:r w:rsidR="00AA5C93" w:rsidRPr="006E0EAA">
        <w:rPr>
          <w:rFonts w:cs="Times New Roman"/>
          <w:noProof/>
          <w:szCs w:val="24"/>
        </w:rPr>
        <w:t>co</w:t>
      </w:r>
      <w:r w:rsidR="00AA5C93">
        <w:rPr>
          <w:rFonts w:cs="Times New Roman"/>
          <w:noProof/>
          <w:szCs w:val="24"/>
        </w:rPr>
        <w:t>nditioning Engineers.</w:t>
      </w:r>
      <w:bookmarkEnd w:id="162"/>
    </w:p>
    <w:p w:rsidR="00BF25DE" w:rsidRPr="006E0EAA" w:rsidRDefault="00AA5C93" w:rsidP="00AA5C93">
      <w:pPr>
        <w:spacing w:after="0" w:line="240" w:lineRule="auto"/>
        <w:ind w:left="720" w:hanging="720"/>
        <w:jc w:val="both"/>
        <w:rPr>
          <w:rFonts w:cs="Times New Roman"/>
          <w:noProof/>
          <w:szCs w:val="24"/>
        </w:rPr>
      </w:pPr>
      <w:bookmarkStart w:id="163" w:name="_ENREF_4"/>
      <w:r>
        <w:rPr>
          <w:rFonts w:cs="Times New Roman"/>
          <w:noProof/>
          <w:szCs w:val="24"/>
        </w:rPr>
        <w:t>ASHRAE (2011)</w:t>
      </w:r>
      <w:r w:rsidR="00BF25DE" w:rsidRPr="006E0EAA">
        <w:rPr>
          <w:rFonts w:cs="Times New Roman"/>
          <w:noProof/>
          <w:szCs w:val="24"/>
        </w:rPr>
        <w:t xml:space="preserve"> Standard 189.1</w:t>
      </w:r>
      <w:r>
        <w:rPr>
          <w:rFonts w:cs="Times New Roman"/>
          <w:noProof/>
          <w:szCs w:val="24"/>
        </w:rPr>
        <w:t>.</w:t>
      </w:r>
      <w:r w:rsidR="00BF25DE" w:rsidRPr="006E0EAA">
        <w:rPr>
          <w:rFonts w:cs="Times New Roman"/>
          <w:noProof/>
          <w:szCs w:val="24"/>
        </w:rPr>
        <w:t xml:space="preserve"> </w:t>
      </w:r>
      <w:r>
        <w:rPr>
          <w:rFonts w:cs="Times New Roman"/>
          <w:noProof/>
          <w:szCs w:val="24"/>
        </w:rPr>
        <w:t>"</w:t>
      </w:r>
      <w:r w:rsidR="00BF25DE" w:rsidRPr="006E0EAA">
        <w:rPr>
          <w:rFonts w:cs="Times New Roman"/>
          <w:noProof/>
          <w:szCs w:val="24"/>
        </w:rPr>
        <w:t>Standard for the design of high performance, green buildings except low-rise residential buildings.</w:t>
      </w:r>
      <w:r>
        <w:rPr>
          <w:rFonts w:cs="Times New Roman"/>
          <w:noProof/>
          <w:szCs w:val="24"/>
        </w:rPr>
        <w:t>"</w:t>
      </w:r>
      <w:r w:rsidR="00BF25DE" w:rsidRPr="006E0EAA">
        <w:rPr>
          <w:rFonts w:cs="Times New Roman"/>
          <w:noProof/>
          <w:szCs w:val="24"/>
        </w:rPr>
        <w:t xml:space="preserve"> Atlanta, American Society fo</w:t>
      </w:r>
      <w:r>
        <w:rPr>
          <w:rFonts w:cs="Times New Roman"/>
          <w:noProof/>
          <w:szCs w:val="24"/>
        </w:rPr>
        <w:t>r Heating Refrigeration and Air</w:t>
      </w:r>
      <w:r w:rsidR="00BF25DE" w:rsidRPr="006E0EAA">
        <w:rPr>
          <w:rFonts w:cs="Times New Roman"/>
          <w:noProof/>
          <w:szCs w:val="24"/>
        </w:rPr>
        <w:t>conditioning</w:t>
      </w:r>
      <w:r>
        <w:rPr>
          <w:rFonts w:cs="Times New Roman"/>
          <w:noProof/>
          <w:szCs w:val="24"/>
        </w:rPr>
        <w:t xml:space="preserve"> Engineers</w:t>
      </w:r>
      <w:r w:rsidR="00BF25DE" w:rsidRPr="006E0EAA">
        <w:rPr>
          <w:rFonts w:cs="Times New Roman"/>
          <w:noProof/>
          <w:szCs w:val="24"/>
        </w:rPr>
        <w:t>.</w:t>
      </w:r>
      <w:bookmarkEnd w:id="163"/>
    </w:p>
    <w:p w:rsidR="00BF25DE" w:rsidRPr="006E0EAA" w:rsidRDefault="00AA5C93" w:rsidP="00AA5C93">
      <w:pPr>
        <w:spacing w:after="0" w:line="240" w:lineRule="auto"/>
        <w:ind w:left="720" w:hanging="720"/>
        <w:jc w:val="both"/>
        <w:rPr>
          <w:rFonts w:cs="Times New Roman"/>
          <w:noProof/>
          <w:szCs w:val="24"/>
        </w:rPr>
      </w:pPr>
      <w:bookmarkStart w:id="164" w:name="_ENREF_5"/>
      <w:r>
        <w:rPr>
          <w:rFonts w:cs="Times New Roman"/>
          <w:noProof/>
          <w:szCs w:val="24"/>
        </w:rPr>
        <w:lastRenderedPageBreak/>
        <w:t>ASHRAE (2013). "</w:t>
      </w:r>
      <w:r w:rsidR="00BF25DE" w:rsidRPr="006E0EAA">
        <w:rPr>
          <w:rFonts w:cs="Times New Roman"/>
          <w:noProof/>
          <w:szCs w:val="24"/>
        </w:rPr>
        <w:t>Han</w:t>
      </w:r>
      <w:r>
        <w:rPr>
          <w:rFonts w:cs="Times New Roman"/>
          <w:noProof/>
          <w:szCs w:val="24"/>
        </w:rPr>
        <w:t xml:space="preserve">dbook of Fundamentals." </w:t>
      </w:r>
      <w:bookmarkEnd w:id="164"/>
      <w:r w:rsidRPr="006E0EAA">
        <w:rPr>
          <w:rFonts w:cs="Times New Roman"/>
          <w:noProof/>
          <w:szCs w:val="24"/>
        </w:rPr>
        <w:t>Atlanta, American Society fo</w:t>
      </w:r>
      <w:r>
        <w:rPr>
          <w:rFonts w:cs="Times New Roman"/>
          <w:noProof/>
          <w:szCs w:val="24"/>
        </w:rPr>
        <w:t>r Heating Refrigeration and Air</w:t>
      </w:r>
      <w:r w:rsidRPr="006E0EAA">
        <w:rPr>
          <w:rFonts w:cs="Times New Roman"/>
          <w:noProof/>
          <w:szCs w:val="24"/>
        </w:rPr>
        <w:t>conditioning</w:t>
      </w:r>
      <w:r>
        <w:rPr>
          <w:rFonts w:cs="Times New Roman"/>
          <w:noProof/>
          <w:szCs w:val="24"/>
        </w:rPr>
        <w:t xml:space="preserve"> Engineers</w:t>
      </w:r>
      <w:r w:rsidRPr="006E0EAA">
        <w:rPr>
          <w:rFonts w:cs="Times New Roman"/>
          <w:noProof/>
          <w:szCs w:val="24"/>
        </w:rPr>
        <w:t>.</w:t>
      </w:r>
    </w:p>
    <w:p w:rsidR="00BF25DE" w:rsidRPr="006E0EAA" w:rsidRDefault="00AA5C93" w:rsidP="00AA5C93">
      <w:pPr>
        <w:spacing w:after="0" w:line="240" w:lineRule="auto"/>
        <w:ind w:left="720" w:hanging="720"/>
        <w:jc w:val="both"/>
        <w:rPr>
          <w:rFonts w:cs="Times New Roman"/>
          <w:noProof/>
          <w:szCs w:val="24"/>
        </w:rPr>
      </w:pPr>
      <w:bookmarkStart w:id="165" w:name="_ENREF_6"/>
      <w:r>
        <w:rPr>
          <w:rFonts w:cs="Times New Roman"/>
          <w:noProof/>
          <w:szCs w:val="24"/>
        </w:rPr>
        <w:t>ASHRAE (2013)</w:t>
      </w:r>
      <w:r w:rsidR="00BF25DE" w:rsidRPr="006E0EAA">
        <w:rPr>
          <w:rFonts w:cs="Times New Roman"/>
          <w:noProof/>
          <w:szCs w:val="24"/>
        </w:rPr>
        <w:t xml:space="preserve"> </w:t>
      </w:r>
      <w:r>
        <w:rPr>
          <w:rFonts w:cs="Times New Roman"/>
          <w:noProof/>
          <w:szCs w:val="24"/>
        </w:rPr>
        <w:t>Standard 62.1. "</w:t>
      </w:r>
      <w:r w:rsidRPr="00AA5C93">
        <w:rPr>
          <w:rFonts w:cs="Times New Roman"/>
          <w:noProof/>
          <w:szCs w:val="24"/>
        </w:rPr>
        <w:t>Ventilation for Acceptable Indoor Air Quality</w:t>
      </w:r>
      <w:r w:rsidR="00BF25DE" w:rsidRPr="006E0EAA">
        <w:rPr>
          <w:rFonts w:cs="Times New Roman"/>
          <w:noProof/>
          <w:szCs w:val="24"/>
        </w:rPr>
        <w:t>.</w:t>
      </w:r>
      <w:bookmarkEnd w:id="165"/>
      <w:r>
        <w:rPr>
          <w:rFonts w:cs="Times New Roman"/>
          <w:noProof/>
          <w:szCs w:val="24"/>
        </w:rPr>
        <w:t>"</w:t>
      </w:r>
      <w:r w:rsidRPr="00AA5C93">
        <w:rPr>
          <w:rFonts w:cs="Times New Roman"/>
          <w:noProof/>
          <w:szCs w:val="24"/>
        </w:rPr>
        <w:t xml:space="preserve"> </w:t>
      </w:r>
      <w:r w:rsidRPr="006E0EAA">
        <w:rPr>
          <w:rFonts w:cs="Times New Roman"/>
          <w:noProof/>
          <w:szCs w:val="24"/>
        </w:rPr>
        <w:t>Atlanta, American Society fo</w:t>
      </w:r>
      <w:r>
        <w:rPr>
          <w:rFonts w:cs="Times New Roman"/>
          <w:noProof/>
          <w:szCs w:val="24"/>
        </w:rPr>
        <w:t>r Heating Refrigeration and Air</w:t>
      </w:r>
      <w:r w:rsidRPr="006E0EAA">
        <w:rPr>
          <w:rFonts w:cs="Times New Roman"/>
          <w:noProof/>
          <w:szCs w:val="24"/>
        </w:rPr>
        <w:t>conditioning</w:t>
      </w:r>
      <w:r>
        <w:rPr>
          <w:rFonts w:cs="Times New Roman"/>
          <w:noProof/>
          <w:szCs w:val="24"/>
        </w:rPr>
        <w:t xml:space="preserve"> Engineers</w:t>
      </w:r>
      <w:r w:rsidRPr="006E0EAA">
        <w:rPr>
          <w:rFonts w:cs="Times New Roman"/>
          <w:noProof/>
          <w:szCs w:val="24"/>
        </w:rPr>
        <w:t>.</w:t>
      </w:r>
    </w:p>
    <w:p w:rsidR="00BF25DE" w:rsidRPr="006E0EAA" w:rsidRDefault="00AA5C93" w:rsidP="00AA5C93">
      <w:pPr>
        <w:spacing w:after="0" w:line="240" w:lineRule="auto"/>
        <w:ind w:left="720" w:hanging="720"/>
        <w:jc w:val="both"/>
        <w:rPr>
          <w:rFonts w:cs="Times New Roman"/>
          <w:noProof/>
          <w:szCs w:val="24"/>
        </w:rPr>
      </w:pPr>
      <w:bookmarkStart w:id="166" w:name="_ENREF_7"/>
      <w:r>
        <w:rPr>
          <w:rFonts w:cs="Times New Roman"/>
          <w:noProof/>
          <w:szCs w:val="24"/>
        </w:rPr>
        <w:t>ASHRAE</w:t>
      </w:r>
      <w:r w:rsidR="00BF25DE" w:rsidRPr="006E0EAA">
        <w:rPr>
          <w:rFonts w:cs="Times New Roman"/>
          <w:noProof/>
          <w:szCs w:val="24"/>
        </w:rPr>
        <w:t xml:space="preserve"> (2013). Standard 90.1</w:t>
      </w:r>
      <w:r>
        <w:rPr>
          <w:rFonts w:cs="Times New Roman"/>
          <w:noProof/>
          <w:szCs w:val="24"/>
        </w:rPr>
        <w:t>.</w:t>
      </w:r>
      <w:r w:rsidR="00BF25DE" w:rsidRPr="006E0EAA">
        <w:rPr>
          <w:rFonts w:cs="Times New Roman"/>
          <w:noProof/>
          <w:szCs w:val="24"/>
        </w:rPr>
        <w:t xml:space="preserve"> </w:t>
      </w:r>
      <w:r>
        <w:rPr>
          <w:rFonts w:cs="Times New Roman"/>
          <w:noProof/>
          <w:szCs w:val="24"/>
        </w:rPr>
        <w:t>"</w:t>
      </w:r>
      <w:r w:rsidR="00BF25DE" w:rsidRPr="006E0EAA">
        <w:rPr>
          <w:rFonts w:cs="Times New Roman"/>
          <w:noProof/>
          <w:szCs w:val="24"/>
        </w:rPr>
        <w:t>Energy standard for buildings except low rise residential buildings.</w:t>
      </w:r>
      <w:r>
        <w:rPr>
          <w:rFonts w:cs="Times New Roman"/>
          <w:noProof/>
          <w:szCs w:val="24"/>
        </w:rPr>
        <w:t>"</w:t>
      </w:r>
      <w:r w:rsidR="00BF25DE" w:rsidRPr="006E0EAA">
        <w:rPr>
          <w:rFonts w:cs="Times New Roman"/>
          <w:noProof/>
          <w:szCs w:val="24"/>
        </w:rPr>
        <w:t xml:space="preserve"> </w:t>
      </w:r>
      <w:bookmarkEnd w:id="166"/>
      <w:r w:rsidRPr="006E0EAA">
        <w:rPr>
          <w:rFonts w:cs="Times New Roman"/>
          <w:noProof/>
          <w:szCs w:val="24"/>
        </w:rPr>
        <w:t>Atlanta, American Society fo</w:t>
      </w:r>
      <w:r>
        <w:rPr>
          <w:rFonts w:cs="Times New Roman"/>
          <w:noProof/>
          <w:szCs w:val="24"/>
        </w:rPr>
        <w:t>r Heating Refrigeration and Air</w:t>
      </w:r>
      <w:r w:rsidRPr="006E0EAA">
        <w:rPr>
          <w:rFonts w:cs="Times New Roman"/>
          <w:noProof/>
          <w:szCs w:val="24"/>
        </w:rPr>
        <w:t>conditioning</w:t>
      </w:r>
      <w:r>
        <w:rPr>
          <w:rFonts w:cs="Times New Roman"/>
          <w:noProof/>
          <w:szCs w:val="24"/>
        </w:rPr>
        <w:t xml:space="preserve"> Engineers</w:t>
      </w:r>
      <w:r w:rsidRPr="006E0EAA">
        <w:rPr>
          <w:rFonts w:cs="Times New Roman"/>
          <w:noProof/>
          <w:szCs w:val="24"/>
        </w:rPr>
        <w:t>.</w:t>
      </w:r>
    </w:p>
    <w:p w:rsidR="00BF25DE" w:rsidRPr="006E0EAA" w:rsidRDefault="002F786B" w:rsidP="00810AEB">
      <w:pPr>
        <w:spacing w:after="0" w:line="240" w:lineRule="auto"/>
        <w:ind w:left="720" w:hanging="720"/>
        <w:jc w:val="both"/>
        <w:rPr>
          <w:rFonts w:cs="Times New Roman"/>
          <w:noProof/>
          <w:szCs w:val="24"/>
        </w:rPr>
      </w:pPr>
      <w:bookmarkStart w:id="167" w:name="_ENREF_8"/>
      <w:r w:rsidRPr="002F786B">
        <w:rPr>
          <w:rFonts w:cs="Times New Roman"/>
          <w:noProof/>
          <w:szCs w:val="24"/>
        </w:rPr>
        <w:t xml:space="preserve">Boyce, P. R., J. A. Veitch, G. R. Newsham, C. C. Jones, J. Heerwagen, M. Myer, and C. M. Hunter. </w:t>
      </w:r>
      <w:r w:rsidR="00BF25DE" w:rsidRPr="006E0EAA">
        <w:rPr>
          <w:rFonts w:cs="Times New Roman"/>
          <w:noProof/>
          <w:szCs w:val="24"/>
        </w:rPr>
        <w:t xml:space="preserve">(2006). "Occupant use of switching and dimming controls in offices." </w:t>
      </w:r>
      <w:r w:rsidR="00BF25DE" w:rsidRPr="002F786B">
        <w:rPr>
          <w:rFonts w:cs="Times New Roman"/>
          <w:i/>
          <w:noProof/>
          <w:szCs w:val="24"/>
        </w:rPr>
        <w:t>Lighting Research and Technology</w:t>
      </w:r>
      <w:r w:rsidR="00BF25DE" w:rsidRPr="006E0EAA">
        <w:rPr>
          <w:rFonts w:cs="Times New Roman"/>
          <w:noProof/>
          <w:szCs w:val="24"/>
        </w:rPr>
        <w:t xml:space="preserve"> 38(4): 358-376.</w:t>
      </w:r>
      <w:bookmarkEnd w:id="167"/>
    </w:p>
    <w:p w:rsidR="00BF25DE" w:rsidRPr="006E0EAA" w:rsidRDefault="00BF25DE" w:rsidP="00810AEB">
      <w:pPr>
        <w:spacing w:after="0" w:line="240" w:lineRule="auto"/>
        <w:ind w:left="720" w:hanging="720"/>
        <w:jc w:val="both"/>
        <w:rPr>
          <w:rFonts w:cs="Times New Roman"/>
          <w:noProof/>
          <w:szCs w:val="24"/>
        </w:rPr>
      </w:pPr>
      <w:bookmarkStart w:id="168" w:name="_ENREF_9"/>
      <w:r w:rsidRPr="006E0EAA">
        <w:rPr>
          <w:rFonts w:cs="Times New Roman"/>
          <w:noProof/>
          <w:szCs w:val="24"/>
        </w:rPr>
        <w:t xml:space="preserve">Brager, G., G. Paliaga, </w:t>
      </w:r>
      <w:r w:rsidR="006E0EAA" w:rsidRPr="006E0EAA">
        <w:rPr>
          <w:rFonts w:cs="Times New Roman"/>
          <w:noProof/>
          <w:szCs w:val="24"/>
        </w:rPr>
        <w:t xml:space="preserve">R. de Dear </w:t>
      </w:r>
      <w:r w:rsidRPr="006E0EAA">
        <w:rPr>
          <w:rFonts w:cs="Times New Roman"/>
          <w:noProof/>
          <w:szCs w:val="24"/>
        </w:rPr>
        <w:t>(2004). Operable windows, personal control and occupant comfort.</w:t>
      </w:r>
      <w:bookmarkEnd w:id="168"/>
      <w:r w:rsidR="006E0EAA" w:rsidRPr="006E0EAA">
        <w:t xml:space="preserve"> </w:t>
      </w:r>
      <w:r w:rsidR="006E0EAA" w:rsidRPr="006E0EAA">
        <w:rPr>
          <w:rFonts w:cs="Times New Roman"/>
          <w:i/>
          <w:noProof/>
          <w:szCs w:val="24"/>
        </w:rPr>
        <w:t>ASHRAE Transactions</w:t>
      </w:r>
      <w:r w:rsidR="006E0EAA" w:rsidRPr="006E0EAA">
        <w:rPr>
          <w:rFonts w:cs="Times New Roman"/>
          <w:noProof/>
          <w:szCs w:val="24"/>
        </w:rPr>
        <w:t>, 110 (2).</w:t>
      </w:r>
    </w:p>
    <w:p w:rsidR="00BF25DE" w:rsidRPr="006E0EAA" w:rsidRDefault="00BF25DE" w:rsidP="00810AEB">
      <w:pPr>
        <w:spacing w:after="0" w:line="240" w:lineRule="auto"/>
        <w:ind w:left="720" w:hanging="720"/>
        <w:jc w:val="both"/>
        <w:rPr>
          <w:rFonts w:cs="Times New Roman"/>
          <w:noProof/>
          <w:szCs w:val="24"/>
        </w:rPr>
      </w:pPr>
      <w:bookmarkStart w:id="169" w:name="_ENREF_10"/>
      <w:r w:rsidRPr="006E0EAA">
        <w:rPr>
          <w:rFonts w:cs="Times New Roman"/>
          <w:noProof/>
          <w:szCs w:val="24"/>
        </w:rPr>
        <w:t>Clarke, J., I. Macdonald,</w:t>
      </w:r>
      <w:r w:rsidR="002F786B">
        <w:rPr>
          <w:rFonts w:cs="Times New Roman"/>
          <w:noProof/>
          <w:szCs w:val="24"/>
        </w:rPr>
        <w:t xml:space="preserve"> J. F. Nicol</w:t>
      </w:r>
      <w:r w:rsidRPr="006E0EAA">
        <w:rPr>
          <w:rFonts w:cs="Times New Roman"/>
          <w:noProof/>
          <w:szCs w:val="24"/>
        </w:rPr>
        <w:t xml:space="preserve"> (2006). "Predicting adaptive responses-simulating occupied environments."</w:t>
      </w:r>
      <w:bookmarkEnd w:id="169"/>
      <w:r w:rsidR="002F786B" w:rsidRPr="002F786B">
        <w:t xml:space="preserve"> </w:t>
      </w:r>
      <w:r w:rsidR="002F786B">
        <w:rPr>
          <w:rFonts w:cs="Times New Roman"/>
          <w:noProof/>
          <w:szCs w:val="24"/>
        </w:rPr>
        <w:t>I</w:t>
      </w:r>
      <w:r w:rsidR="002F786B" w:rsidRPr="002F786B">
        <w:rPr>
          <w:rFonts w:cs="Times New Roman"/>
          <w:noProof/>
          <w:szCs w:val="24"/>
        </w:rPr>
        <w:t xml:space="preserve">nternational </w:t>
      </w:r>
      <w:r w:rsidR="002F786B">
        <w:rPr>
          <w:rFonts w:cs="Times New Roman"/>
          <w:noProof/>
          <w:szCs w:val="24"/>
        </w:rPr>
        <w:t>C</w:t>
      </w:r>
      <w:r w:rsidR="002F786B" w:rsidRPr="002F786B">
        <w:rPr>
          <w:rFonts w:cs="Times New Roman"/>
          <w:noProof/>
          <w:szCs w:val="24"/>
        </w:rPr>
        <w:t xml:space="preserve">omfort and </w:t>
      </w:r>
      <w:r w:rsidR="002F786B">
        <w:rPr>
          <w:rFonts w:cs="Times New Roman"/>
          <w:noProof/>
          <w:szCs w:val="24"/>
        </w:rPr>
        <w:t>E</w:t>
      </w:r>
      <w:r w:rsidR="002F786B" w:rsidRPr="002F786B">
        <w:rPr>
          <w:rFonts w:cs="Times New Roman"/>
          <w:noProof/>
          <w:szCs w:val="24"/>
        </w:rPr>
        <w:t xml:space="preserve">nergy </w:t>
      </w:r>
      <w:r w:rsidR="002F786B">
        <w:rPr>
          <w:rFonts w:cs="Times New Roman"/>
          <w:noProof/>
          <w:szCs w:val="24"/>
        </w:rPr>
        <w:t>U</w:t>
      </w:r>
      <w:r w:rsidR="002F786B" w:rsidRPr="002F786B">
        <w:rPr>
          <w:rFonts w:cs="Times New Roman"/>
          <w:noProof/>
          <w:szCs w:val="24"/>
        </w:rPr>
        <w:t xml:space="preserve">se in </w:t>
      </w:r>
      <w:r w:rsidR="002F786B">
        <w:rPr>
          <w:rFonts w:cs="Times New Roman"/>
          <w:noProof/>
          <w:szCs w:val="24"/>
        </w:rPr>
        <w:t>B</w:t>
      </w:r>
      <w:r w:rsidR="002F786B" w:rsidRPr="002F786B">
        <w:rPr>
          <w:rFonts w:cs="Times New Roman"/>
          <w:noProof/>
          <w:szCs w:val="24"/>
        </w:rPr>
        <w:t xml:space="preserve">uildings </w:t>
      </w:r>
      <w:r w:rsidR="002F786B">
        <w:rPr>
          <w:rFonts w:cs="Times New Roman"/>
          <w:noProof/>
          <w:szCs w:val="24"/>
        </w:rPr>
        <w:t>C</w:t>
      </w:r>
      <w:r w:rsidR="002F786B" w:rsidRPr="002F786B">
        <w:rPr>
          <w:rFonts w:cs="Times New Roman"/>
          <w:noProof/>
          <w:szCs w:val="24"/>
        </w:rPr>
        <w:t>onference. Network for Comfort and Energy Use in Buildings (NCEUB), London.</w:t>
      </w:r>
    </w:p>
    <w:p w:rsidR="00BF25DE" w:rsidRDefault="00BF25DE" w:rsidP="00810AEB">
      <w:pPr>
        <w:spacing w:after="0" w:line="240" w:lineRule="auto"/>
        <w:ind w:left="720" w:hanging="720"/>
        <w:jc w:val="both"/>
        <w:rPr>
          <w:rFonts w:cs="Times New Roman"/>
          <w:noProof/>
          <w:szCs w:val="24"/>
        </w:rPr>
      </w:pPr>
      <w:bookmarkStart w:id="170" w:name="_ENREF_11"/>
      <w:r w:rsidRPr="006E0EAA">
        <w:rPr>
          <w:rFonts w:cs="Times New Roman"/>
          <w:noProof/>
          <w:szCs w:val="24"/>
        </w:rPr>
        <w:t xml:space="preserve">D'Oca, S. and T. Hong (2014). "A data-mining approach to discover patterns of window opening and closing behavior in offices." </w:t>
      </w:r>
      <w:r w:rsidRPr="006E0EAA">
        <w:rPr>
          <w:rFonts w:cs="Times New Roman"/>
          <w:i/>
          <w:noProof/>
          <w:szCs w:val="24"/>
        </w:rPr>
        <w:t>Building and Environment</w:t>
      </w:r>
      <w:r w:rsidRPr="006E0EAA">
        <w:rPr>
          <w:rFonts w:cs="Times New Roman"/>
          <w:noProof/>
          <w:szCs w:val="24"/>
        </w:rPr>
        <w:t xml:space="preserve"> 82(0): 726-739.</w:t>
      </w:r>
      <w:bookmarkEnd w:id="170"/>
    </w:p>
    <w:p w:rsidR="00BF25DE" w:rsidRDefault="00BF25DE" w:rsidP="00810AEB">
      <w:pPr>
        <w:spacing w:after="0" w:line="240" w:lineRule="auto"/>
        <w:ind w:left="720" w:hanging="720"/>
        <w:jc w:val="both"/>
        <w:rPr>
          <w:rFonts w:cs="Times New Roman"/>
          <w:noProof/>
          <w:szCs w:val="24"/>
        </w:rPr>
      </w:pPr>
      <w:bookmarkStart w:id="171" w:name="_ENREF_12"/>
      <w:r w:rsidRPr="006E0EAA">
        <w:rPr>
          <w:rFonts w:cs="Times New Roman"/>
          <w:noProof/>
          <w:szCs w:val="24"/>
        </w:rPr>
        <w:t xml:space="preserve">Deru, M., K. Field, </w:t>
      </w:r>
      <w:r w:rsidR="002F786B">
        <w:rPr>
          <w:rFonts w:cs="Times New Roman"/>
          <w:noProof/>
          <w:szCs w:val="24"/>
        </w:rPr>
        <w:t xml:space="preserve">D. Studer, K. Benne, B. Griffith, P. Torcellini, </w:t>
      </w:r>
      <w:r w:rsidR="00810AEB">
        <w:rPr>
          <w:rFonts w:cs="Times New Roman"/>
          <w:noProof/>
          <w:szCs w:val="24"/>
        </w:rPr>
        <w:t xml:space="preserve">and </w:t>
      </w:r>
      <w:r w:rsidR="002F786B">
        <w:rPr>
          <w:rFonts w:cs="Times New Roman"/>
          <w:noProof/>
          <w:szCs w:val="24"/>
        </w:rPr>
        <w:t>B. Liu</w:t>
      </w:r>
      <w:r w:rsidRPr="006E0EAA">
        <w:rPr>
          <w:rFonts w:cs="Times New Roman"/>
          <w:noProof/>
          <w:szCs w:val="24"/>
        </w:rPr>
        <w:t xml:space="preserve"> (2011). "US Department of Energy commercial reference building models of the national building stock."</w:t>
      </w:r>
      <w:bookmarkEnd w:id="171"/>
      <w:r w:rsidR="002F786B">
        <w:rPr>
          <w:rFonts w:cs="Times New Roman"/>
          <w:noProof/>
          <w:szCs w:val="24"/>
        </w:rPr>
        <w:t xml:space="preserve"> </w:t>
      </w:r>
      <w:r w:rsidR="002F786B" w:rsidRPr="002F786B">
        <w:rPr>
          <w:rFonts w:cs="Times New Roman"/>
          <w:noProof/>
          <w:szCs w:val="24"/>
        </w:rPr>
        <w:t>U.S. Department of Energy.</w:t>
      </w:r>
      <w:r w:rsidR="002F786B">
        <w:rPr>
          <w:rFonts w:cs="Times New Roman"/>
          <w:noProof/>
          <w:szCs w:val="24"/>
        </w:rPr>
        <w:t xml:space="preserve"> </w:t>
      </w:r>
      <w:r w:rsidR="002F786B" w:rsidRPr="002F786B">
        <w:rPr>
          <w:rFonts w:cs="Times New Roman"/>
          <w:noProof/>
          <w:szCs w:val="24"/>
        </w:rPr>
        <w:t>http://digitalscholarship.unlv.edu/renew_pubs/44.</w:t>
      </w:r>
    </w:p>
    <w:p w:rsidR="002F786B" w:rsidRPr="006E0EAA" w:rsidRDefault="002F786B" w:rsidP="00810AEB">
      <w:pPr>
        <w:spacing w:after="0" w:line="240" w:lineRule="auto"/>
        <w:ind w:left="720" w:hanging="720"/>
        <w:jc w:val="both"/>
        <w:rPr>
          <w:rFonts w:cs="Times New Roman"/>
          <w:noProof/>
          <w:szCs w:val="24"/>
        </w:rPr>
      </w:pPr>
      <w:r w:rsidRPr="002F786B">
        <w:rPr>
          <w:rFonts w:cs="Times New Roman"/>
          <w:noProof/>
          <w:szCs w:val="24"/>
        </w:rPr>
        <w:t>Fabi, V</w:t>
      </w:r>
      <w:r>
        <w:rPr>
          <w:rFonts w:cs="Times New Roman"/>
          <w:noProof/>
          <w:szCs w:val="24"/>
        </w:rPr>
        <w:t>.</w:t>
      </w:r>
      <w:r w:rsidRPr="002F786B">
        <w:rPr>
          <w:rFonts w:cs="Times New Roman"/>
          <w:noProof/>
          <w:szCs w:val="24"/>
        </w:rPr>
        <w:t>, R</w:t>
      </w:r>
      <w:r>
        <w:rPr>
          <w:rFonts w:cs="Times New Roman"/>
          <w:noProof/>
          <w:szCs w:val="24"/>
        </w:rPr>
        <w:t>.</w:t>
      </w:r>
      <w:r w:rsidRPr="002F786B">
        <w:rPr>
          <w:rFonts w:cs="Times New Roman"/>
          <w:noProof/>
          <w:szCs w:val="24"/>
        </w:rPr>
        <w:t xml:space="preserve"> V</w:t>
      </w:r>
      <w:r>
        <w:rPr>
          <w:rFonts w:cs="Times New Roman"/>
          <w:noProof/>
          <w:szCs w:val="24"/>
        </w:rPr>
        <w:t>.</w:t>
      </w:r>
      <w:r w:rsidRPr="002F786B">
        <w:rPr>
          <w:rFonts w:cs="Times New Roman"/>
          <w:noProof/>
          <w:szCs w:val="24"/>
        </w:rPr>
        <w:t xml:space="preserve"> Andersen, S</w:t>
      </w:r>
      <w:r>
        <w:rPr>
          <w:rFonts w:cs="Times New Roman"/>
          <w:noProof/>
          <w:szCs w:val="24"/>
        </w:rPr>
        <w:t>.</w:t>
      </w:r>
      <w:r w:rsidRPr="002F786B">
        <w:rPr>
          <w:rFonts w:cs="Times New Roman"/>
          <w:noProof/>
          <w:szCs w:val="24"/>
        </w:rPr>
        <w:t xml:space="preserve"> Corgnati, and B</w:t>
      </w:r>
      <w:r>
        <w:rPr>
          <w:rFonts w:cs="Times New Roman"/>
          <w:noProof/>
          <w:szCs w:val="24"/>
        </w:rPr>
        <w:t>.</w:t>
      </w:r>
      <w:r w:rsidRPr="002F786B">
        <w:rPr>
          <w:rFonts w:cs="Times New Roman"/>
          <w:noProof/>
          <w:szCs w:val="24"/>
        </w:rPr>
        <w:t xml:space="preserve"> W. Olesen. (2012)</w:t>
      </w:r>
      <w:r>
        <w:rPr>
          <w:rFonts w:cs="Times New Roman"/>
          <w:noProof/>
          <w:szCs w:val="24"/>
        </w:rPr>
        <w:t xml:space="preserve"> </w:t>
      </w:r>
      <w:r w:rsidRPr="002F786B">
        <w:rPr>
          <w:rFonts w:cs="Times New Roman"/>
          <w:noProof/>
          <w:szCs w:val="24"/>
        </w:rPr>
        <w:t xml:space="preserve">"Occupants' window opening behaviour: A literature review of factors influencing occupant behaviour and models." </w:t>
      </w:r>
      <w:r w:rsidRPr="002F786B">
        <w:rPr>
          <w:rFonts w:cs="Times New Roman"/>
          <w:i/>
          <w:noProof/>
          <w:szCs w:val="24"/>
        </w:rPr>
        <w:t>Building and Environment</w:t>
      </w:r>
      <w:r w:rsidRPr="002F786B">
        <w:rPr>
          <w:rFonts w:cs="Times New Roman"/>
          <w:noProof/>
          <w:szCs w:val="24"/>
        </w:rPr>
        <w:t xml:space="preserve"> 58: 188-198.</w:t>
      </w:r>
    </w:p>
    <w:p w:rsidR="00BF25DE" w:rsidRPr="006E0EAA" w:rsidRDefault="00BF25DE" w:rsidP="00810AEB">
      <w:pPr>
        <w:spacing w:after="0" w:line="240" w:lineRule="auto"/>
        <w:ind w:left="720" w:hanging="720"/>
        <w:jc w:val="both"/>
        <w:rPr>
          <w:rFonts w:cs="Times New Roman"/>
          <w:noProof/>
          <w:szCs w:val="24"/>
        </w:rPr>
      </w:pPr>
      <w:bookmarkStart w:id="172" w:name="_ENREF_14"/>
      <w:r w:rsidRPr="006E0EAA">
        <w:rPr>
          <w:rFonts w:cs="Times New Roman"/>
          <w:noProof/>
          <w:szCs w:val="24"/>
        </w:rPr>
        <w:t xml:space="preserve">Feng, X., D. Yan, </w:t>
      </w:r>
      <w:r w:rsidR="00810AEB">
        <w:rPr>
          <w:rFonts w:cs="Times New Roman"/>
          <w:noProof/>
          <w:szCs w:val="24"/>
        </w:rPr>
        <w:t>and T. Hong</w:t>
      </w:r>
      <w:r w:rsidRPr="006E0EAA">
        <w:rPr>
          <w:rFonts w:cs="Times New Roman"/>
          <w:noProof/>
          <w:szCs w:val="24"/>
        </w:rPr>
        <w:t xml:space="preserve"> (2015). "Simulation of occupancy in buildings." </w:t>
      </w:r>
      <w:r w:rsidRPr="006E0EAA">
        <w:rPr>
          <w:rFonts w:cs="Times New Roman"/>
          <w:i/>
          <w:noProof/>
          <w:szCs w:val="24"/>
        </w:rPr>
        <w:t>Energy and Buildings</w:t>
      </w:r>
      <w:r w:rsidRPr="006E0EAA">
        <w:rPr>
          <w:rFonts w:cs="Times New Roman"/>
          <w:noProof/>
          <w:szCs w:val="24"/>
        </w:rPr>
        <w:t xml:space="preserve"> 87(0): 348-359.</w:t>
      </w:r>
      <w:bookmarkEnd w:id="172"/>
    </w:p>
    <w:p w:rsidR="00BF25DE" w:rsidRPr="006E0EAA" w:rsidRDefault="00BF25DE" w:rsidP="00810AEB">
      <w:pPr>
        <w:spacing w:after="0" w:line="240" w:lineRule="auto"/>
        <w:ind w:left="720" w:hanging="720"/>
        <w:jc w:val="both"/>
        <w:rPr>
          <w:rFonts w:cs="Times New Roman"/>
          <w:noProof/>
          <w:szCs w:val="24"/>
        </w:rPr>
      </w:pPr>
      <w:r w:rsidRPr="006E0EAA">
        <w:rPr>
          <w:rFonts w:cs="Times New Roman"/>
          <w:noProof/>
          <w:szCs w:val="24"/>
        </w:rPr>
        <w:t xml:space="preserve">Fritsch, R., A. Kohler, M. Nygård-Ferguson, and J-L. Scartezzini. "A stochastic model of user behaviour regarding ventilation." </w:t>
      </w:r>
      <w:r w:rsidRPr="006E0EAA">
        <w:rPr>
          <w:rFonts w:cs="Times New Roman"/>
          <w:i/>
          <w:noProof/>
          <w:szCs w:val="24"/>
        </w:rPr>
        <w:t>Building and Environment</w:t>
      </w:r>
      <w:r w:rsidRPr="006E0EAA">
        <w:rPr>
          <w:rFonts w:cs="Times New Roman"/>
          <w:noProof/>
          <w:szCs w:val="24"/>
        </w:rPr>
        <w:t xml:space="preserve"> 25, no. 2 (1990): 173-181.</w:t>
      </w:r>
    </w:p>
    <w:p w:rsidR="00BF25DE" w:rsidRPr="006E0EAA" w:rsidRDefault="00BF25DE" w:rsidP="00810AEB">
      <w:pPr>
        <w:spacing w:after="0" w:line="240" w:lineRule="auto"/>
        <w:ind w:left="720" w:hanging="720"/>
        <w:jc w:val="both"/>
        <w:rPr>
          <w:rFonts w:cs="Times New Roman"/>
          <w:noProof/>
          <w:szCs w:val="24"/>
        </w:rPr>
      </w:pPr>
      <w:bookmarkStart w:id="173" w:name="_ENREF_15"/>
      <w:r w:rsidRPr="006E0EAA">
        <w:rPr>
          <w:rFonts w:cs="Times New Roman"/>
          <w:noProof/>
          <w:szCs w:val="24"/>
        </w:rPr>
        <w:t xml:space="preserve">Gunay, H. B., W. O'Brien, </w:t>
      </w:r>
      <w:r w:rsidR="00810AEB">
        <w:rPr>
          <w:rFonts w:cs="Times New Roman"/>
          <w:noProof/>
          <w:szCs w:val="24"/>
        </w:rPr>
        <w:t>and I. Beausoleil-Morrison</w:t>
      </w:r>
      <w:r w:rsidRPr="006E0EAA">
        <w:rPr>
          <w:rFonts w:cs="Times New Roman"/>
          <w:noProof/>
          <w:szCs w:val="24"/>
        </w:rPr>
        <w:t xml:space="preserve">. (2013). "A critical review of observation studies, modeling, and simulation of adaptive occupant behaviors in offices." </w:t>
      </w:r>
      <w:r w:rsidRPr="006E0EAA">
        <w:rPr>
          <w:rFonts w:cs="Times New Roman"/>
          <w:i/>
          <w:noProof/>
          <w:szCs w:val="24"/>
        </w:rPr>
        <w:t>Building and Environment</w:t>
      </w:r>
      <w:r w:rsidRPr="006E0EAA">
        <w:rPr>
          <w:rFonts w:cs="Times New Roman"/>
          <w:noProof/>
          <w:szCs w:val="24"/>
        </w:rPr>
        <w:t xml:space="preserve"> 70(0): 31-47.</w:t>
      </w:r>
      <w:bookmarkEnd w:id="173"/>
    </w:p>
    <w:p w:rsidR="00BF25DE" w:rsidRPr="006E0EAA" w:rsidRDefault="00BF25DE" w:rsidP="00810AEB">
      <w:pPr>
        <w:spacing w:after="0" w:line="240" w:lineRule="auto"/>
        <w:ind w:left="720" w:hanging="720"/>
        <w:jc w:val="both"/>
        <w:rPr>
          <w:rFonts w:cs="Times New Roman"/>
          <w:noProof/>
          <w:szCs w:val="24"/>
        </w:rPr>
      </w:pPr>
      <w:bookmarkStart w:id="174" w:name="_ENREF_16"/>
      <w:r w:rsidRPr="006E0EAA">
        <w:rPr>
          <w:rFonts w:cs="Times New Roman"/>
          <w:noProof/>
          <w:szCs w:val="24"/>
        </w:rPr>
        <w:t xml:space="preserve">Gunay, H. B., W. O'Brien, </w:t>
      </w:r>
      <w:r w:rsidR="00810AEB">
        <w:rPr>
          <w:rFonts w:cs="Times New Roman"/>
          <w:noProof/>
          <w:szCs w:val="24"/>
        </w:rPr>
        <w:t>I. Beausoleil-Morrison, R. Goldstein, S. Breslav, and A. Khan</w:t>
      </w:r>
      <w:r w:rsidRPr="006E0EAA">
        <w:rPr>
          <w:rFonts w:cs="Times New Roman"/>
          <w:noProof/>
          <w:szCs w:val="24"/>
        </w:rPr>
        <w:t xml:space="preserve">. (2014). "Coupling Stochastic Occupant Models to Building Performance Simulation using the Discrete Event System Specification (DEVS) Formalism." </w:t>
      </w:r>
      <w:r w:rsidRPr="006E0EAA">
        <w:rPr>
          <w:rFonts w:cs="Times New Roman"/>
          <w:i/>
          <w:noProof/>
          <w:szCs w:val="24"/>
        </w:rPr>
        <w:t>Journal of Building Performance Simulation</w:t>
      </w:r>
      <w:r w:rsidRPr="006E0EAA">
        <w:rPr>
          <w:rFonts w:cs="Times New Roman"/>
          <w:noProof/>
          <w:szCs w:val="24"/>
        </w:rPr>
        <w:t xml:space="preserve"> 7(6): 457-478.</w:t>
      </w:r>
      <w:bookmarkEnd w:id="174"/>
    </w:p>
    <w:p w:rsidR="00BF25DE" w:rsidRPr="006E0EAA" w:rsidRDefault="00BF25DE" w:rsidP="00810AEB">
      <w:pPr>
        <w:spacing w:after="0" w:line="240" w:lineRule="auto"/>
        <w:ind w:left="720" w:hanging="720"/>
        <w:jc w:val="both"/>
        <w:rPr>
          <w:rFonts w:cs="Times New Roman"/>
          <w:noProof/>
          <w:szCs w:val="24"/>
        </w:rPr>
      </w:pPr>
      <w:bookmarkStart w:id="175" w:name="_ENREF_18"/>
      <w:r w:rsidRPr="006E0EAA">
        <w:rPr>
          <w:rFonts w:cs="Times New Roman"/>
          <w:noProof/>
          <w:szCs w:val="24"/>
        </w:rPr>
        <w:t xml:space="preserve">Haldi, F. (2013). A probabilistic model to predict building occupants' diversity towards their interactions with the building envelope. </w:t>
      </w:r>
      <w:r w:rsidR="00810AEB">
        <w:rPr>
          <w:rFonts w:cs="Times New Roman"/>
          <w:noProof/>
          <w:szCs w:val="24"/>
        </w:rPr>
        <w:t xml:space="preserve">Building Simulation 2013 Conference, </w:t>
      </w:r>
      <w:r w:rsidRPr="006E0EAA">
        <w:rPr>
          <w:rFonts w:cs="Times New Roman"/>
          <w:noProof/>
          <w:szCs w:val="24"/>
        </w:rPr>
        <w:t>IBPSA. France.</w:t>
      </w:r>
      <w:bookmarkEnd w:id="175"/>
    </w:p>
    <w:p w:rsidR="00BF25DE" w:rsidRPr="006E0EAA" w:rsidRDefault="00BF25DE" w:rsidP="00810AEB">
      <w:pPr>
        <w:spacing w:after="0" w:line="240" w:lineRule="auto"/>
        <w:ind w:left="720" w:hanging="720"/>
        <w:jc w:val="both"/>
        <w:rPr>
          <w:rFonts w:cs="Times New Roman"/>
          <w:noProof/>
          <w:szCs w:val="24"/>
        </w:rPr>
      </w:pPr>
      <w:bookmarkStart w:id="176" w:name="_ENREF_19"/>
      <w:r w:rsidRPr="006E0EAA">
        <w:rPr>
          <w:rFonts w:cs="Times New Roman"/>
          <w:noProof/>
          <w:szCs w:val="24"/>
        </w:rPr>
        <w:t xml:space="preserve">Haldi, F. and D. Robinson (2008). "On the behaviour and adaptation of office occupants." </w:t>
      </w:r>
      <w:r w:rsidRPr="006E0EAA">
        <w:rPr>
          <w:rFonts w:cs="Times New Roman"/>
          <w:i/>
          <w:noProof/>
          <w:szCs w:val="24"/>
        </w:rPr>
        <w:t>Building and Environment</w:t>
      </w:r>
      <w:r w:rsidRPr="006E0EAA">
        <w:rPr>
          <w:rFonts w:cs="Times New Roman"/>
          <w:noProof/>
          <w:szCs w:val="24"/>
        </w:rPr>
        <w:t xml:space="preserve"> 43(12): 2163-2177.</w:t>
      </w:r>
      <w:bookmarkEnd w:id="176"/>
    </w:p>
    <w:p w:rsidR="00BF25DE" w:rsidRPr="006E0EAA" w:rsidRDefault="00BF25DE" w:rsidP="00810AEB">
      <w:pPr>
        <w:autoSpaceDE w:val="0"/>
        <w:autoSpaceDN w:val="0"/>
        <w:adjustRightInd w:val="0"/>
        <w:spacing w:after="0" w:line="240" w:lineRule="auto"/>
        <w:jc w:val="both"/>
        <w:rPr>
          <w:rFonts w:cs="Times New Roman"/>
          <w:bCs/>
          <w:szCs w:val="24"/>
          <w:lang w:val="en-US"/>
        </w:rPr>
      </w:pPr>
      <w:r w:rsidRPr="006E0EAA">
        <w:rPr>
          <w:rFonts w:cs="Times New Roman"/>
          <w:noProof/>
          <w:szCs w:val="24"/>
        </w:rPr>
        <w:t>Haldi, F. and D. Robinson (2008). "</w:t>
      </w:r>
      <w:r w:rsidRPr="006E0EAA">
        <w:rPr>
          <w:rFonts w:cs="Times New Roman"/>
          <w:bCs/>
          <w:szCs w:val="24"/>
          <w:lang w:val="en-US"/>
        </w:rPr>
        <w:t xml:space="preserve">Stochastic / probabilistic </w:t>
      </w:r>
      <w:proofErr w:type="spellStart"/>
      <w:r w:rsidRPr="006E0EAA">
        <w:rPr>
          <w:rFonts w:cs="Times New Roman"/>
          <w:bCs/>
          <w:szCs w:val="24"/>
          <w:lang w:val="en-US"/>
        </w:rPr>
        <w:t>modelling</w:t>
      </w:r>
      <w:proofErr w:type="spellEnd"/>
      <w:r w:rsidRPr="006E0EAA">
        <w:rPr>
          <w:rFonts w:cs="Times New Roman"/>
          <w:bCs/>
          <w:szCs w:val="24"/>
          <w:lang w:val="en-US"/>
        </w:rPr>
        <w:t xml:space="preserve"> of multiple adaptive </w:t>
      </w:r>
      <w:r w:rsidRPr="006E0EAA">
        <w:rPr>
          <w:rFonts w:cs="Times New Roman"/>
          <w:bCs/>
          <w:szCs w:val="24"/>
          <w:lang w:val="en-US"/>
        </w:rPr>
        <w:tab/>
        <w:t xml:space="preserve">processes: some subtle complexities", </w:t>
      </w:r>
      <w:proofErr w:type="spellStart"/>
      <w:r w:rsidRPr="006E0EAA">
        <w:rPr>
          <w:rFonts w:cs="Times New Roman"/>
          <w:bCs/>
          <w:szCs w:val="24"/>
          <w:lang w:val="en-US"/>
        </w:rPr>
        <w:t>eSim</w:t>
      </w:r>
      <w:proofErr w:type="spellEnd"/>
      <w:r w:rsidRPr="006E0EAA">
        <w:rPr>
          <w:rFonts w:cs="Times New Roman"/>
          <w:bCs/>
          <w:szCs w:val="24"/>
          <w:lang w:val="en-US"/>
        </w:rPr>
        <w:t xml:space="preserve"> Conference, Quebec. </w:t>
      </w:r>
      <w:bookmarkStart w:id="177" w:name="_ENREF_20"/>
    </w:p>
    <w:p w:rsidR="00BF25DE" w:rsidRPr="006E0EAA" w:rsidRDefault="00BF25DE" w:rsidP="00810AEB">
      <w:pPr>
        <w:autoSpaceDE w:val="0"/>
        <w:autoSpaceDN w:val="0"/>
        <w:adjustRightInd w:val="0"/>
        <w:spacing w:after="0" w:line="240" w:lineRule="auto"/>
        <w:jc w:val="both"/>
        <w:rPr>
          <w:rFonts w:cs="Times New Roman"/>
          <w:bCs/>
          <w:szCs w:val="24"/>
          <w:lang w:val="en-US"/>
        </w:rPr>
      </w:pPr>
      <w:r w:rsidRPr="006E0EAA">
        <w:rPr>
          <w:rFonts w:cs="Times New Roman"/>
          <w:noProof/>
          <w:szCs w:val="24"/>
        </w:rPr>
        <w:t xml:space="preserve">Haldi, F. and D. Robinson (2009). "Interactions with window openings by office occupants." </w:t>
      </w:r>
      <w:r w:rsidRPr="006E0EAA">
        <w:rPr>
          <w:rFonts w:cs="Times New Roman"/>
          <w:noProof/>
          <w:szCs w:val="24"/>
        </w:rPr>
        <w:tab/>
      </w:r>
      <w:r w:rsidRPr="006E0EAA">
        <w:rPr>
          <w:rFonts w:cs="Times New Roman"/>
          <w:i/>
          <w:noProof/>
          <w:szCs w:val="24"/>
        </w:rPr>
        <w:t>Building and Environment</w:t>
      </w:r>
      <w:r w:rsidRPr="006E0EAA">
        <w:rPr>
          <w:rFonts w:cs="Times New Roman"/>
          <w:noProof/>
          <w:szCs w:val="24"/>
        </w:rPr>
        <w:t xml:space="preserve"> 44(12): 2378-2395.</w:t>
      </w:r>
      <w:bookmarkEnd w:id="177"/>
    </w:p>
    <w:p w:rsidR="00BF25DE" w:rsidRPr="006E0EAA" w:rsidRDefault="00BF25DE" w:rsidP="00810AEB">
      <w:pPr>
        <w:spacing w:after="0" w:line="240" w:lineRule="auto"/>
        <w:ind w:left="720" w:hanging="720"/>
        <w:jc w:val="both"/>
        <w:rPr>
          <w:rFonts w:cs="Times New Roman"/>
          <w:noProof/>
          <w:szCs w:val="24"/>
        </w:rPr>
      </w:pPr>
      <w:bookmarkStart w:id="178" w:name="_ENREF_21"/>
      <w:r w:rsidRPr="006E0EAA">
        <w:rPr>
          <w:rFonts w:cs="Times New Roman"/>
          <w:noProof/>
          <w:szCs w:val="24"/>
        </w:rPr>
        <w:t xml:space="preserve">Haldi, F. and D. Robinson (2010). "Adaptive actions on shading devices in response to local visual stimuli." </w:t>
      </w:r>
      <w:r w:rsidRPr="006E0EAA">
        <w:rPr>
          <w:rFonts w:cs="Times New Roman"/>
          <w:i/>
          <w:noProof/>
          <w:szCs w:val="24"/>
        </w:rPr>
        <w:t>Journal of Building Performance Simulation</w:t>
      </w:r>
      <w:r w:rsidRPr="006E0EAA">
        <w:rPr>
          <w:rFonts w:cs="Times New Roman"/>
          <w:noProof/>
          <w:szCs w:val="24"/>
        </w:rPr>
        <w:t xml:space="preserve"> 3(2): 135-153.</w:t>
      </w:r>
      <w:bookmarkEnd w:id="178"/>
    </w:p>
    <w:p w:rsidR="00BF25DE" w:rsidRPr="006E0EAA" w:rsidRDefault="00BF25DE" w:rsidP="00810AEB">
      <w:pPr>
        <w:spacing w:after="0" w:line="240" w:lineRule="auto"/>
        <w:ind w:left="720" w:hanging="720"/>
        <w:jc w:val="both"/>
        <w:rPr>
          <w:rFonts w:cs="Times New Roman"/>
          <w:noProof/>
          <w:szCs w:val="24"/>
        </w:rPr>
      </w:pPr>
      <w:bookmarkStart w:id="179" w:name="_ENREF_22"/>
      <w:r w:rsidRPr="006E0EAA">
        <w:rPr>
          <w:rFonts w:cs="Times New Roman"/>
          <w:noProof/>
          <w:szCs w:val="24"/>
        </w:rPr>
        <w:lastRenderedPageBreak/>
        <w:t xml:space="preserve">Haldi, F. and D. Robinson (2011). "The impact of occupants' behaviour on building energy demand." </w:t>
      </w:r>
      <w:r w:rsidRPr="006E0EAA">
        <w:rPr>
          <w:rFonts w:cs="Times New Roman"/>
          <w:i/>
          <w:noProof/>
          <w:szCs w:val="24"/>
        </w:rPr>
        <w:t>Journal of Building Performance Simulation</w:t>
      </w:r>
      <w:r w:rsidRPr="006E0EAA">
        <w:rPr>
          <w:rFonts w:cs="Times New Roman"/>
          <w:noProof/>
          <w:szCs w:val="24"/>
        </w:rPr>
        <w:t xml:space="preserve"> 4(4): 323-338.</w:t>
      </w:r>
      <w:bookmarkEnd w:id="179"/>
    </w:p>
    <w:p w:rsidR="00BF25DE" w:rsidRDefault="00BF25DE" w:rsidP="00810AEB">
      <w:pPr>
        <w:spacing w:after="0" w:line="240" w:lineRule="auto"/>
        <w:ind w:left="720" w:hanging="720"/>
        <w:jc w:val="both"/>
        <w:rPr>
          <w:rFonts w:cs="Times New Roman"/>
          <w:noProof/>
          <w:szCs w:val="24"/>
        </w:rPr>
      </w:pPr>
      <w:bookmarkStart w:id="180" w:name="_ENREF_23"/>
      <w:r w:rsidRPr="006E0EAA">
        <w:rPr>
          <w:rFonts w:cs="Times New Roman"/>
          <w:noProof/>
          <w:szCs w:val="24"/>
        </w:rPr>
        <w:t>Haldi, F. and D. Robinson (2011). "Modelling occupants’ personal characteristics for thermal comfort prediction." International Journal of Biometeorology 55(5): 681-694.</w:t>
      </w:r>
      <w:bookmarkEnd w:id="180"/>
    </w:p>
    <w:p w:rsidR="00BF25DE" w:rsidRPr="006E0EAA" w:rsidRDefault="00810AEB" w:rsidP="00810AEB">
      <w:pPr>
        <w:spacing w:after="0" w:line="240" w:lineRule="auto"/>
        <w:ind w:left="720" w:hanging="720"/>
        <w:jc w:val="both"/>
        <w:rPr>
          <w:rFonts w:cs="Times New Roman"/>
          <w:noProof/>
          <w:szCs w:val="24"/>
        </w:rPr>
      </w:pPr>
      <w:bookmarkStart w:id="181" w:name="_ENREF_24"/>
      <w:r w:rsidRPr="00810AEB">
        <w:rPr>
          <w:rFonts w:cs="Times New Roman"/>
          <w:noProof/>
          <w:szCs w:val="24"/>
        </w:rPr>
        <w:t>Hoes, P., J. L. M. Hensen, M. G. L. C. Loomans, B. De Vries, and D. Bourgeois</w:t>
      </w:r>
      <w:r w:rsidR="00BF25DE" w:rsidRPr="006E0EAA">
        <w:rPr>
          <w:rFonts w:cs="Times New Roman"/>
          <w:noProof/>
          <w:szCs w:val="24"/>
        </w:rPr>
        <w:t xml:space="preserve"> (2009). "User behavior in whole building simulation." Energy and Buildings 41(3): 295-302.</w:t>
      </w:r>
      <w:bookmarkEnd w:id="181"/>
    </w:p>
    <w:p w:rsidR="00BF25DE" w:rsidRPr="006E0EAA" w:rsidRDefault="00BF25DE" w:rsidP="00810AEB">
      <w:pPr>
        <w:spacing w:after="0" w:line="240" w:lineRule="auto"/>
        <w:ind w:left="720" w:hanging="720"/>
        <w:jc w:val="both"/>
        <w:rPr>
          <w:rFonts w:cs="Times New Roman"/>
          <w:noProof/>
          <w:szCs w:val="24"/>
        </w:rPr>
      </w:pPr>
      <w:bookmarkStart w:id="182" w:name="_ENREF_25"/>
      <w:r w:rsidRPr="006E0EAA">
        <w:rPr>
          <w:rFonts w:cs="Times New Roman"/>
          <w:noProof/>
          <w:szCs w:val="24"/>
        </w:rPr>
        <w:t>Hong, T. (2012). Occupant Behavior: Impact on Energy Use of Private Offices. Asia conference of International Building Performance Simulation Association. Shanghai, IBPSA Asia.</w:t>
      </w:r>
      <w:bookmarkEnd w:id="182"/>
    </w:p>
    <w:p w:rsidR="00BF25DE" w:rsidRPr="006E0EAA" w:rsidRDefault="00BF25DE" w:rsidP="00810AEB">
      <w:pPr>
        <w:spacing w:after="0" w:line="240" w:lineRule="auto"/>
        <w:ind w:left="720" w:hanging="720"/>
        <w:jc w:val="both"/>
        <w:rPr>
          <w:rFonts w:cs="Times New Roman"/>
          <w:noProof/>
          <w:szCs w:val="24"/>
        </w:rPr>
      </w:pPr>
      <w:bookmarkStart w:id="183" w:name="_ENREF_26"/>
      <w:r w:rsidRPr="006E0EAA">
        <w:rPr>
          <w:rFonts w:cs="Times New Roman"/>
          <w:noProof/>
          <w:szCs w:val="24"/>
        </w:rPr>
        <w:t xml:space="preserve">Hunt, D. R. G. (1979). "The use of artificial lighting in relation to daylight levels and occupancy." </w:t>
      </w:r>
      <w:r w:rsidRPr="006E0EAA">
        <w:rPr>
          <w:rFonts w:cs="Times New Roman"/>
          <w:i/>
          <w:noProof/>
          <w:szCs w:val="24"/>
        </w:rPr>
        <w:t>Building and Environment</w:t>
      </w:r>
      <w:r w:rsidRPr="006E0EAA">
        <w:rPr>
          <w:rFonts w:cs="Times New Roman"/>
          <w:noProof/>
          <w:szCs w:val="24"/>
        </w:rPr>
        <w:t xml:space="preserve"> 14(1): 21-33.</w:t>
      </w:r>
      <w:bookmarkEnd w:id="183"/>
    </w:p>
    <w:p w:rsidR="00BF25DE" w:rsidRPr="006E0EAA" w:rsidRDefault="00BF25DE" w:rsidP="00810AEB">
      <w:pPr>
        <w:spacing w:after="0" w:line="240" w:lineRule="auto"/>
        <w:ind w:left="720" w:hanging="720"/>
        <w:jc w:val="both"/>
        <w:rPr>
          <w:rFonts w:cs="Times New Roman"/>
          <w:noProof/>
          <w:szCs w:val="24"/>
        </w:rPr>
      </w:pPr>
      <w:bookmarkStart w:id="184" w:name="_ENREF_27"/>
      <w:r w:rsidRPr="006E0EAA">
        <w:rPr>
          <w:rFonts w:cs="Times New Roman"/>
          <w:noProof/>
          <w:szCs w:val="24"/>
        </w:rPr>
        <w:t xml:space="preserve">Inkarojrit, V. (2008). "Monitoring and modelling of manually-controlled Venetian blinds in private offices: a pilot study." </w:t>
      </w:r>
      <w:r w:rsidRPr="006E0EAA">
        <w:rPr>
          <w:rFonts w:cs="Times New Roman"/>
          <w:i/>
          <w:noProof/>
          <w:szCs w:val="24"/>
        </w:rPr>
        <w:t>Journal of Building Performance Simulation</w:t>
      </w:r>
      <w:r w:rsidRPr="006E0EAA">
        <w:rPr>
          <w:rFonts w:cs="Times New Roman"/>
          <w:noProof/>
          <w:szCs w:val="24"/>
        </w:rPr>
        <w:t xml:space="preserve"> 1(2): 75-89.</w:t>
      </w:r>
      <w:bookmarkEnd w:id="184"/>
    </w:p>
    <w:p w:rsidR="00BF25DE" w:rsidRPr="006E0EAA" w:rsidRDefault="00BF25DE" w:rsidP="00810AEB">
      <w:pPr>
        <w:spacing w:after="0" w:line="240" w:lineRule="auto"/>
        <w:ind w:left="720" w:hanging="720"/>
        <w:jc w:val="both"/>
        <w:rPr>
          <w:rFonts w:cs="Times New Roman"/>
          <w:noProof/>
          <w:szCs w:val="24"/>
        </w:rPr>
      </w:pPr>
      <w:bookmarkStart w:id="185" w:name="_ENREF_28"/>
      <w:r w:rsidRPr="006E0EAA">
        <w:rPr>
          <w:rFonts w:cs="Times New Roman"/>
          <w:noProof/>
          <w:szCs w:val="24"/>
        </w:rPr>
        <w:t>Inoue, T. (2003). "Solar shading and daylighting by means of autonomous responsive dimming glass: practical application." Energy and Buildings 35(5): 463-471.</w:t>
      </w:r>
      <w:bookmarkEnd w:id="185"/>
    </w:p>
    <w:p w:rsidR="00BF25DE" w:rsidRPr="006E0EAA" w:rsidRDefault="00BF25DE" w:rsidP="00810AEB">
      <w:pPr>
        <w:spacing w:after="0" w:line="240" w:lineRule="auto"/>
        <w:ind w:left="720" w:hanging="720"/>
        <w:jc w:val="both"/>
        <w:rPr>
          <w:rFonts w:cs="Times New Roman"/>
          <w:noProof/>
          <w:szCs w:val="24"/>
        </w:rPr>
      </w:pPr>
      <w:bookmarkStart w:id="186" w:name="_ENREF_29"/>
      <w:r w:rsidRPr="006E0EAA">
        <w:rPr>
          <w:rFonts w:cs="Times New Roman"/>
          <w:noProof/>
          <w:szCs w:val="24"/>
        </w:rPr>
        <w:t>LBNL (2013). Application Guide for EMS. Energy Management System User Guide. CA, US Department of Energy.</w:t>
      </w:r>
      <w:bookmarkEnd w:id="186"/>
    </w:p>
    <w:p w:rsidR="00BF25DE" w:rsidRPr="006E0EAA" w:rsidRDefault="00BF25DE" w:rsidP="00810AEB">
      <w:pPr>
        <w:spacing w:after="0" w:line="240" w:lineRule="auto"/>
        <w:ind w:left="720" w:hanging="720"/>
        <w:jc w:val="both"/>
        <w:rPr>
          <w:rFonts w:cs="Times New Roman"/>
          <w:noProof/>
          <w:szCs w:val="24"/>
        </w:rPr>
      </w:pPr>
      <w:bookmarkStart w:id="187" w:name="_ENREF_30"/>
      <w:r w:rsidRPr="006E0EAA">
        <w:rPr>
          <w:rFonts w:cs="Times New Roman"/>
          <w:noProof/>
          <w:szCs w:val="24"/>
        </w:rPr>
        <w:t>Mahdavi, A. (2009). "Patterns and implications of user control actions in buildings." Indoor and Built Environment.</w:t>
      </w:r>
      <w:bookmarkEnd w:id="187"/>
      <w:r w:rsidR="00810AEB">
        <w:rPr>
          <w:rFonts w:cs="Times New Roman"/>
          <w:noProof/>
          <w:szCs w:val="24"/>
        </w:rPr>
        <w:t xml:space="preserve"> </w:t>
      </w:r>
      <w:r w:rsidR="00810AEB" w:rsidRPr="00810AEB">
        <w:rPr>
          <w:rFonts w:cs="Times New Roman"/>
          <w:noProof/>
          <w:szCs w:val="24"/>
        </w:rPr>
        <w:t>doi: 10.1177/1420326X09344277</w:t>
      </w:r>
    </w:p>
    <w:p w:rsidR="00BF25DE" w:rsidRPr="006E0EAA" w:rsidRDefault="00BF25DE" w:rsidP="00810AEB">
      <w:pPr>
        <w:spacing w:after="0" w:line="240" w:lineRule="auto"/>
        <w:ind w:left="720" w:hanging="720"/>
        <w:jc w:val="both"/>
        <w:rPr>
          <w:rFonts w:cs="Times New Roman"/>
          <w:noProof/>
          <w:szCs w:val="24"/>
        </w:rPr>
      </w:pPr>
      <w:r w:rsidRPr="006E0EAA">
        <w:rPr>
          <w:rFonts w:cs="Times New Roman"/>
          <w:noProof/>
          <w:szCs w:val="24"/>
        </w:rPr>
        <w:t xml:space="preserve">Schweiker, M., F. Haldi, M. Shukuya, and D. Robinson. "Verification of stochastic models of window opening behaviour for residential buildings." </w:t>
      </w:r>
      <w:r w:rsidRPr="006E0EAA">
        <w:rPr>
          <w:rFonts w:cs="Times New Roman"/>
          <w:i/>
          <w:noProof/>
          <w:szCs w:val="24"/>
        </w:rPr>
        <w:t>Journal of Building Performance Simulation</w:t>
      </w:r>
      <w:r w:rsidRPr="006E0EAA">
        <w:rPr>
          <w:rFonts w:cs="Times New Roman"/>
          <w:noProof/>
          <w:szCs w:val="24"/>
        </w:rPr>
        <w:t xml:space="preserve"> 5, no. 1 (2012): 55-74.</w:t>
      </w:r>
    </w:p>
    <w:p w:rsidR="00BF25DE" w:rsidRPr="006E0EAA" w:rsidRDefault="00BF25DE" w:rsidP="00810AEB">
      <w:pPr>
        <w:spacing w:after="0" w:line="240" w:lineRule="auto"/>
        <w:ind w:left="720" w:hanging="720"/>
        <w:jc w:val="both"/>
        <w:rPr>
          <w:rFonts w:cs="Times New Roman"/>
          <w:noProof/>
          <w:szCs w:val="24"/>
        </w:rPr>
      </w:pPr>
      <w:bookmarkStart w:id="188" w:name="_ENREF_31"/>
      <w:r w:rsidRPr="006E0EAA">
        <w:rPr>
          <w:rFonts w:cs="Times New Roman"/>
          <w:noProof/>
          <w:szCs w:val="24"/>
        </w:rPr>
        <w:t>Newsham, G.</w:t>
      </w:r>
      <w:r w:rsidR="00810AEB">
        <w:rPr>
          <w:rFonts w:cs="Times New Roman"/>
          <w:noProof/>
          <w:szCs w:val="24"/>
        </w:rPr>
        <w:t xml:space="preserve"> R.</w:t>
      </w:r>
      <w:r w:rsidRPr="006E0EAA">
        <w:rPr>
          <w:rFonts w:cs="Times New Roman"/>
          <w:noProof/>
          <w:szCs w:val="24"/>
        </w:rPr>
        <w:t xml:space="preserve"> (1994). "Manual control of window blinds and electric lighting: implications for comfort and energy consumption." Indoor and Built Environment 3(3): 135-144.</w:t>
      </w:r>
      <w:bookmarkEnd w:id="188"/>
    </w:p>
    <w:p w:rsidR="00BF25DE" w:rsidRPr="006E0EAA" w:rsidRDefault="00BF25DE" w:rsidP="00810AEB">
      <w:pPr>
        <w:spacing w:after="0" w:line="240" w:lineRule="auto"/>
        <w:ind w:left="720" w:hanging="720"/>
        <w:jc w:val="both"/>
        <w:rPr>
          <w:rFonts w:cs="Times New Roman"/>
          <w:noProof/>
          <w:szCs w:val="24"/>
        </w:rPr>
      </w:pPr>
      <w:bookmarkStart w:id="189" w:name="_ENREF_32"/>
      <w:r w:rsidRPr="006E0EAA">
        <w:rPr>
          <w:rFonts w:cs="Times New Roman"/>
          <w:noProof/>
          <w:szCs w:val="24"/>
        </w:rPr>
        <w:t>Newsham, G. R. (1997). "Clothing as a thermal comfort moderator and the effect on energy consumption." Energy and Buildings 26(3): 283-291.</w:t>
      </w:r>
      <w:bookmarkEnd w:id="189"/>
    </w:p>
    <w:p w:rsidR="00BF25DE" w:rsidRDefault="00BF25DE" w:rsidP="00810AEB">
      <w:pPr>
        <w:spacing w:after="0" w:line="240" w:lineRule="auto"/>
        <w:ind w:left="720" w:hanging="720"/>
        <w:jc w:val="both"/>
        <w:rPr>
          <w:rFonts w:cs="Times New Roman"/>
          <w:noProof/>
          <w:szCs w:val="24"/>
        </w:rPr>
      </w:pPr>
      <w:bookmarkStart w:id="190" w:name="_ENREF_33"/>
      <w:r w:rsidRPr="006E0EAA">
        <w:rPr>
          <w:rFonts w:cs="Times New Roman"/>
          <w:noProof/>
          <w:szCs w:val="24"/>
        </w:rPr>
        <w:t>Nghiem, T. X. (2010). MLE+: a Matlab-EnergyPlus Co-simulation Interface.</w:t>
      </w:r>
      <w:bookmarkEnd w:id="190"/>
    </w:p>
    <w:p w:rsidR="00BF25DE" w:rsidRPr="006E0EAA" w:rsidRDefault="00810AEB" w:rsidP="00810AEB">
      <w:pPr>
        <w:spacing w:after="0" w:line="240" w:lineRule="auto"/>
        <w:ind w:left="720" w:hanging="720"/>
        <w:jc w:val="both"/>
        <w:rPr>
          <w:rFonts w:cs="Times New Roman"/>
          <w:noProof/>
          <w:szCs w:val="24"/>
        </w:rPr>
      </w:pPr>
      <w:bookmarkStart w:id="191" w:name="_ENREF_34"/>
      <w:r w:rsidRPr="00810AEB">
        <w:rPr>
          <w:rFonts w:cs="Times New Roman"/>
          <w:noProof/>
          <w:szCs w:val="24"/>
        </w:rPr>
        <w:t>Norford, L. K., R. H. Socolow, E. S. Hsieh, and G. V. Spadaro.</w:t>
      </w:r>
      <w:r w:rsidR="00BF25DE" w:rsidRPr="006E0EAA">
        <w:rPr>
          <w:rFonts w:cs="Times New Roman"/>
          <w:noProof/>
          <w:szCs w:val="24"/>
        </w:rPr>
        <w:t xml:space="preserve"> (1994). "Two-to-one discrepancy between measured and predicted performance of a ‘low-energy’ office building: insights from a reconciliation based on the DOE-2 model." </w:t>
      </w:r>
      <w:r w:rsidR="00BF25DE" w:rsidRPr="00810AEB">
        <w:rPr>
          <w:rFonts w:cs="Times New Roman"/>
          <w:i/>
          <w:noProof/>
          <w:szCs w:val="24"/>
        </w:rPr>
        <w:t>Energy and Buildings</w:t>
      </w:r>
      <w:r w:rsidR="00BF25DE" w:rsidRPr="006E0EAA">
        <w:rPr>
          <w:rFonts w:cs="Times New Roman"/>
          <w:noProof/>
          <w:szCs w:val="24"/>
        </w:rPr>
        <w:t xml:space="preserve"> 21(2): 121-131.</w:t>
      </w:r>
      <w:bookmarkEnd w:id="191"/>
    </w:p>
    <w:p w:rsidR="00BF25DE" w:rsidRPr="006E0EAA" w:rsidRDefault="00BF25DE" w:rsidP="00810AEB">
      <w:pPr>
        <w:spacing w:after="0" w:line="240" w:lineRule="auto"/>
        <w:ind w:left="720" w:hanging="720"/>
        <w:jc w:val="both"/>
        <w:rPr>
          <w:rFonts w:cs="Times New Roman"/>
          <w:noProof/>
          <w:szCs w:val="24"/>
        </w:rPr>
      </w:pPr>
      <w:bookmarkStart w:id="192" w:name="_ENREF_35"/>
      <w:r w:rsidRPr="006E0EAA">
        <w:rPr>
          <w:rFonts w:cs="Times New Roman"/>
          <w:noProof/>
          <w:szCs w:val="24"/>
        </w:rPr>
        <w:t xml:space="preserve">O'Brien, W. and H. B. Gunay (2014). "The contextual factors contributing to occupants' adaptive comfort behaviors in offices – A review and proposed modeling framework." </w:t>
      </w:r>
      <w:r w:rsidRPr="006E0EAA">
        <w:rPr>
          <w:rFonts w:cs="Times New Roman"/>
          <w:i/>
          <w:noProof/>
          <w:szCs w:val="24"/>
        </w:rPr>
        <w:t>Building and Environment</w:t>
      </w:r>
      <w:r w:rsidRPr="006E0EAA">
        <w:rPr>
          <w:rFonts w:cs="Times New Roman"/>
          <w:noProof/>
          <w:szCs w:val="24"/>
        </w:rPr>
        <w:t xml:space="preserve"> 77: 77-87.</w:t>
      </w:r>
      <w:bookmarkEnd w:id="192"/>
    </w:p>
    <w:p w:rsidR="00BF25DE" w:rsidRDefault="00BF25DE" w:rsidP="00051A6E">
      <w:pPr>
        <w:spacing w:after="0" w:line="240" w:lineRule="auto"/>
        <w:ind w:left="720" w:hanging="720"/>
        <w:rPr>
          <w:rFonts w:cs="Times New Roman"/>
          <w:noProof/>
          <w:szCs w:val="24"/>
        </w:rPr>
      </w:pPr>
      <w:bookmarkStart w:id="193" w:name="_ENREF_36"/>
      <w:r w:rsidRPr="006E0EAA">
        <w:rPr>
          <w:rFonts w:cs="Times New Roman"/>
          <w:noProof/>
          <w:szCs w:val="24"/>
        </w:rPr>
        <w:t xml:space="preserve">O'Brien, W., K. Kapsis, </w:t>
      </w:r>
      <w:r w:rsidR="00810AEB">
        <w:rPr>
          <w:rFonts w:cs="Times New Roman"/>
          <w:noProof/>
          <w:szCs w:val="24"/>
        </w:rPr>
        <w:t>and A.K. Athienitis</w:t>
      </w:r>
      <w:r w:rsidRPr="006E0EAA">
        <w:rPr>
          <w:rFonts w:cs="Times New Roman"/>
          <w:noProof/>
          <w:szCs w:val="24"/>
        </w:rPr>
        <w:t xml:space="preserve">. (2013). "Manually-operated window shade patterns in office buildings: A critical review." </w:t>
      </w:r>
      <w:r w:rsidRPr="006E0EAA">
        <w:rPr>
          <w:rFonts w:cs="Times New Roman"/>
          <w:i/>
          <w:noProof/>
          <w:szCs w:val="24"/>
        </w:rPr>
        <w:t>Building and Environment</w:t>
      </w:r>
      <w:r w:rsidRPr="006E0EAA">
        <w:rPr>
          <w:rFonts w:cs="Times New Roman"/>
          <w:noProof/>
          <w:szCs w:val="24"/>
        </w:rPr>
        <w:t xml:space="preserve"> 60: 319-338.</w:t>
      </w:r>
      <w:bookmarkEnd w:id="193"/>
    </w:p>
    <w:p w:rsidR="00BF25DE" w:rsidRPr="006E0EAA" w:rsidRDefault="00BF25DE" w:rsidP="00051A6E">
      <w:pPr>
        <w:spacing w:after="0" w:line="240" w:lineRule="auto"/>
        <w:ind w:left="720" w:hanging="720"/>
        <w:rPr>
          <w:rFonts w:cs="Times New Roman"/>
          <w:noProof/>
          <w:szCs w:val="24"/>
        </w:rPr>
      </w:pPr>
      <w:bookmarkStart w:id="194" w:name="_ENREF_37"/>
      <w:r w:rsidRPr="006E0EAA">
        <w:rPr>
          <w:rFonts w:cs="Times New Roman"/>
          <w:noProof/>
          <w:szCs w:val="24"/>
        </w:rPr>
        <w:t xml:space="preserve">Page, J., D. Robinson, </w:t>
      </w:r>
      <w:r w:rsidR="00810AEB">
        <w:rPr>
          <w:rFonts w:cs="Times New Roman"/>
          <w:noProof/>
          <w:szCs w:val="24"/>
        </w:rPr>
        <w:t>N. Morel, and J. Scartezzini</w:t>
      </w:r>
      <w:r w:rsidRPr="006E0EAA">
        <w:rPr>
          <w:rFonts w:cs="Times New Roman"/>
          <w:noProof/>
          <w:szCs w:val="24"/>
        </w:rPr>
        <w:t xml:space="preserve"> (2008). "A generalised stochastic model for the simulation of occupant presence." </w:t>
      </w:r>
      <w:r w:rsidRPr="00810AEB">
        <w:rPr>
          <w:rFonts w:cs="Times New Roman"/>
          <w:i/>
          <w:noProof/>
          <w:szCs w:val="24"/>
        </w:rPr>
        <w:t>Energy and Buildings</w:t>
      </w:r>
      <w:r w:rsidRPr="006E0EAA">
        <w:rPr>
          <w:rFonts w:cs="Times New Roman"/>
          <w:noProof/>
          <w:szCs w:val="24"/>
        </w:rPr>
        <w:t xml:space="preserve"> 40(2): 83-98.</w:t>
      </w:r>
      <w:bookmarkEnd w:id="194"/>
    </w:p>
    <w:p w:rsidR="00BF25DE" w:rsidRDefault="00FB65B0" w:rsidP="00051A6E">
      <w:pPr>
        <w:spacing w:after="0" w:line="240" w:lineRule="auto"/>
        <w:ind w:left="720" w:hanging="720"/>
        <w:rPr>
          <w:rFonts w:cs="Times New Roman"/>
          <w:noProof/>
          <w:szCs w:val="24"/>
        </w:rPr>
      </w:pPr>
      <w:bookmarkStart w:id="195" w:name="_ENREF_38"/>
      <w:r w:rsidRPr="00FB65B0">
        <w:rPr>
          <w:rFonts w:cs="Times New Roman"/>
          <w:noProof/>
          <w:szCs w:val="24"/>
        </w:rPr>
        <w:t>Parys, W</w:t>
      </w:r>
      <w:r>
        <w:rPr>
          <w:rFonts w:cs="Times New Roman"/>
          <w:noProof/>
          <w:szCs w:val="24"/>
        </w:rPr>
        <w:t>.</w:t>
      </w:r>
      <w:r w:rsidRPr="00FB65B0">
        <w:rPr>
          <w:rFonts w:cs="Times New Roman"/>
          <w:noProof/>
          <w:szCs w:val="24"/>
        </w:rPr>
        <w:t>, D</w:t>
      </w:r>
      <w:r w:rsidR="00D83E72">
        <w:rPr>
          <w:rFonts w:cs="Times New Roman"/>
          <w:noProof/>
          <w:szCs w:val="24"/>
        </w:rPr>
        <w:t>.</w:t>
      </w:r>
      <w:r w:rsidRPr="00FB65B0">
        <w:rPr>
          <w:rFonts w:cs="Times New Roman"/>
          <w:noProof/>
          <w:szCs w:val="24"/>
        </w:rPr>
        <w:t xml:space="preserve"> Saelens, and H</w:t>
      </w:r>
      <w:r w:rsidR="00D83E72">
        <w:rPr>
          <w:rFonts w:cs="Times New Roman"/>
          <w:noProof/>
          <w:szCs w:val="24"/>
        </w:rPr>
        <w:t>.</w:t>
      </w:r>
      <w:r w:rsidRPr="00FB65B0">
        <w:rPr>
          <w:rFonts w:cs="Times New Roman"/>
          <w:noProof/>
          <w:szCs w:val="24"/>
        </w:rPr>
        <w:t xml:space="preserve"> Hens </w:t>
      </w:r>
      <w:r w:rsidR="00BF25DE" w:rsidRPr="006E0EAA">
        <w:rPr>
          <w:rFonts w:cs="Times New Roman"/>
          <w:noProof/>
          <w:szCs w:val="24"/>
        </w:rPr>
        <w:t xml:space="preserve">(2011). "Coupling of dynamic building simulation with stochastic modelling of occupant behaviour in offices – a review-based integrated methodology." </w:t>
      </w:r>
      <w:r w:rsidR="00BF25DE" w:rsidRPr="006E0EAA">
        <w:rPr>
          <w:rFonts w:cs="Times New Roman"/>
          <w:i/>
          <w:noProof/>
          <w:szCs w:val="24"/>
        </w:rPr>
        <w:t>Journal of Building Performance Simulation</w:t>
      </w:r>
      <w:r w:rsidR="00BF25DE" w:rsidRPr="006E0EAA">
        <w:rPr>
          <w:rFonts w:cs="Times New Roman"/>
          <w:noProof/>
          <w:szCs w:val="24"/>
        </w:rPr>
        <w:t xml:space="preserve"> 4(4): 339-358.</w:t>
      </w:r>
      <w:bookmarkEnd w:id="195"/>
    </w:p>
    <w:p w:rsidR="00BF25DE" w:rsidRPr="006E0EAA" w:rsidRDefault="00BF25DE" w:rsidP="00051A6E">
      <w:pPr>
        <w:spacing w:after="0" w:line="240" w:lineRule="auto"/>
        <w:ind w:left="720" w:hanging="720"/>
        <w:rPr>
          <w:rFonts w:cs="Times New Roman"/>
          <w:noProof/>
          <w:szCs w:val="24"/>
        </w:rPr>
      </w:pPr>
      <w:bookmarkStart w:id="196" w:name="_ENREF_39"/>
      <w:r w:rsidRPr="006E0EAA">
        <w:rPr>
          <w:rFonts w:cs="Times New Roman"/>
          <w:noProof/>
          <w:szCs w:val="24"/>
        </w:rPr>
        <w:t xml:space="preserve">Pigg, S., M. Eilers, </w:t>
      </w:r>
      <w:r w:rsidR="00FB65B0">
        <w:rPr>
          <w:rFonts w:cs="Times New Roman"/>
          <w:noProof/>
          <w:szCs w:val="24"/>
        </w:rPr>
        <w:t>and J. Reed</w:t>
      </w:r>
      <w:r w:rsidRPr="006E0EAA">
        <w:rPr>
          <w:rFonts w:cs="Times New Roman"/>
          <w:noProof/>
          <w:szCs w:val="24"/>
        </w:rPr>
        <w:t xml:space="preserve"> (1996). Behavioral aspects of lighting and occupancy sensors in private offices: a case study of a university office building.</w:t>
      </w:r>
      <w:bookmarkEnd w:id="196"/>
      <w:r w:rsidR="00FB65B0">
        <w:rPr>
          <w:rFonts w:cs="Times New Roman"/>
          <w:noProof/>
          <w:szCs w:val="24"/>
        </w:rPr>
        <w:t xml:space="preserve"> </w:t>
      </w:r>
      <w:r w:rsidR="00FB65B0" w:rsidRPr="00810AEB">
        <w:rPr>
          <w:rFonts w:cs="Times New Roman"/>
          <w:noProof/>
          <w:szCs w:val="24"/>
        </w:rPr>
        <w:t>ACEEE 1996 Summer Study on Energy Efficiency in Buildings</w:t>
      </w:r>
    </w:p>
    <w:p w:rsidR="00BF25DE" w:rsidRPr="006E0EAA" w:rsidRDefault="00BF25DE" w:rsidP="00051A6E">
      <w:pPr>
        <w:spacing w:after="0" w:line="240" w:lineRule="auto"/>
        <w:ind w:left="720" w:hanging="720"/>
        <w:rPr>
          <w:rFonts w:cs="Times New Roman"/>
          <w:noProof/>
          <w:szCs w:val="24"/>
        </w:rPr>
      </w:pPr>
      <w:bookmarkStart w:id="197" w:name="_ENREF_40"/>
      <w:r w:rsidRPr="006E0EAA">
        <w:rPr>
          <w:rFonts w:cs="Times New Roman"/>
          <w:noProof/>
          <w:szCs w:val="24"/>
        </w:rPr>
        <w:t xml:space="preserve">Rea, M. (1984). "Window blind occlusion: a pilot study." </w:t>
      </w:r>
      <w:r w:rsidRPr="006E0EAA">
        <w:rPr>
          <w:rFonts w:cs="Times New Roman"/>
          <w:i/>
          <w:noProof/>
          <w:szCs w:val="24"/>
        </w:rPr>
        <w:t>Building and Environment</w:t>
      </w:r>
      <w:r w:rsidRPr="006E0EAA">
        <w:rPr>
          <w:rFonts w:cs="Times New Roman"/>
          <w:noProof/>
          <w:szCs w:val="24"/>
        </w:rPr>
        <w:t xml:space="preserve"> 19(2): 133-137.</w:t>
      </w:r>
      <w:bookmarkEnd w:id="197"/>
    </w:p>
    <w:p w:rsidR="00BF25DE" w:rsidRPr="006E0EAA" w:rsidRDefault="00BF25DE" w:rsidP="00051A6E">
      <w:pPr>
        <w:spacing w:after="0" w:line="240" w:lineRule="auto"/>
        <w:ind w:left="720" w:hanging="720"/>
        <w:rPr>
          <w:rFonts w:cs="Times New Roman"/>
          <w:noProof/>
          <w:szCs w:val="24"/>
        </w:rPr>
      </w:pPr>
      <w:bookmarkStart w:id="198" w:name="_ENREF_41"/>
      <w:r w:rsidRPr="006E0EAA">
        <w:rPr>
          <w:rFonts w:cs="Times New Roman"/>
          <w:noProof/>
          <w:szCs w:val="24"/>
        </w:rPr>
        <w:t>Reinhart, C. F. (2004). "Lightswitch-2002: a model for manual and automated control of electric lighting and blinds." Solar Energy 77(1): 15-28.</w:t>
      </w:r>
      <w:bookmarkEnd w:id="198"/>
    </w:p>
    <w:p w:rsidR="00BF25DE" w:rsidRPr="006E0EAA" w:rsidRDefault="00BF25DE" w:rsidP="00051A6E">
      <w:pPr>
        <w:spacing w:after="0" w:line="240" w:lineRule="auto"/>
        <w:ind w:left="720" w:hanging="720"/>
        <w:rPr>
          <w:rFonts w:cs="Times New Roman"/>
          <w:noProof/>
          <w:szCs w:val="24"/>
        </w:rPr>
      </w:pPr>
      <w:bookmarkStart w:id="199" w:name="_ENREF_42"/>
      <w:r w:rsidRPr="006E0EAA">
        <w:rPr>
          <w:rFonts w:cs="Times New Roman"/>
          <w:noProof/>
          <w:szCs w:val="24"/>
        </w:rPr>
        <w:lastRenderedPageBreak/>
        <w:t xml:space="preserve">Reinhart, C. F., J. Mardaljevic, </w:t>
      </w:r>
      <w:r w:rsidR="00FB65B0">
        <w:rPr>
          <w:rFonts w:cs="Times New Roman"/>
          <w:noProof/>
          <w:szCs w:val="24"/>
        </w:rPr>
        <w:t>and Z. Rogers</w:t>
      </w:r>
      <w:r w:rsidRPr="006E0EAA">
        <w:rPr>
          <w:rFonts w:cs="Times New Roman"/>
          <w:noProof/>
          <w:szCs w:val="24"/>
        </w:rPr>
        <w:t xml:space="preserve"> (2006). "Dynamic Daylight Performance Metrics for Sustainable Building Design." </w:t>
      </w:r>
      <w:r w:rsidRPr="00FB65B0">
        <w:rPr>
          <w:rFonts w:cs="Times New Roman"/>
          <w:i/>
          <w:noProof/>
          <w:szCs w:val="24"/>
        </w:rPr>
        <w:t>LEUKOS</w:t>
      </w:r>
      <w:r w:rsidRPr="006E0EAA">
        <w:rPr>
          <w:rFonts w:cs="Times New Roman"/>
          <w:noProof/>
          <w:szCs w:val="24"/>
        </w:rPr>
        <w:t xml:space="preserve"> 3(1): 7-31.</w:t>
      </w:r>
      <w:bookmarkEnd w:id="199"/>
    </w:p>
    <w:p w:rsidR="00BF25DE" w:rsidRDefault="00BF25DE" w:rsidP="00051A6E">
      <w:pPr>
        <w:spacing w:after="0" w:line="240" w:lineRule="auto"/>
        <w:ind w:left="720" w:hanging="720"/>
        <w:rPr>
          <w:rFonts w:cs="Times New Roman"/>
          <w:noProof/>
          <w:szCs w:val="24"/>
        </w:rPr>
      </w:pPr>
      <w:bookmarkStart w:id="200" w:name="_ENREF_43"/>
      <w:r w:rsidRPr="006E0EAA">
        <w:rPr>
          <w:rFonts w:cs="Times New Roman"/>
          <w:noProof/>
          <w:szCs w:val="24"/>
        </w:rPr>
        <w:t>Reinhart, C. F. and K. Voss (2003). "Monitoring manual control of electric lighting and blinds." Lighting Research and Technology 35(3): 243-258.</w:t>
      </w:r>
      <w:bookmarkEnd w:id="200"/>
    </w:p>
    <w:p w:rsidR="00FB65B0" w:rsidRPr="006E0EAA" w:rsidRDefault="00FB65B0" w:rsidP="00051A6E">
      <w:pPr>
        <w:spacing w:after="0" w:line="240" w:lineRule="auto"/>
        <w:ind w:left="720" w:hanging="720"/>
        <w:rPr>
          <w:rFonts w:cs="Times New Roman"/>
          <w:noProof/>
          <w:szCs w:val="24"/>
        </w:rPr>
      </w:pPr>
      <w:r w:rsidRPr="00FB65B0">
        <w:rPr>
          <w:rFonts w:cs="Times New Roman"/>
          <w:noProof/>
          <w:szCs w:val="24"/>
        </w:rPr>
        <w:t>Rijal, Hom B., Paul Tuohy, Fergus Nicol, Michael A. Humphreys, Aizaz Samuel, and J. Clarke. "Development of an adaptive window-opening algorithm to predict the thermal comfort, energy use and overheating in buildings." Journal of Building Performance Simulation 1, no. 1 (2008): 17-30.</w:t>
      </w:r>
    </w:p>
    <w:p w:rsidR="00BF25DE" w:rsidRPr="006E0EAA" w:rsidRDefault="00BF25DE" w:rsidP="00FB65B0">
      <w:pPr>
        <w:spacing w:after="0" w:line="240" w:lineRule="auto"/>
        <w:ind w:left="720" w:hanging="720"/>
        <w:jc w:val="both"/>
        <w:rPr>
          <w:rFonts w:cs="Times New Roman"/>
          <w:noProof/>
          <w:szCs w:val="24"/>
        </w:rPr>
      </w:pPr>
      <w:bookmarkStart w:id="201" w:name="_ENREF_44"/>
      <w:r w:rsidRPr="006E0EAA">
        <w:rPr>
          <w:rFonts w:cs="Times New Roman"/>
          <w:noProof/>
          <w:szCs w:val="24"/>
        </w:rPr>
        <w:t xml:space="preserve">Rijal, H. B., P. Tuohy, </w:t>
      </w:r>
      <w:r w:rsidR="00FB65B0">
        <w:rPr>
          <w:rFonts w:cs="Times New Roman"/>
          <w:noProof/>
          <w:szCs w:val="24"/>
        </w:rPr>
        <w:t xml:space="preserve">F. Nicol, M. A. Humphreys, A. Samuel, and J. Clearke (2008). </w:t>
      </w:r>
      <w:r w:rsidRPr="006E0EAA">
        <w:rPr>
          <w:rFonts w:cs="Times New Roman"/>
          <w:noProof/>
          <w:szCs w:val="24"/>
        </w:rPr>
        <w:t xml:space="preserve">"Development of an adaptive window-opening algorithm to predict the thermal comfort, energy use and overheating in buildings." </w:t>
      </w:r>
      <w:r w:rsidRPr="006E0EAA">
        <w:rPr>
          <w:rFonts w:cs="Times New Roman"/>
          <w:i/>
          <w:noProof/>
          <w:szCs w:val="24"/>
        </w:rPr>
        <w:t>Journal of Building Performance Simulation</w:t>
      </w:r>
      <w:r w:rsidRPr="006E0EAA">
        <w:rPr>
          <w:rFonts w:cs="Times New Roman"/>
          <w:noProof/>
          <w:szCs w:val="24"/>
        </w:rPr>
        <w:t xml:space="preserve"> 1(1): 17-30.</w:t>
      </w:r>
      <w:bookmarkEnd w:id="201"/>
    </w:p>
    <w:p w:rsidR="00BF25DE" w:rsidRDefault="00BF25DE" w:rsidP="00051A6E">
      <w:pPr>
        <w:spacing w:after="0" w:line="240" w:lineRule="auto"/>
        <w:ind w:left="720" w:hanging="720"/>
        <w:rPr>
          <w:rFonts w:cs="Times New Roman"/>
          <w:noProof/>
          <w:szCs w:val="24"/>
        </w:rPr>
      </w:pPr>
      <w:bookmarkStart w:id="202" w:name="_ENREF_45"/>
      <w:r w:rsidRPr="006E0EAA">
        <w:rPr>
          <w:rFonts w:cs="Times New Roman"/>
          <w:noProof/>
          <w:szCs w:val="24"/>
        </w:rPr>
        <w:t>Ru</w:t>
      </w:r>
      <w:r w:rsidR="00FB65B0">
        <w:rPr>
          <w:rFonts w:cs="Times New Roman"/>
          <w:noProof/>
          <w:szCs w:val="24"/>
        </w:rPr>
        <w:t>bin, A. I., B. L. Collins, and R.</w:t>
      </w:r>
      <w:r w:rsidR="00FB65B0" w:rsidRPr="00FB65B0">
        <w:rPr>
          <w:rFonts w:cs="Times New Roman"/>
          <w:noProof/>
          <w:szCs w:val="24"/>
        </w:rPr>
        <w:t xml:space="preserve"> L. Tibbott</w:t>
      </w:r>
      <w:r w:rsidRPr="006E0EAA">
        <w:rPr>
          <w:rFonts w:cs="Times New Roman"/>
          <w:noProof/>
          <w:szCs w:val="24"/>
        </w:rPr>
        <w:t xml:space="preserve"> (1978). Window blinds as a potential energy saver: A case study, US Department of Commerce, National Bureau of Standards.</w:t>
      </w:r>
      <w:bookmarkEnd w:id="202"/>
      <w:r w:rsidR="00FB65B0">
        <w:rPr>
          <w:rFonts w:cs="Times New Roman"/>
          <w:noProof/>
          <w:szCs w:val="24"/>
        </w:rPr>
        <w:t xml:space="preserve"> </w:t>
      </w:r>
      <w:r w:rsidR="00FB65B0" w:rsidRPr="00FB65B0">
        <w:rPr>
          <w:rFonts w:cs="Times New Roman"/>
          <w:noProof/>
          <w:szCs w:val="24"/>
        </w:rPr>
        <w:t>https://www.ncjrs.gov/pdffiles1/Digitization/64368NCJRS.pdf</w:t>
      </w:r>
    </w:p>
    <w:p w:rsidR="00BF25DE" w:rsidRPr="006E0EAA" w:rsidRDefault="00BF25DE" w:rsidP="00051A6E">
      <w:pPr>
        <w:spacing w:after="0" w:line="240" w:lineRule="auto"/>
        <w:ind w:left="720" w:hanging="720"/>
        <w:rPr>
          <w:rFonts w:cs="Times New Roman"/>
          <w:noProof/>
          <w:szCs w:val="24"/>
        </w:rPr>
      </w:pPr>
      <w:bookmarkStart w:id="203" w:name="_ENREF_46"/>
      <w:r w:rsidRPr="006E0EAA">
        <w:rPr>
          <w:rFonts w:cs="Times New Roman"/>
          <w:noProof/>
          <w:szCs w:val="24"/>
        </w:rPr>
        <w:t xml:space="preserve">Rubinstein, F., N. Colak, </w:t>
      </w:r>
      <w:r w:rsidR="00FB65B0">
        <w:rPr>
          <w:rFonts w:cs="Times New Roman"/>
          <w:noProof/>
          <w:szCs w:val="24"/>
        </w:rPr>
        <w:t xml:space="preserve">J. Jennings, and D. Neils </w:t>
      </w:r>
      <w:r w:rsidRPr="006E0EAA">
        <w:rPr>
          <w:rFonts w:cs="Times New Roman"/>
          <w:noProof/>
          <w:szCs w:val="24"/>
        </w:rPr>
        <w:t>(2003). Analyzing occupancy profiles from a lighting controls field study.</w:t>
      </w:r>
      <w:bookmarkEnd w:id="203"/>
      <w:r w:rsidR="00FB65B0">
        <w:rPr>
          <w:rFonts w:cs="Times New Roman"/>
          <w:noProof/>
          <w:szCs w:val="24"/>
        </w:rPr>
        <w:t xml:space="preserve"> </w:t>
      </w:r>
      <w:r w:rsidR="00FB65B0" w:rsidRPr="00FB65B0">
        <w:rPr>
          <w:rFonts w:cs="Times New Roman"/>
          <w:noProof/>
          <w:szCs w:val="24"/>
        </w:rPr>
        <w:t>http://escholarship.org/uc/item/8t92v307</w:t>
      </w:r>
    </w:p>
    <w:p w:rsidR="00BF25DE" w:rsidRPr="006E0EAA" w:rsidRDefault="00BF25DE" w:rsidP="00051A6E">
      <w:pPr>
        <w:spacing w:after="0" w:line="240" w:lineRule="auto"/>
        <w:ind w:left="720" w:hanging="720"/>
        <w:rPr>
          <w:rFonts w:cs="Times New Roman"/>
          <w:noProof/>
          <w:szCs w:val="24"/>
        </w:rPr>
      </w:pPr>
      <w:bookmarkStart w:id="204" w:name="_ENREF_47"/>
      <w:r w:rsidRPr="006E0EAA">
        <w:rPr>
          <w:rFonts w:cs="Times New Roman"/>
          <w:noProof/>
          <w:szCs w:val="24"/>
        </w:rPr>
        <w:t xml:space="preserve">Schiavon, S. and K. H. Lee (2013). "Dynamic predictive clothing insulation models based on outdoor air and indoor operative temperatures." </w:t>
      </w:r>
      <w:r w:rsidRPr="006E0EAA">
        <w:rPr>
          <w:rFonts w:cs="Times New Roman"/>
          <w:i/>
          <w:noProof/>
          <w:szCs w:val="24"/>
        </w:rPr>
        <w:t>Building and Environment</w:t>
      </w:r>
      <w:r w:rsidRPr="006E0EAA">
        <w:rPr>
          <w:rFonts w:cs="Times New Roman"/>
          <w:noProof/>
          <w:szCs w:val="24"/>
        </w:rPr>
        <w:t xml:space="preserve"> 59(0): 250-260.</w:t>
      </w:r>
      <w:bookmarkEnd w:id="204"/>
    </w:p>
    <w:p w:rsidR="00BF25DE" w:rsidRPr="006E0EAA" w:rsidRDefault="00FB65B0" w:rsidP="00051A6E">
      <w:pPr>
        <w:spacing w:after="0" w:line="240" w:lineRule="auto"/>
        <w:ind w:left="720" w:hanging="720"/>
        <w:rPr>
          <w:rFonts w:cs="Times New Roman"/>
          <w:noProof/>
          <w:szCs w:val="24"/>
        </w:rPr>
      </w:pPr>
      <w:bookmarkStart w:id="205" w:name="_ENREF_48"/>
      <w:r w:rsidRPr="00FB65B0">
        <w:rPr>
          <w:rFonts w:cs="Times New Roman"/>
          <w:noProof/>
          <w:szCs w:val="24"/>
        </w:rPr>
        <w:t>Schweiker, M</w:t>
      </w:r>
      <w:r>
        <w:rPr>
          <w:rFonts w:cs="Times New Roman"/>
          <w:noProof/>
          <w:szCs w:val="24"/>
        </w:rPr>
        <w:t>.</w:t>
      </w:r>
      <w:r w:rsidRPr="00FB65B0">
        <w:rPr>
          <w:rFonts w:cs="Times New Roman"/>
          <w:noProof/>
          <w:szCs w:val="24"/>
        </w:rPr>
        <w:t>, F</w:t>
      </w:r>
      <w:r>
        <w:rPr>
          <w:rFonts w:cs="Times New Roman"/>
          <w:noProof/>
          <w:szCs w:val="24"/>
        </w:rPr>
        <w:t>.</w:t>
      </w:r>
      <w:r w:rsidRPr="00FB65B0">
        <w:rPr>
          <w:rFonts w:cs="Times New Roman"/>
          <w:noProof/>
          <w:szCs w:val="24"/>
        </w:rPr>
        <w:t xml:space="preserve"> Haldi, M</w:t>
      </w:r>
      <w:r>
        <w:rPr>
          <w:rFonts w:cs="Times New Roman"/>
          <w:noProof/>
          <w:szCs w:val="24"/>
        </w:rPr>
        <w:t>.</w:t>
      </w:r>
      <w:r w:rsidRPr="00FB65B0">
        <w:rPr>
          <w:rFonts w:cs="Times New Roman"/>
          <w:noProof/>
          <w:szCs w:val="24"/>
        </w:rPr>
        <w:t xml:space="preserve"> Shukuya, and D</w:t>
      </w:r>
      <w:r>
        <w:rPr>
          <w:rFonts w:cs="Times New Roman"/>
          <w:noProof/>
          <w:szCs w:val="24"/>
        </w:rPr>
        <w:t>.</w:t>
      </w:r>
      <w:r w:rsidRPr="00FB65B0">
        <w:rPr>
          <w:rFonts w:cs="Times New Roman"/>
          <w:noProof/>
          <w:szCs w:val="24"/>
        </w:rPr>
        <w:t xml:space="preserve"> Robinson.</w:t>
      </w:r>
      <w:r w:rsidR="00CE3E3A">
        <w:rPr>
          <w:rFonts w:cs="Times New Roman"/>
          <w:noProof/>
          <w:szCs w:val="24"/>
        </w:rPr>
        <w:t xml:space="preserve"> </w:t>
      </w:r>
      <w:r w:rsidR="00BF25DE" w:rsidRPr="006E0EAA">
        <w:rPr>
          <w:rFonts w:cs="Times New Roman"/>
          <w:noProof/>
          <w:szCs w:val="24"/>
        </w:rPr>
        <w:t xml:space="preserve">(2011). "Verification of stochastic models of window opening behaviour for residential buildings." </w:t>
      </w:r>
      <w:r w:rsidR="00BF25DE" w:rsidRPr="006E0EAA">
        <w:rPr>
          <w:rFonts w:cs="Times New Roman"/>
          <w:i/>
          <w:noProof/>
          <w:szCs w:val="24"/>
        </w:rPr>
        <w:t>Journal of Building Performance Simulation</w:t>
      </w:r>
      <w:r w:rsidR="00BF25DE" w:rsidRPr="006E0EAA">
        <w:rPr>
          <w:rFonts w:cs="Times New Roman"/>
          <w:noProof/>
          <w:szCs w:val="24"/>
        </w:rPr>
        <w:t xml:space="preserve"> 5(1): 55-74.</w:t>
      </w:r>
      <w:bookmarkEnd w:id="205"/>
    </w:p>
    <w:p w:rsidR="00BF25DE" w:rsidRPr="006E0EAA" w:rsidRDefault="00FB65B0" w:rsidP="00051A6E">
      <w:pPr>
        <w:spacing w:after="0" w:line="240" w:lineRule="auto"/>
        <w:ind w:left="720" w:hanging="720"/>
        <w:rPr>
          <w:rFonts w:cs="Times New Roman"/>
          <w:noProof/>
          <w:szCs w:val="24"/>
        </w:rPr>
      </w:pPr>
      <w:bookmarkStart w:id="206" w:name="_ENREF_49"/>
      <w:r w:rsidRPr="00FB65B0">
        <w:rPr>
          <w:rFonts w:cs="Times New Roman"/>
          <w:noProof/>
          <w:szCs w:val="24"/>
        </w:rPr>
        <w:t>Sutter, Y</w:t>
      </w:r>
      <w:r>
        <w:rPr>
          <w:rFonts w:cs="Times New Roman"/>
          <w:noProof/>
          <w:szCs w:val="24"/>
        </w:rPr>
        <w:t>.</w:t>
      </w:r>
      <w:r w:rsidRPr="00FB65B0">
        <w:rPr>
          <w:rFonts w:cs="Times New Roman"/>
          <w:noProof/>
          <w:szCs w:val="24"/>
        </w:rPr>
        <w:t>, D</w:t>
      </w:r>
      <w:r>
        <w:rPr>
          <w:rFonts w:cs="Times New Roman"/>
          <w:noProof/>
          <w:szCs w:val="24"/>
        </w:rPr>
        <w:t>.</w:t>
      </w:r>
      <w:r w:rsidRPr="00FB65B0">
        <w:rPr>
          <w:rFonts w:cs="Times New Roman"/>
          <w:noProof/>
          <w:szCs w:val="24"/>
        </w:rPr>
        <w:t xml:space="preserve"> Dumortier, and M</w:t>
      </w:r>
      <w:r>
        <w:rPr>
          <w:rFonts w:cs="Times New Roman"/>
          <w:noProof/>
          <w:szCs w:val="24"/>
        </w:rPr>
        <w:t>.</w:t>
      </w:r>
      <w:r w:rsidRPr="00FB65B0">
        <w:rPr>
          <w:rFonts w:cs="Times New Roman"/>
          <w:noProof/>
          <w:szCs w:val="24"/>
        </w:rPr>
        <w:t xml:space="preserve"> Fontoynont</w:t>
      </w:r>
      <w:r w:rsidR="00BF25DE" w:rsidRPr="006E0EAA">
        <w:rPr>
          <w:rFonts w:cs="Times New Roman"/>
          <w:noProof/>
          <w:szCs w:val="24"/>
        </w:rPr>
        <w:t xml:space="preserve"> (2006). "The use of shading systems in VDU task offices: A pilot study." </w:t>
      </w:r>
      <w:r w:rsidR="00BF25DE" w:rsidRPr="00FB65B0">
        <w:rPr>
          <w:rFonts w:cs="Times New Roman"/>
          <w:i/>
          <w:noProof/>
          <w:szCs w:val="24"/>
        </w:rPr>
        <w:t>Energy and Buildings</w:t>
      </w:r>
      <w:r w:rsidR="00BF25DE" w:rsidRPr="006E0EAA">
        <w:rPr>
          <w:rFonts w:cs="Times New Roman"/>
          <w:noProof/>
          <w:szCs w:val="24"/>
        </w:rPr>
        <w:t xml:space="preserve"> 38(7): 780-789.</w:t>
      </w:r>
      <w:bookmarkEnd w:id="206"/>
    </w:p>
    <w:p w:rsidR="00BF25DE" w:rsidRPr="006E0EAA" w:rsidRDefault="00FB65B0" w:rsidP="00051A6E">
      <w:pPr>
        <w:spacing w:after="0" w:line="240" w:lineRule="auto"/>
        <w:ind w:left="720" w:hanging="720"/>
        <w:rPr>
          <w:rFonts w:cs="Times New Roman"/>
          <w:noProof/>
          <w:szCs w:val="24"/>
        </w:rPr>
      </w:pPr>
      <w:bookmarkStart w:id="207" w:name="_ENREF_50"/>
      <w:r w:rsidRPr="00FB65B0">
        <w:rPr>
          <w:rFonts w:cs="Times New Roman"/>
          <w:noProof/>
          <w:szCs w:val="24"/>
        </w:rPr>
        <w:t>W</w:t>
      </w:r>
      <w:r>
        <w:rPr>
          <w:rFonts w:cs="Times New Roman"/>
          <w:noProof/>
          <w:szCs w:val="24"/>
        </w:rPr>
        <w:t>.</w:t>
      </w:r>
      <w:r w:rsidRPr="00FB65B0">
        <w:rPr>
          <w:rFonts w:cs="Times New Roman"/>
          <w:noProof/>
          <w:szCs w:val="24"/>
        </w:rPr>
        <w:t>, Danni, C</w:t>
      </w:r>
      <w:r>
        <w:rPr>
          <w:rFonts w:cs="Times New Roman"/>
          <w:noProof/>
          <w:szCs w:val="24"/>
        </w:rPr>
        <w:t>.</w:t>
      </w:r>
      <w:r w:rsidRPr="00FB65B0">
        <w:rPr>
          <w:rFonts w:cs="Times New Roman"/>
          <w:noProof/>
          <w:szCs w:val="24"/>
        </w:rPr>
        <w:t xml:space="preserve"> C. Federspiel, and F</w:t>
      </w:r>
      <w:r>
        <w:rPr>
          <w:rFonts w:cs="Times New Roman"/>
          <w:noProof/>
          <w:szCs w:val="24"/>
        </w:rPr>
        <w:t>.</w:t>
      </w:r>
      <w:r w:rsidRPr="00FB65B0">
        <w:rPr>
          <w:rFonts w:cs="Times New Roman"/>
          <w:noProof/>
          <w:szCs w:val="24"/>
        </w:rPr>
        <w:t xml:space="preserve"> Rubinstein </w:t>
      </w:r>
      <w:r w:rsidR="00BF25DE" w:rsidRPr="006E0EAA">
        <w:rPr>
          <w:rFonts w:cs="Times New Roman"/>
          <w:noProof/>
          <w:szCs w:val="24"/>
        </w:rPr>
        <w:t xml:space="preserve">(2005). "Modeling occupancy in single person offices." </w:t>
      </w:r>
      <w:r w:rsidR="00BF25DE" w:rsidRPr="00FB65B0">
        <w:rPr>
          <w:rFonts w:cs="Times New Roman"/>
          <w:i/>
          <w:noProof/>
          <w:szCs w:val="24"/>
        </w:rPr>
        <w:t xml:space="preserve">Energy and Buildings </w:t>
      </w:r>
      <w:r w:rsidR="00BF25DE" w:rsidRPr="006E0EAA">
        <w:rPr>
          <w:rFonts w:cs="Times New Roman"/>
          <w:noProof/>
          <w:szCs w:val="24"/>
        </w:rPr>
        <w:t>37(2): 121-126.</w:t>
      </w:r>
      <w:bookmarkEnd w:id="207"/>
    </w:p>
    <w:p w:rsidR="00BF25DE" w:rsidRPr="006E0EAA" w:rsidRDefault="00BF25DE" w:rsidP="00051A6E">
      <w:pPr>
        <w:spacing w:after="0" w:line="240" w:lineRule="auto"/>
        <w:ind w:left="720" w:hanging="720"/>
        <w:rPr>
          <w:rFonts w:cs="Times New Roman"/>
          <w:noProof/>
          <w:szCs w:val="24"/>
        </w:rPr>
      </w:pPr>
      <w:r w:rsidRPr="006E0EAA">
        <w:rPr>
          <w:rFonts w:cs="Times New Roman"/>
          <w:noProof/>
          <w:szCs w:val="24"/>
        </w:rPr>
        <w:t>Warren, P. R., and L. M. Parkins. "Window-opening behaviour in office buildings." Building Services Engineering Research and Technology 5, no. 3 (1984): 89-101.</w:t>
      </w:r>
    </w:p>
    <w:p w:rsidR="00BF25DE" w:rsidRPr="006E0EAA" w:rsidRDefault="00BF25DE" w:rsidP="00051A6E">
      <w:pPr>
        <w:spacing w:after="0" w:line="240" w:lineRule="auto"/>
        <w:ind w:left="720" w:hanging="720"/>
        <w:rPr>
          <w:rFonts w:cs="Times New Roman"/>
          <w:noProof/>
          <w:szCs w:val="24"/>
        </w:rPr>
      </w:pPr>
      <w:bookmarkStart w:id="208" w:name="_ENREF_51"/>
      <w:r w:rsidRPr="006E0EAA">
        <w:rPr>
          <w:rFonts w:cs="Times New Roman"/>
          <w:noProof/>
          <w:szCs w:val="24"/>
        </w:rPr>
        <w:t>Wetter, M. (2008). A Modular Building Controls Virtual Test Bed for the Integrations of Heterogeneous Systems.</w:t>
      </w:r>
      <w:bookmarkEnd w:id="208"/>
      <w:r w:rsidR="00FB65B0">
        <w:rPr>
          <w:rFonts w:cs="Times New Roman"/>
          <w:noProof/>
          <w:szCs w:val="24"/>
        </w:rPr>
        <w:t xml:space="preserve"> </w:t>
      </w:r>
      <w:r w:rsidR="00FB65B0" w:rsidRPr="00FB65B0">
        <w:rPr>
          <w:rFonts w:cs="Times New Roman"/>
          <w:noProof/>
          <w:szCs w:val="24"/>
        </w:rPr>
        <w:t>http://escholarship.org/uc/item/4r15r46s</w:t>
      </w:r>
    </w:p>
    <w:p w:rsidR="00BF25DE" w:rsidRPr="006E0EAA" w:rsidRDefault="00BF25DE" w:rsidP="00051A6E">
      <w:pPr>
        <w:spacing w:line="240" w:lineRule="auto"/>
        <w:ind w:left="720" w:hanging="720"/>
        <w:rPr>
          <w:rFonts w:cs="Times New Roman"/>
          <w:noProof/>
          <w:szCs w:val="24"/>
        </w:rPr>
      </w:pPr>
      <w:bookmarkStart w:id="209" w:name="_ENREF_52"/>
      <w:r w:rsidRPr="006E0EAA">
        <w:rPr>
          <w:rFonts w:cs="Times New Roman"/>
          <w:noProof/>
          <w:szCs w:val="24"/>
        </w:rPr>
        <w:t xml:space="preserve">Yun, G. Y. and K. Steemers (2008). "Time-dependent occupant behaviour models of window control in summer." </w:t>
      </w:r>
      <w:r w:rsidRPr="006E0EAA">
        <w:rPr>
          <w:rFonts w:cs="Times New Roman"/>
          <w:i/>
          <w:noProof/>
          <w:szCs w:val="24"/>
        </w:rPr>
        <w:t>Building and Environment</w:t>
      </w:r>
      <w:r w:rsidRPr="006E0EAA">
        <w:rPr>
          <w:rFonts w:cs="Times New Roman"/>
          <w:noProof/>
          <w:szCs w:val="24"/>
        </w:rPr>
        <w:t xml:space="preserve"> 43(9): 1471-1482.</w:t>
      </w:r>
      <w:bookmarkEnd w:id="209"/>
      <w:r w:rsidR="00FB65B0">
        <w:rPr>
          <w:rFonts w:cs="Times New Roman"/>
          <w:noProof/>
          <w:szCs w:val="24"/>
        </w:rPr>
        <w:t xml:space="preserve"> </w:t>
      </w:r>
    </w:p>
    <w:p w:rsidR="00BF25DE" w:rsidRDefault="00BF25DE" w:rsidP="00051A6E">
      <w:pPr>
        <w:spacing w:line="240" w:lineRule="auto"/>
        <w:rPr>
          <w:rFonts w:cs="Times New Roman"/>
          <w:noProof/>
          <w:szCs w:val="24"/>
        </w:rPr>
      </w:pPr>
    </w:p>
    <w:p w:rsidR="00BF25DE" w:rsidRDefault="00BF25DE" w:rsidP="00051A6E">
      <w:pPr>
        <w:spacing w:line="360" w:lineRule="auto"/>
        <w:rPr>
          <w:rFonts w:cs="Times New Roman"/>
          <w:szCs w:val="24"/>
        </w:rPr>
      </w:pPr>
    </w:p>
    <w:p w:rsidR="00BF25DE" w:rsidRDefault="00BF25DE" w:rsidP="00051A6E">
      <w:pPr>
        <w:spacing w:line="360" w:lineRule="auto"/>
        <w:rPr>
          <w:rFonts w:cs="Times New Roman"/>
          <w:szCs w:val="24"/>
        </w:rPr>
      </w:pPr>
    </w:p>
    <w:p w:rsidR="00BF25DE" w:rsidRDefault="00BF25DE" w:rsidP="00051A6E">
      <w:pPr>
        <w:spacing w:line="360" w:lineRule="auto"/>
        <w:rPr>
          <w:rFonts w:cs="Times New Roman"/>
          <w:szCs w:val="24"/>
        </w:rPr>
      </w:pPr>
    </w:p>
    <w:p w:rsidR="00BF25DE" w:rsidRDefault="00BF25DE" w:rsidP="00051A6E">
      <w:pPr>
        <w:spacing w:line="360" w:lineRule="auto"/>
        <w:rPr>
          <w:rFonts w:cs="Times New Roman"/>
          <w:szCs w:val="24"/>
        </w:rPr>
      </w:pPr>
    </w:p>
    <w:p w:rsidR="000103F6" w:rsidRDefault="000103F6"/>
    <w:sectPr w:rsidR="000103F6" w:rsidSect="00051A6E">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6FF" w:rsidRDefault="00D856FF" w:rsidP="00F149C5">
      <w:pPr>
        <w:spacing w:after="0" w:line="240" w:lineRule="auto"/>
      </w:pPr>
      <w:r>
        <w:separator/>
      </w:r>
    </w:p>
  </w:endnote>
  <w:endnote w:type="continuationSeparator" w:id="0">
    <w:p w:rsidR="00D856FF" w:rsidRDefault="00D856FF" w:rsidP="00F14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1020"/>
      <w:docPartObj>
        <w:docPartGallery w:val="Page Numbers (Bottom of Page)"/>
        <w:docPartUnique/>
      </w:docPartObj>
    </w:sdtPr>
    <w:sdtContent>
      <w:p w:rsidR="006620C3" w:rsidRDefault="00F84CB0">
        <w:pPr>
          <w:pStyle w:val="Footer"/>
          <w:jc w:val="right"/>
        </w:pPr>
        <w:fldSimple w:instr=" PAGE   \* MERGEFORMAT ">
          <w:r w:rsidR="00CA2052">
            <w:rPr>
              <w:noProof/>
            </w:rPr>
            <w:t>43</w:t>
          </w:r>
        </w:fldSimple>
      </w:p>
    </w:sdtContent>
  </w:sdt>
  <w:p w:rsidR="006620C3" w:rsidRDefault="006620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6FF" w:rsidRDefault="00D856FF" w:rsidP="00F149C5">
      <w:pPr>
        <w:spacing w:after="0" w:line="240" w:lineRule="auto"/>
      </w:pPr>
      <w:r>
        <w:separator/>
      </w:r>
    </w:p>
  </w:footnote>
  <w:footnote w:type="continuationSeparator" w:id="0">
    <w:p w:rsidR="00D856FF" w:rsidRDefault="00D856FF" w:rsidP="00F149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44F2A0"/>
    <w:lvl w:ilvl="0">
      <w:numFmt w:val="bullet"/>
      <w:lvlText w:val="*"/>
      <w:lvlJc w:val="left"/>
    </w:lvl>
  </w:abstractNum>
  <w:abstractNum w:abstractNumId="1">
    <w:nsid w:val="02E54CA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105A3A"/>
    <w:multiLevelType w:val="hybridMultilevel"/>
    <w:tmpl w:val="4C246DF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nsid w:val="1CFD5845"/>
    <w:multiLevelType w:val="hybridMultilevel"/>
    <w:tmpl w:val="4446AC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17251B7"/>
    <w:multiLevelType w:val="multilevel"/>
    <w:tmpl w:val="5CA6B240"/>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2B826F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5AC68A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F6A36D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3F33120"/>
    <w:multiLevelType w:val="hybridMultilevel"/>
    <w:tmpl w:val="948AD5E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8D869B7"/>
    <w:multiLevelType w:val="hybridMultilevel"/>
    <w:tmpl w:val="AA2CDA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8DD3AA6"/>
    <w:multiLevelType w:val="hybridMultilevel"/>
    <w:tmpl w:val="617AE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7542557"/>
    <w:multiLevelType w:val="hybridMultilevel"/>
    <w:tmpl w:val="45B833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7C64D8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B6533CD"/>
    <w:multiLevelType w:val="hybridMultilevel"/>
    <w:tmpl w:val="0D5CEFEC"/>
    <w:lvl w:ilvl="0" w:tplc="CDACC394">
      <w:start w:val="1"/>
      <w:numFmt w:val="bullet"/>
      <w:lvlText w:val="•"/>
      <w:lvlJc w:val="left"/>
      <w:pPr>
        <w:tabs>
          <w:tab w:val="num" w:pos="720"/>
        </w:tabs>
        <w:ind w:left="720" w:hanging="360"/>
      </w:pPr>
      <w:rPr>
        <w:rFonts w:ascii="Arial" w:hAnsi="Arial" w:hint="default"/>
      </w:rPr>
    </w:lvl>
    <w:lvl w:ilvl="1" w:tplc="84483578">
      <w:start w:val="1"/>
      <w:numFmt w:val="bullet"/>
      <w:lvlText w:val="•"/>
      <w:lvlJc w:val="left"/>
      <w:pPr>
        <w:tabs>
          <w:tab w:val="num" w:pos="1440"/>
        </w:tabs>
        <w:ind w:left="1440" w:hanging="360"/>
      </w:pPr>
      <w:rPr>
        <w:rFonts w:ascii="Arial" w:hAnsi="Arial" w:hint="default"/>
      </w:rPr>
    </w:lvl>
    <w:lvl w:ilvl="2" w:tplc="C688D96E" w:tentative="1">
      <w:start w:val="1"/>
      <w:numFmt w:val="bullet"/>
      <w:lvlText w:val="•"/>
      <w:lvlJc w:val="left"/>
      <w:pPr>
        <w:tabs>
          <w:tab w:val="num" w:pos="2160"/>
        </w:tabs>
        <w:ind w:left="2160" w:hanging="360"/>
      </w:pPr>
      <w:rPr>
        <w:rFonts w:ascii="Arial" w:hAnsi="Arial" w:hint="default"/>
      </w:rPr>
    </w:lvl>
    <w:lvl w:ilvl="3" w:tplc="CF7EB1CE" w:tentative="1">
      <w:start w:val="1"/>
      <w:numFmt w:val="bullet"/>
      <w:lvlText w:val="•"/>
      <w:lvlJc w:val="left"/>
      <w:pPr>
        <w:tabs>
          <w:tab w:val="num" w:pos="2880"/>
        </w:tabs>
        <w:ind w:left="2880" w:hanging="360"/>
      </w:pPr>
      <w:rPr>
        <w:rFonts w:ascii="Arial" w:hAnsi="Arial" w:hint="default"/>
      </w:rPr>
    </w:lvl>
    <w:lvl w:ilvl="4" w:tplc="BF8E2ED4" w:tentative="1">
      <w:start w:val="1"/>
      <w:numFmt w:val="bullet"/>
      <w:lvlText w:val="•"/>
      <w:lvlJc w:val="left"/>
      <w:pPr>
        <w:tabs>
          <w:tab w:val="num" w:pos="3600"/>
        </w:tabs>
        <w:ind w:left="3600" w:hanging="360"/>
      </w:pPr>
      <w:rPr>
        <w:rFonts w:ascii="Arial" w:hAnsi="Arial" w:hint="default"/>
      </w:rPr>
    </w:lvl>
    <w:lvl w:ilvl="5" w:tplc="CE1E157E" w:tentative="1">
      <w:start w:val="1"/>
      <w:numFmt w:val="bullet"/>
      <w:lvlText w:val="•"/>
      <w:lvlJc w:val="left"/>
      <w:pPr>
        <w:tabs>
          <w:tab w:val="num" w:pos="4320"/>
        </w:tabs>
        <w:ind w:left="4320" w:hanging="360"/>
      </w:pPr>
      <w:rPr>
        <w:rFonts w:ascii="Arial" w:hAnsi="Arial" w:hint="default"/>
      </w:rPr>
    </w:lvl>
    <w:lvl w:ilvl="6" w:tplc="DD86E5D0" w:tentative="1">
      <w:start w:val="1"/>
      <w:numFmt w:val="bullet"/>
      <w:lvlText w:val="•"/>
      <w:lvlJc w:val="left"/>
      <w:pPr>
        <w:tabs>
          <w:tab w:val="num" w:pos="5040"/>
        </w:tabs>
        <w:ind w:left="5040" w:hanging="360"/>
      </w:pPr>
      <w:rPr>
        <w:rFonts w:ascii="Arial" w:hAnsi="Arial" w:hint="default"/>
      </w:rPr>
    </w:lvl>
    <w:lvl w:ilvl="7" w:tplc="18CC9E80" w:tentative="1">
      <w:start w:val="1"/>
      <w:numFmt w:val="bullet"/>
      <w:lvlText w:val="•"/>
      <w:lvlJc w:val="left"/>
      <w:pPr>
        <w:tabs>
          <w:tab w:val="num" w:pos="5760"/>
        </w:tabs>
        <w:ind w:left="5760" w:hanging="360"/>
      </w:pPr>
      <w:rPr>
        <w:rFonts w:ascii="Arial" w:hAnsi="Arial" w:hint="default"/>
      </w:rPr>
    </w:lvl>
    <w:lvl w:ilvl="8" w:tplc="42E6F248" w:tentative="1">
      <w:start w:val="1"/>
      <w:numFmt w:val="bullet"/>
      <w:lvlText w:val="•"/>
      <w:lvlJc w:val="left"/>
      <w:pPr>
        <w:tabs>
          <w:tab w:val="num" w:pos="6480"/>
        </w:tabs>
        <w:ind w:left="6480" w:hanging="360"/>
      </w:pPr>
      <w:rPr>
        <w:rFonts w:ascii="Arial" w:hAnsi="Arial" w:hint="default"/>
      </w:rPr>
    </w:lvl>
  </w:abstractNum>
  <w:abstractNum w:abstractNumId="14">
    <w:nsid w:val="4FCB61AE"/>
    <w:multiLevelType w:val="hybridMultilevel"/>
    <w:tmpl w:val="303CE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3BD2FEA"/>
    <w:multiLevelType w:val="multilevel"/>
    <w:tmpl w:val="5CA6B240"/>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9C5368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124216"/>
    <w:multiLevelType w:val="multilevel"/>
    <w:tmpl w:val="5CA6B240"/>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C11079F"/>
    <w:multiLevelType w:val="hybridMultilevel"/>
    <w:tmpl w:val="3A346D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70721F5F"/>
    <w:multiLevelType w:val="hybridMultilevel"/>
    <w:tmpl w:val="18EC7A8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4AE0FF2"/>
    <w:multiLevelType w:val="hybridMultilevel"/>
    <w:tmpl w:val="DAC66F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D5D25B7"/>
    <w:multiLevelType w:val="hybridMultilevel"/>
    <w:tmpl w:val="25DA742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E7E74FB"/>
    <w:multiLevelType w:val="hybridMultilevel"/>
    <w:tmpl w:val="417482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8"/>
  </w:num>
  <w:num w:numId="3">
    <w:abstractNumId w:val="9"/>
  </w:num>
  <w:num w:numId="4">
    <w:abstractNumId w:val="22"/>
  </w:num>
  <w:num w:numId="5">
    <w:abstractNumId w:val="11"/>
  </w:num>
  <w:num w:numId="6">
    <w:abstractNumId w:val="21"/>
  </w:num>
  <w:num w:numId="7">
    <w:abstractNumId w:val="13"/>
  </w:num>
  <w:num w:numId="8">
    <w:abstractNumId w:val="2"/>
  </w:num>
  <w:num w:numId="9">
    <w:abstractNumId w:val="18"/>
  </w:num>
  <w:num w:numId="10">
    <w:abstractNumId w:val="3"/>
  </w:num>
  <w:num w:numId="11">
    <w:abstractNumId w:val="14"/>
  </w:num>
  <w:num w:numId="12">
    <w:abstractNumId w:val="10"/>
  </w:num>
  <w:num w:numId="13">
    <w:abstractNumId w:val="16"/>
  </w:num>
  <w:num w:numId="14">
    <w:abstractNumId w:val="7"/>
  </w:num>
  <w:num w:numId="15">
    <w:abstractNumId w:val="20"/>
  </w:num>
  <w:num w:numId="16">
    <w:abstractNumId w:val="0"/>
    <w:lvlOverride w:ilvl="0">
      <w:lvl w:ilvl="0">
        <w:numFmt w:val="bullet"/>
        <w:lvlText w:val=""/>
        <w:legacy w:legacy="1" w:legacySpace="0" w:legacyIndent="0"/>
        <w:lvlJc w:val="left"/>
        <w:rPr>
          <w:rFonts w:ascii="Symbol" w:hAnsi="Symbol" w:hint="default"/>
          <w:sz w:val="48"/>
        </w:rPr>
      </w:lvl>
    </w:lvlOverride>
  </w:num>
  <w:num w:numId="17">
    <w:abstractNumId w:val="19"/>
  </w:num>
  <w:num w:numId="18">
    <w:abstractNumId w:val="6"/>
  </w:num>
  <w:num w:numId="19">
    <w:abstractNumId w:val="12"/>
  </w:num>
  <w:num w:numId="20">
    <w:abstractNumId w:val="1"/>
  </w:num>
  <w:num w:numId="21">
    <w:abstractNumId w:val="5"/>
  </w:num>
  <w:num w:numId="22">
    <w:abstractNumId w:val="4"/>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BF25DE"/>
    <w:rsid w:val="00001CCD"/>
    <w:rsid w:val="00006259"/>
    <w:rsid w:val="000103F6"/>
    <w:rsid w:val="00051A6E"/>
    <w:rsid w:val="000D2D17"/>
    <w:rsid w:val="00123A7E"/>
    <w:rsid w:val="00186F62"/>
    <w:rsid w:val="001A7D3E"/>
    <w:rsid w:val="00231C18"/>
    <w:rsid w:val="0026232C"/>
    <w:rsid w:val="00271F59"/>
    <w:rsid w:val="002E467C"/>
    <w:rsid w:val="002F786B"/>
    <w:rsid w:val="00337042"/>
    <w:rsid w:val="00374726"/>
    <w:rsid w:val="003A5CC3"/>
    <w:rsid w:val="003F37C2"/>
    <w:rsid w:val="004531F6"/>
    <w:rsid w:val="0051543B"/>
    <w:rsid w:val="0058730D"/>
    <w:rsid w:val="005A1B27"/>
    <w:rsid w:val="005D1FBA"/>
    <w:rsid w:val="005F3521"/>
    <w:rsid w:val="00607565"/>
    <w:rsid w:val="006620C3"/>
    <w:rsid w:val="00695225"/>
    <w:rsid w:val="006E0EAA"/>
    <w:rsid w:val="006F565B"/>
    <w:rsid w:val="007A2EBD"/>
    <w:rsid w:val="007C0302"/>
    <w:rsid w:val="008105E4"/>
    <w:rsid w:val="00810AEB"/>
    <w:rsid w:val="00881809"/>
    <w:rsid w:val="0089061E"/>
    <w:rsid w:val="008E1C43"/>
    <w:rsid w:val="008F5BB0"/>
    <w:rsid w:val="00955C9A"/>
    <w:rsid w:val="009643EB"/>
    <w:rsid w:val="009D4F38"/>
    <w:rsid w:val="00AA5C93"/>
    <w:rsid w:val="00B66AEB"/>
    <w:rsid w:val="00BF25DE"/>
    <w:rsid w:val="00C55AE6"/>
    <w:rsid w:val="00C62DAC"/>
    <w:rsid w:val="00C857BB"/>
    <w:rsid w:val="00CA2052"/>
    <w:rsid w:val="00CD5EA9"/>
    <w:rsid w:val="00CE3E3A"/>
    <w:rsid w:val="00D264D7"/>
    <w:rsid w:val="00D83E72"/>
    <w:rsid w:val="00D856FF"/>
    <w:rsid w:val="00D97D61"/>
    <w:rsid w:val="00F149C5"/>
    <w:rsid w:val="00F31336"/>
    <w:rsid w:val="00F506F2"/>
    <w:rsid w:val="00F84CB0"/>
    <w:rsid w:val="00FA4ABF"/>
    <w:rsid w:val="00FB6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5DE"/>
    <w:rPr>
      <w:rFonts w:ascii="Times New Roman" w:hAnsi="Times New Roman"/>
      <w:sz w:val="24"/>
      <w:lang w:val="en-CA"/>
    </w:rPr>
  </w:style>
  <w:style w:type="paragraph" w:styleId="Heading1">
    <w:name w:val="heading 1"/>
    <w:basedOn w:val="Normal"/>
    <w:next w:val="Normal"/>
    <w:link w:val="Heading1Char"/>
    <w:uiPriority w:val="9"/>
    <w:qFormat/>
    <w:rsid w:val="00BF25DE"/>
    <w:pPr>
      <w:keepNext/>
      <w:keepLines/>
      <w:spacing w:before="480" w:after="0"/>
      <w:outlineLvl w:val="0"/>
    </w:pPr>
    <w:rPr>
      <w:rFonts w:eastAsiaTheme="majorEastAsia" w:cstheme="majorBidi"/>
      <w:b/>
      <w:bCs/>
      <w:sz w:val="26"/>
      <w:szCs w:val="28"/>
    </w:rPr>
  </w:style>
  <w:style w:type="paragraph" w:styleId="Heading2">
    <w:name w:val="heading 2"/>
    <w:basedOn w:val="Normal"/>
    <w:next w:val="Normal"/>
    <w:link w:val="Heading2Char"/>
    <w:uiPriority w:val="9"/>
    <w:unhideWhenUsed/>
    <w:qFormat/>
    <w:rsid w:val="00BF25DE"/>
    <w:pPr>
      <w:keepNext/>
      <w:keepLines/>
      <w:spacing w:before="200" w:after="0"/>
      <w:outlineLvl w:val="1"/>
    </w:pPr>
    <w:rPr>
      <w:rFonts w:eastAsiaTheme="majorEastAsia"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5DE"/>
    <w:rPr>
      <w:rFonts w:ascii="Times New Roman" w:eastAsiaTheme="majorEastAsia" w:hAnsi="Times New Roman" w:cstheme="majorBidi"/>
      <w:b/>
      <w:bCs/>
      <w:sz w:val="26"/>
      <w:szCs w:val="28"/>
      <w:lang w:val="en-CA"/>
    </w:rPr>
  </w:style>
  <w:style w:type="character" w:customStyle="1" w:styleId="Heading2Char">
    <w:name w:val="Heading 2 Char"/>
    <w:basedOn w:val="DefaultParagraphFont"/>
    <w:link w:val="Heading2"/>
    <w:uiPriority w:val="9"/>
    <w:rsid w:val="00BF25DE"/>
    <w:rPr>
      <w:rFonts w:ascii="Times New Roman" w:eastAsiaTheme="majorEastAsia" w:hAnsi="Times New Roman" w:cstheme="majorBidi"/>
      <w:b/>
      <w:bCs/>
      <w:color w:val="000000" w:themeColor="text1"/>
      <w:sz w:val="26"/>
      <w:szCs w:val="26"/>
      <w:lang w:val="en-CA"/>
    </w:rPr>
  </w:style>
  <w:style w:type="character" w:styleId="Hyperlink">
    <w:name w:val="Hyperlink"/>
    <w:basedOn w:val="DefaultParagraphFont"/>
    <w:uiPriority w:val="99"/>
    <w:unhideWhenUsed/>
    <w:rsid w:val="00BF25DE"/>
    <w:rPr>
      <w:color w:val="0000FF" w:themeColor="hyperlink"/>
      <w:u w:val="single"/>
    </w:rPr>
  </w:style>
  <w:style w:type="paragraph" w:styleId="ListParagraph">
    <w:name w:val="List Paragraph"/>
    <w:basedOn w:val="Normal"/>
    <w:uiPriority w:val="34"/>
    <w:qFormat/>
    <w:rsid w:val="00BF25DE"/>
    <w:pPr>
      <w:ind w:left="720"/>
      <w:contextualSpacing/>
    </w:pPr>
  </w:style>
  <w:style w:type="table" w:styleId="TableGrid">
    <w:name w:val="Table Grid"/>
    <w:basedOn w:val="TableNormal"/>
    <w:uiPriority w:val="59"/>
    <w:rsid w:val="00BF25DE"/>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F25DE"/>
    <w:pPr>
      <w:spacing w:line="240" w:lineRule="auto"/>
    </w:pPr>
    <w:rPr>
      <w:b/>
      <w:bCs/>
      <w:color w:val="4F81BD" w:themeColor="accent1"/>
      <w:sz w:val="18"/>
      <w:szCs w:val="18"/>
    </w:rPr>
  </w:style>
  <w:style w:type="paragraph" w:customStyle="1" w:styleId="Default">
    <w:name w:val="Default"/>
    <w:rsid w:val="00BF25DE"/>
    <w:pPr>
      <w:autoSpaceDE w:val="0"/>
      <w:autoSpaceDN w:val="0"/>
      <w:adjustRightInd w:val="0"/>
      <w:spacing w:after="0" w:line="240" w:lineRule="auto"/>
    </w:pPr>
    <w:rPr>
      <w:rFonts w:ascii="Calibri" w:hAnsi="Calibri" w:cs="Calibri"/>
      <w:color w:val="000000"/>
      <w:sz w:val="24"/>
      <w:szCs w:val="24"/>
      <w:lang w:val="en-CA"/>
    </w:rPr>
  </w:style>
  <w:style w:type="paragraph" w:styleId="BalloonText">
    <w:name w:val="Balloon Text"/>
    <w:basedOn w:val="Normal"/>
    <w:link w:val="BalloonTextChar"/>
    <w:uiPriority w:val="99"/>
    <w:semiHidden/>
    <w:unhideWhenUsed/>
    <w:rsid w:val="00BF2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5DE"/>
    <w:rPr>
      <w:rFonts w:ascii="Tahoma" w:hAnsi="Tahoma" w:cs="Tahoma"/>
      <w:sz w:val="16"/>
      <w:szCs w:val="16"/>
      <w:lang w:val="en-CA"/>
    </w:rPr>
  </w:style>
  <w:style w:type="table" w:customStyle="1" w:styleId="LightShading1">
    <w:name w:val="Light Shading1"/>
    <w:basedOn w:val="TableNormal"/>
    <w:uiPriority w:val="60"/>
    <w:rsid w:val="00BF25DE"/>
    <w:pPr>
      <w:spacing w:after="0" w:line="240" w:lineRule="auto"/>
    </w:pPr>
    <w:rPr>
      <w:color w:val="000000" w:themeColor="text1" w:themeShade="BF"/>
      <w:lang w:val="en-C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F25DE"/>
    <w:rPr>
      <w:sz w:val="16"/>
      <w:szCs w:val="16"/>
    </w:rPr>
  </w:style>
  <w:style w:type="paragraph" w:styleId="CommentText">
    <w:name w:val="annotation text"/>
    <w:basedOn w:val="Normal"/>
    <w:link w:val="CommentTextChar"/>
    <w:uiPriority w:val="99"/>
    <w:semiHidden/>
    <w:unhideWhenUsed/>
    <w:rsid w:val="00BF25DE"/>
    <w:pPr>
      <w:spacing w:line="240" w:lineRule="auto"/>
    </w:pPr>
    <w:rPr>
      <w:sz w:val="20"/>
      <w:szCs w:val="20"/>
    </w:rPr>
  </w:style>
  <w:style w:type="character" w:customStyle="1" w:styleId="CommentTextChar">
    <w:name w:val="Comment Text Char"/>
    <w:basedOn w:val="DefaultParagraphFont"/>
    <w:link w:val="CommentText"/>
    <w:uiPriority w:val="99"/>
    <w:semiHidden/>
    <w:rsid w:val="00BF25DE"/>
    <w:rPr>
      <w:rFonts w:ascii="Times New Roman" w:hAnsi="Times New Roman"/>
      <w:sz w:val="20"/>
      <w:szCs w:val="20"/>
      <w:lang w:val="en-CA"/>
    </w:rPr>
  </w:style>
  <w:style w:type="paragraph" w:styleId="CommentSubject">
    <w:name w:val="annotation subject"/>
    <w:basedOn w:val="CommentText"/>
    <w:next w:val="CommentText"/>
    <w:link w:val="CommentSubjectChar"/>
    <w:uiPriority w:val="99"/>
    <w:semiHidden/>
    <w:unhideWhenUsed/>
    <w:rsid w:val="00BF25DE"/>
    <w:rPr>
      <w:b/>
      <w:bCs/>
    </w:rPr>
  </w:style>
  <w:style w:type="character" w:customStyle="1" w:styleId="CommentSubjectChar">
    <w:name w:val="Comment Subject Char"/>
    <w:basedOn w:val="CommentTextChar"/>
    <w:link w:val="CommentSubject"/>
    <w:uiPriority w:val="99"/>
    <w:semiHidden/>
    <w:rsid w:val="00BF25DE"/>
    <w:rPr>
      <w:b/>
      <w:bCs/>
    </w:rPr>
  </w:style>
  <w:style w:type="table" w:customStyle="1" w:styleId="LightShading2">
    <w:name w:val="Light Shading2"/>
    <w:basedOn w:val="TableNormal"/>
    <w:uiPriority w:val="60"/>
    <w:rsid w:val="00BF25DE"/>
    <w:pPr>
      <w:spacing w:after="0" w:line="240" w:lineRule="auto"/>
    </w:pPr>
    <w:rPr>
      <w:color w:val="000000" w:themeColor="text1" w:themeShade="BF"/>
      <w:lang w:val="en-C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BF25DE"/>
  </w:style>
  <w:style w:type="paragraph" w:styleId="Header">
    <w:name w:val="header"/>
    <w:basedOn w:val="Normal"/>
    <w:link w:val="HeaderChar"/>
    <w:uiPriority w:val="99"/>
    <w:unhideWhenUsed/>
    <w:rsid w:val="00BF2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5DE"/>
    <w:rPr>
      <w:rFonts w:ascii="Times New Roman" w:hAnsi="Times New Roman"/>
      <w:sz w:val="24"/>
      <w:lang w:val="en-CA"/>
    </w:rPr>
  </w:style>
  <w:style w:type="paragraph" w:styleId="Footer">
    <w:name w:val="footer"/>
    <w:basedOn w:val="Normal"/>
    <w:link w:val="FooterChar"/>
    <w:uiPriority w:val="99"/>
    <w:unhideWhenUsed/>
    <w:rsid w:val="00BF2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5DE"/>
    <w:rPr>
      <w:rFonts w:ascii="Times New Roman" w:hAnsi="Times New Roman"/>
      <w:sz w:val="24"/>
      <w:lang w:val="en-CA"/>
    </w:rPr>
  </w:style>
  <w:style w:type="character" w:customStyle="1" w:styleId="MTEquationSection">
    <w:name w:val="MTEquationSection"/>
    <w:basedOn w:val="DefaultParagraphFont"/>
    <w:rsid w:val="00BF25DE"/>
    <w:rPr>
      <w:b/>
      <w:vanish/>
      <w:color w:val="FF0000"/>
    </w:rPr>
  </w:style>
  <w:style w:type="paragraph" w:customStyle="1" w:styleId="MTDisplayEquation">
    <w:name w:val="MTDisplayEquation"/>
    <w:basedOn w:val="Normal"/>
    <w:next w:val="Normal"/>
    <w:link w:val="MTDisplayEquationChar"/>
    <w:rsid w:val="00BF25DE"/>
    <w:pPr>
      <w:tabs>
        <w:tab w:val="center" w:pos="4680"/>
        <w:tab w:val="right" w:pos="9360"/>
      </w:tabs>
      <w:spacing w:after="0" w:line="480" w:lineRule="auto"/>
      <w:jc w:val="both"/>
    </w:pPr>
    <w:rPr>
      <w:rFonts w:cs="Times New Roman"/>
      <w:szCs w:val="24"/>
    </w:rPr>
  </w:style>
  <w:style w:type="character" w:customStyle="1" w:styleId="MTDisplayEquationChar">
    <w:name w:val="MTDisplayEquation Char"/>
    <w:basedOn w:val="DefaultParagraphFont"/>
    <w:link w:val="MTDisplayEquation"/>
    <w:rsid w:val="00BF25DE"/>
    <w:rPr>
      <w:rFonts w:ascii="Times New Roman" w:hAnsi="Times New Roman" w:cs="Times New Roman"/>
      <w:sz w:val="24"/>
      <w:szCs w:val="24"/>
      <w:lang w:val="en-CA"/>
    </w:rPr>
  </w:style>
  <w:style w:type="paragraph" w:styleId="Revision">
    <w:name w:val="Revision"/>
    <w:hidden/>
    <w:uiPriority w:val="99"/>
    <w:semiHidden/>
    <w:rsid w:val="00BF25DE"/>
    <w:pPr>
      <w:spacing w:after="0" w:line="240" w:lineRule="auto"/>
    </w:pPr>
    <w:rPr>
      <w:rFonts w:ascii="Times New Roman" w:hAnsi="Times New Roman"/>
      <w:sz w:val="24"/>
      <w:lang w:val="en-CA"/>
    </w:rPr>
  </w:style>
  <w:style w:type="table" w:customStyle="1" w:styleId="LightShading3">
    <w:name w:val="Light Shading3"/>
    <w:basedOn w:val="TableNormal"/>
    <w:uiPriority w:val="60"/>
    <w:rsid w:val="00BF25DE"/>
    <w:pPr>
      <w:spacing w:after="0" w:line="240" w:lineRule="auto"/>
    </w:pPr>
    <w:rPr>
      <w:color w:val="000000" w:themeColor="text1" w:themeShade="BF"/>
      <w:lang w:val="en-C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18051547">
      <w:bodyDiv w:val="1"/>
      <w:marLeft w:val="0"/>
      <w:marRight w:val="0"/>
      <w:marTop w:val="0"/>
      <w:marBottom w:val="0"/>
      <w:divBdr>
        <w:top w:val="none" w:sz="0" w:space="0" w:color="auto"/>
        <w:left w:val="none" w:sz="0" w:space="0" w:color="auto"/>
        <w:bottom w:val="none" w:sz="0" w:space="0" w:color="auto"/>
        <w:right w:val="none" w:sz="0" w:space="0" w:color="auto"/>
      </w:divBdr>
    </w:div>
    <w:div w:id="135025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tiff"/><Relationship Id="rId26" Type="http://schemas.openxmlformats.org/officeDocument/2006/relationships/image" Target="media/image16.tiff"/><Relationship Id="rId3" Type="http://schemas.openxmlformats.org/officeDocument/2006/relationships/settings" Target="settings.xml"/><Relationship Id="rId21" Type="http://schemas.openxmlformats.org/officeDocument/2006/relationships/image" Target="media/image11.tiff"/><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4.tiff"/><Relationship Id="rId32" Type="http://schemas.openxmlformats.org/officeDocument/2006/relationships/image" Target="media/image22.tif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3.tiff"/><Relationship Id="rId28" Type="http://schemas.openxmlformats.org/officeDocument/2006/relationships/image" Target="media/image18.tiff"/><Relationship Id="rId10" Type="http://schemas.openxmlformats.org/officeDocument/2006/relationships/oleObject" Target="embeddings/oleObject2.bin"/><Relationship Id="rId19" Type="http://schemas.openxmlformats.org/officeDocument/2006/relationships/image" Target="media/image9.tiff"/><Relationship Id="rId31" Type="http://schemas.openxmlformats.org/officeDocument/2006/relationships/image" Target="media/image21.tif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43</Pages>
  <Words>11863</Words>
  <Characters>67622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Burak</cp:lastModifiedBy>
  <cp:revision>17</cp:revision>
  <dcterms:created xsi:type="dcterms:W3CDTF">2015-07-27T19:20:00Z</dcterms:created>
  <dcterms:modified xsi:type="dcterms:W3CDTF">2015-07-31T00:22:00Z</dcterms:modified>
</cp:coreProperties>
</file>