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136EA" w14:textId="68ADFEEB" w:rsidR="004D0F82" w:rsidRPr="002F2307" w:rsidRDefault="004D0F82">
      <w:bookmarkStart w:id="0" w:name="_GoBack"/>
      <w:bookmarkEnd w:id="0"/>
      <w:r w:rsidRPr="002F2307">
        <w:t>Carleton Uni</w:t>
      </w:r>
      <w:r w:rsidR="00E21613">
        <w:t>versity</w:t>
      </w:r>
      <w:r w:rsidR="00E21613">
        <w:tab/>
      </w:r>
      <w:r w:rsidR="00E21613">
        <w:tab/>
      </w:r>
      <w:r w:rsidR="00E21613">
        <w:tab/>
      </w:r>
      <w:r w:rsidR="00E21613">
        <w:tab/>
      </w:r>
      <w:r w:rsidR="00E21613">
        <w:tab/>
      </w:r>
      <w:r w:rsidR="00E21613">
        <w:tab/>
      </w:r>
      <w:r w:rsidR="00E21613">
        <w:tab/>
      </w:r>
      <w:r w:rsidR="00E21613">
        <w:tab/>
        <w:t xml:space="preserve">        </w:t>
      </w:r>
      <w:r w:rsidR="00A21F58">
        <w:t>Fall 2021</w:t>
      </w:r>
    </w:p>
    <w:p w14:paraId="6654AD1C" w14:textId="77777777" w:rsidR="004D0F82" w:rsidRPr="002F2307" w:rsidRDefault="004D0F82">
      <w:r w:rsidRPr="002F2307">
        <w:t>Kroeger College</w:t>
      </w:r>
    </w:p>
    <w:p w14:paraId="5981FFE9" w14:textId="6A145EA8" w:rsidR="004D0F82" w:rsidRPr="002F2307" w:rsidRDefault="004D0F82" w:rsidP="004D0F82">
      <w:pPr>
        <w:jc w:val="center"/>
        <w:rPr>
          <w:b/>
        </w:rPr>
      </w:pPr>
      <w:r w:rsidRPr="002F2307">
        <w:rPr>
          <w:b/>
        </w:rPr>
        <w:t xml:space="preserve">PAPM </w:t>
      </w:r>
      <w:r w:rsidR="00A21F58">
        <w:rPr>
          <w:b/>
        </w:rPr>
        <w:t>2001</w:t>
      </w:r>
      <w:r w:rsidRPr="002F2307">
        <w:rPr>
          <w:b/>
        </w:rPr>
        <w:t xml:space="preserve"> (A)</w:t>
      </w:r>
    </w:p>
    <w:p w14:paraId="6B436755" w14:textId="2F6E55A8" w:rsidR="004D0F82" w:rsidRPr="002F2307" w:rsidRDefault="00AE27AE" w:rsidP="004D0F82">
      <w:pPr>
        <w:jc w:val="center"/>
      </w:pPr>
      <w:r>
        <w:rPr>
          <w:b/>
        </w:rPr>
        <w:t>Foundations of Public Policy: Political Thought</w:t>
      </w:r>
    </w:p>
    <w:p w14:paraId="161E8574" w14:textId="6A851557" w:rsidR="004D0F82" w:rsidRPr="002F2307" w:rsidRDefault="00CE5436" w:rsidP="00481C06">
      <w:pPr>
        <w:jc w:val="center"/>
      </w:pPr>
      <w:r>
        <w:t xml:space="preserve">Mondays </w:t>
      </w:r>
      <w:r w:rsidR="00481C06">
        <w:t xml:space="preserve">from 2:25PM – 4:25PM on Zoom (link on </w:t>
      </w:r>
      <w:r w:rsidR="00F47A44">
        <w:t>Brightspace</w:t>
      </w:r>
      <w:r w:rsidR="00481C06">
        <w:t>)</w:t>
      </w:r>
    </w:p>
    <w:p w14:paraId="2BF2809E" w14:textId="77777777" w:rsidR="004D0F82" w:rsidRPr="002F2307" w:rsidRDefault="004D0F82" w:rsidP="004D0F82"/>
    <w:p w14:paraId="113D0033" w14:textId="77777777" w:rsidR="004D0F82" w:rsidRPr="002F2307" w:rsidRDefault="004D0F82"/>
    <w:p w14:paraId="06BF630D" w14:textId="48D2AE2F" w:rsidR="004D0F82" w:rsidRPr="002F2307" w:rsidRDefault="00DC089D" w:rsidP="008E7782">
      <w:r>
        <w:t xml:space="preserve">Instructor: </w:t>
      </w:r>
      <w:r w:rsidR="00AF2709">
        <w:t>William Little</w:t>
      </w:r>
    </w:p>
    <w:p w14:paraId="774794CE" w14:textId="40FF0454" w:rsidR="004D0F82" w:rsidRPr="002F2307" w:rsidRDefault="004D0F82">
      <w:r w:rsidRPr="002F2307">
        <w:t>Office Hours:</w:t>
      </w:r>
      <w:r w:rsidR="003F0360">
        <w:t xml:space="preserve"> </w:t>
      </w:r>
      <w:r w:rsidR="007A78EF">
        <w:t>Thursdays</w:t>
      </w:r>
      <w:r w:rsidR="003F0360">
        <w:t xml:space="preserve"> 1</w:t>
      </w:r>
      <w:r w:rsidR="00F80AA6">
        <w:t>2:35-1</w:t>
      </w:r>
      <w:r w:rsidR="003F0360">
        <w:t>:25</w:t>
      </w:r>
      <w:r w:rsidR="00481C06">
        <w:t>PM</w:t>
      </w:r>
      <w:r w:rsidRPr="002F2307">
        <w:t>,</w:t>
      </w:r>
      <w:r w:rsidR="003F0360">
        <w:t xml:space="preserve"> </w:t>
      </w:r>
      <w:r w:rsidR="00F80AA6">
        <w:t>Fridays 10:35-11:25</w:t>
      </w:r>
      <w:r w:rsidR="00481C06">
        <w:t xml:space="preserve">AM </w:t>
      </w:r>
      <w:r w:rsidR="009F2ECE">
        <w:t>via Zoom</w:t>
      </w:r>
      <w:r w:rsidR="00151B83">
        <w:t>, or by appointment</w:t>
      </w:r>
      <w:r w:rsidR="009F2ECE">
        <w:t xml:space="preserve"> (link on </w:t>
      </w:r>
      <w:r w:rsidR="00DD6AEE">
        <w:t>Brightspace</w:t>
      </w:r>
      <w:r w:rsidR="009F2ECE">
        <w:t>)</w:t>
      </w:r>
    </w:p>
    <w:p w14:paraId="655C4D4F" w14:textId="23C0DE0F" w:rsidR="004D0F82" w:rsidRPr="002F2307" w:rsidRDefault="004D0F82" w:rsidP="004D0F82">
      <w:r w:rsidRPr="002F2307">
        <w:t>Email:</w:t>
      </w:r>
      <w:r>
        <w:t xml:space="preserve"> </w:t>
      </w:r>
      <w:r w:rsidR="00AF2709">
        <w:t>will.little@carleton.ca</w:t>
      </w:r>
    </w:p>
    <w:p w14:paraId="210ECEA1" w14:textId="77777777" w:rsidR="004D0F82" w:rsidRPr="002F2307" w:rsidRDefault="004D0F82"/>
    <w:p w14:paraId="5019C4CA" w14:textId="77777777" w:rsidR="004D0F82" w:rsidRDefault="00C57882">
      <w:r>
        <w:rPr>
          <w:noProof/>
        </w:rPr>
        <w:pict w14:anchorId="0B58E423">
          <v:rect id="_x0000_i1025" alt="" style="width:193.75pt;height:.05pt;mso-width-percent:0;mso-height-percent:0;mso-width-percent:0;mso-height-percent:0" o:hrpct="414" o:hralign="center" o:hrstd="t" o:hr="t" fillcolor="#aaa" stroked="f"/>
        </w:pict>
      </w:r>
    </w:p>
    <w:p w14:paraId="079F4C1B" w14:textId="77777777" w:rsidR="004D0F82" w:rsidRDefault="004D0F82"/>
    <w:p w14:paraId="05376FAB" w14:textId="5856704E" w:rsidR="004D0F82" w:rsidRDefault="004D0F82">
      <w:r>
        <w:rPr>
          <w:b/>
          <w:u w:val="single"/>
        </w:rPr>
        <w:t>Course Description</w:t>
      </w:r>
      <w:r>
        <w:rPr>
          <w:b/>
        </w:rPr>
        <w:t>:</w:t>
      </w:r>
      <w:r w:rsidR="009A6888">
        <w:rPr>
          <w:b/>
        </w:rPr>
        <w:br/>
      </w:r>
    </w:p>
    <w:p w14:paraId="6252F091" w14:textId="02E68E81" w:rsidR="009A6888" w:rsidRDefault="00063682" w:rsidP="009A6888">
      <w:pPr>
        <w:ind w:firstLine="720"/>
      </w:pPr>
      <w:r>
        <w:t>L</w:t>
      </w:r>
      <w:r w:rsidR="009A6888">
        <w:t xml:space="preserve">iberalism is </w:t>
      </w:r>
      <w:r w:rsidR="006358E6">
        <w:t xml:space="preserve">understood by many to be the </w:t>
      </w:r>
      <w:r>
        <w:t xml:space="preserve">core </w:t>
      </w:r>
      <w:r w:rsidR="009A6888">
        <w:t>ideology of contemporary politics</w:t>
      </w:r>
      <w:r>
        <w:t xml:space="preserve"> in the West</w:t>
      </w:r>
      <w:r w:rsidR="009A6888">
        <w:t xml:space="preserve">. </w:t>
      </w:r>
      <w:r w:rsidR="009F47C2">
        <w:t>But,</w:t>
      </w:r>
      <w:r w:rsidR="009A6888">
        <w:t xml:space="preserve"> what is liberalism? What are the historical origins of liberalism? What are some of the pressing critiques of liberalism? This course will address these </w:t>
      </w:r>
      <w:r w:rsidR="00EE10DA">
        <w:t>questions</w:t>
      </w:r>
      <w:r w:rsidR="006358E6">
        <w:t xml:space="preserve">. It </w:t>
      </w:r>
      <w:r w:rsidR="00EE10DA">
        <w:t xml:space="preserve">will </w:t>
      </w:r>
      <w:r w:rsidR="009A6888">
        <w:t>also</w:t>
      </w:r>
      <w:r w:rsidR="00EE10DA">
        <w:t xml:space="preserve"> examine</w:t>
      </w:r>
      <w:r w:rsidR="009A6888">
        <w:t>: (i) how liberalism can be entrenched in public</w:t>
      </w:r>
      <w:r w:rsidR="0072741B">
        <w:t xml:space="preserve"> affairs</w:t>
      </w:r>
      <w:r w:rsidR="009A6888">
        <w:t xml:space="preserve"> and the management of public </w:t>
      </w:r>
      <w:r w:rsidR="0072741B">
        <w:t xml:space="preserve">policy </w:t>
      </w:r>
      <w:r w:rsidR="009A6888">
        <w:t xml:space="preserve">and (ii) </w:t>
      </w:r>
      <w:r w:rsidR="009F47C2">
        <w:t xml:space="preserve">whether and in what ways </w:t>
      </w:r>
      <w:r w:rsidR="00E77CA8">
        <w:t xml:space="preserve">the entrenchment of liberal ideals </w:t>
      </w:r>
      <w:r w:rsidR="009333CE">
        <w:t xml:space="preserve">can </w:t>
      </w:r>
      <w:r w:rsidR="009A6888">
        <w:t>lead to the systemic exclusion of certain groups of people such as the poor, people of colour, and women.</w:t>
      </w:r>
    </w:p>
    <w:p w14:paraId="22E3DB72" w14:textId="22B68411" w:rsidR="009A6888" w:rsidRDefault="009A6888" w:rsidP="009A6888">
      <w:r>
        <w:tab/>
        <w:t xml:space="preserve">In the first half of the course, we will look at </w:t>
      </w:r>
      <w:r w:rsidR="0072741B">
        <w:t xml:space="preserve">four </w:t>
      </w:r>
      <w:r>
        <w:t>accounts of liberalism written between 1689</w:t>
      </w:r>
      <w:r w:rsidR="00063682">
        <w:t xml:space="preserve"> and </w:t>
      </w:r>
      <w:r>
        <w:t>19</w:t>
      </w:r>
      <w:r w:rsidR="002C4AF0">
        <w:t>95</w:t>
      </w:r>
      <w:r>
        <w:t>.</w:t>
      </w:r>
      <w:r w:rsidR="00063682">
        <w:t xml:space="preserve"> We will begin by reading </w:t>
      </w:r>
      <w:r>
        <w:t>John Locke and John Stuart Mill,</w:t>
      </w:r>
      <w:r w:rsidR="00063682">
        <w:t xml:space="preserve"> both of whom helped establish </w:t>
      </w:r>
      <w:r w:rsidR="009F47C2">
        <w:t>the foundation</w:t>
      </w:r>
      <w:r w:rsidR="00063682">
        <w:t>s</w:t>
      </w:r>
      <w:r w:rsidR="009F47C2">
        <w:t xml:space="preserve"> of liberalism. Although they might not have recognized themselves as liberals</w:t>
      </w:r>
      <w:r w:rsidR="00063682">
        <w:t>,</w:t>
      </w:r>
      <w:r w:rsidR="008F75CC">
        <w:t xml:space="preserve"> they were vital in constructing Enlightenment ideals of freedom, equality, and self-ownership. </w:t>
      </w:r>
      <w:r w:rsidR="00063682">
        <w:t>After addressing these historical figures, we will turn to</w:t>
      </w:r>
      <w:r w:rsidR="00DD5238">
        <w:t xml:space="preserve"> more contemporary scholarship from </w:t>
      </w:r>
      <w:r>
        <w:t>John Rawls and</w:t>
      </w:r>
      <w:r w:rsidR="00847366">
        <w:t xml:space="preserve"> </w:t>
      </w:r>
      <w:r w:rsidR="00151B83">
        <w:t>Brian Barry</w:t>
      </w:r>
      <w:r w:rsidR="004A6AF6">
        <w:t>, both of whom</w:t>
      </w:r>
      <w:r w:rsidR="00DD5238">
        <w:t xml:space="preserve"> were </w:t>
      </w:r>
      <w:r w:rsidR="0072741B">
        <w:t xml:space="preserve">heavily </w:t>
      </w:r>
      <w:r w:rsidR="00063682">
        <w:t xml:space="preserve">influenced </w:t>
      </w:r>
      <w:r w:rsidR="0072741B">
        <w:t>by Locke and Mill</w:t>
      </w:r>
      <w:r w:rsidR="004A6AF6">
        <w:t xml:space="preserve">. However, they </w:t>
      </w:r>
      <w:r w:rsidR="00063682">
        <w:t>also expanded upon and, at times, transformed their ideas to create</w:t>
      </w:r>
      <w:r w:rsidR="00DD5238">
        <w:t xml:space="preserve"> a </w:t>
      </w:r>
      <w:r w:rsidR="001A1506">
        <w:t xml:space="preserve">liberal </w:t>
      </w:r>
      <w:r w:rsidR="00DD5238">
        <w:t>political theory</w:t>
      </w:r>
      <w:r w:rsidR="001A1506">
        <w:t xml:space="preserve"> fit for the twentieth century</w:t>
      </w:r>
      <w:r w:rsidR="00DD5238">
        <w:t>.</w:t>
      </w:r>
      <w:r w:rsidR="00847366">
        <w:t xml:space="preserve"> </w:t>
      </w:r>
    </w:p>
    <w:p w14:paraId="1A667471" w14:textId="2617F5F2" w:rsidR="009A6888" w:rsidRDefault="009A6888" w:rsidP="009A6888">
      <w:r>
        <w:tab/>
        <w:t>In the second half</w:t>
      </w:r>
      <w:r w:rsidR="0072741B">
        <w:t xml:space="preserve"> of the course</w:t>
      </w:r>
      <w:r>
        <w:t>, we will engage with three critiques of liberalism from feminism</w:t>
      </w:r>
      <w:r w:rsidR="00063682">
        <w:t>,</w:t>
      </w:r>
      <w:r w:rsidR="000E0711">
        <w:t xml:space="preserve"> critical race theory,</w:t>
      </w:r>
      <w:r w:rsidR="00063682">
        <w:t xml:space="preserve"> and egalitarianism. </w:t>
      </w:r>
      <w:r w:rsidR="00847366">
        <w:t xml:space="preserve">These three critiques </w:t>
      </w:r>
      <w:r w:rsidR="00F47A44">
        <w:t>often</w:t>
      </w:r>
      <w:r w:rsidR="00847366">
        <w:t xml:space="preserve"> focus on what they perceive to be the mirage of liberal neutrality</w:t>
      </w:r>
      <w:r w:rsidR="000E0711">
        <w:t xml:space="preserve"> and the dichot</w:t>
      </w:r>
      <w:r w:rsidR="000E0711">
        <w:lastRenderedPageBreak/>
        <w:t>omy of public and private that helps to perpetuate it.</w:t>
      </w:r>
      <w:r w:rsidR="00847366">
        <w:t xml:space="preserve"> </w:t>
      </w:r>
      <w:r w:rsidR="00151B83">
        <w:t>To</w:t>
      </w:r>
      <w:r>
        <w:t xml:space="preserve"> understand how </w:t>
      </w:r>
      <w:r w:rsidR="009F47C2">
        <w:t xml:space="preserve">these </w:t>
      </w:r>
      <w:r>
        <w:t>theor</w:t>
      </w:r>
      <w:r w:rsidR="009F47C2">
        <w:t xml:space="preserve">ies </w:t>
      </w:r>
      <w:r>
        <w:t>can be deployed in practice</w:t>
      </w:r>
      <w:r w:rsidR="00F47A44">
        <w:t xml:space="preserve"> </w:t>
      </w:r>
      <w:r>
        <w:t xml:space="preserve">we will also examine how </w:t>
      </w:r>
      <w:r w:rsidR="009F47C2">
        <w:t>t</w:t>
      </w:r>
      <w:r w:rsidR="008F75CC">
        <w:t xml:space="preserve">hese critiques are </w:t>
      </w:r>
      <w:r>
        <w:t xml:space="preserve">applied in </w:t>
      </w:r>
      <w:r w:rsidR="009F47C2">
        <w:t xml:space="preserve">the realm of </w:t>
      </w:r>
      <w:r>
        <w:t>public affairs</w:t>
      </w:r>
      <w:r w:rsidR="0072741B">
        <w:t xml:space="preserve"> and the management of public policy</w:t>
      </w:r>
      <w:r>
        <w:t>.</w:t>
      </w:r>
    </w:p>
    <w:p w14:paraId="1A005329" w14:textId="19831075" w:rsidR="009F2ECE" w:rsidRDefault="009F2ECE" w:rsidP="009A6888"/>
    <w:p w14:paraId="541B13B2" w14:textId="48445003" w:rsidR="009F2ECE" w:rsidRPr="00BC756A" w:rsidRDefault="009F2ECE" w:rsidP="009A6888">
      <w:pPr>
        <w:rPr>
          <w:b/>
          <w:bCs/>
          <w:u w:val="single"/>
        </w:rPr>
      </w:pPr>
      <w:r w:rsidRPr="00BC756A">
        <w:rPr>
          <w:b/>
          <w:bCs/>
          <w:u w:val="single"/>
        </w:rPr>
        <w:t xml:space="preserve">Learning Objectives: </w:t>
      </w:r>
    </w:p>
    <w:p w14:paraId="7FBE6804" w14:textId="46A954FE" w:rsidR="00BC756A" w:rsidRDefault="00BC756A" w:rsidP="009A6888">
      <w:pPr>
        <w:rPr>
          <w:b/>
          <w:bCs/>
        </w:rPr>
      </w:pPr>
    </w:p>
    <w:p w14:paraId="692E71B5" w14:textId="1EE73043" w:rsidR="00BC756A" w:rsidRDefault="00BC756A" w:rsidP="009A6888">
      <w:r>
        <w:t xml:space="preserve">This course is designed to help students: </w:t>
      </w:r>
    </w:p>
    <w:p w14:paraId="6B971C72" w14:textId="1F2B25E5" w:rsidR="00BC756A" w:rsidRDefault="00BC756A" w:rsidP="009A6888"/>
    <w:p w14:paraId="55598BFF" w14:textId="1F51E959" w:rsidR="00BC756A" w:rsidRDefault="00BC756A" w:rsidP="00BC756A">
      <w:pPr>
        <w:pStyle w:val="ListParagraph"/>
        <w:numPr>
          <w:ilvl w:val="0"/>
          <w:numId w:val="8"/>
        </w:numPr>
      </w:pPr>
      <w:r>
        <w:t>Gain an understanding of the historical foundation</w:t>
      </w:r>
      <w:r w:rsidR="009F47C2">
        <w:t>s</w:t>
      </w:r>
      <w:r>
        <w:t xml:space="preserve"> of liberalism </w:t>
      </w:r>
    </w:p>
    <w:p w14:paraId="1D4DE44C" w14:textId="4B63A92C" w:rsidR="00BC756A" w:rsidRDefault="00BC756A" w:rsidP="00BC756A">
      <w:pPr>
        <w:pStyle w:val="ListParagraph"/>
        <w:numPr>
          <w:ilvl w:val="0"/>
          <w:numId w:val="8"/>
        </w:numPr>
      </w:pPr>
      <w:r>
        <w:t xml:space="preserve">Provide an account of the key political concepts of liberalism such as equality, freedom, and self-ownership </w:t>
      </w:r>
    </w:p>
    <w:p w14:paraId="40739736" w14:textId="1168629C" w:rsidR="00BC756A" w:rsidRDefault="00BC756A" w:rsidP="00BC756A">
      <w:pPr>
        <w:pStyle w:val="ListParagraph"/>
        <w:numPr>
          <w:ilvl w:val="0"/>
          <w:numId w:val="8"/>
        </w:numPr>
      </w:pPr>
      <w:r>
        <w:t>Recognize the key critiques of liberalism</w:t>
      </w:r>
      <w:r w:rsidR="00063682">
        <w:t xml:space="preserve"> grounded in ideas of</w:t>
      </w:r>
      <w:r w:rsidR="005544B3">
        <w:t xml:space="preserve"> poverty, </w:t>
      </w:r>
      <w:r w:rsidR="00063682">
        <w:t xml:space="preserve">race, and </w:t>
      </w:r>
      <w:r w:rsidR="005544B3">
        <w:t>gender</w:t>
      </w:r>
    </w:p>
    <w:p w14:paraId="74321B11" w14:textId="2471C7FC" w:rsidR="00BC756A" w:rsidRDefault="00BC756A" w:rsidP="00BC756A">
      <w:pPr>
        <w:pStyle w:val="ListParagraph"/>
        <w:numPr>
          <w:ilvl w:val="0"/>
          <w:numId w:val="8"/>
        </w:numPr>
      </w:pPr>
      <w:r>
        <w:t>Connect the theories of liberalism as well as their critiques to the practical business of public policy and the management of public affairs</w:t>
      </w:r>
    </w:p>
    <w:p w14:paraId="71EF3BBB" w14:textId="3C11E16B" w:rsidR="00BC756A" w:rsidRPr="00BC756A" w:rsidRDefault="00BC756A" w:rsidP="00BC756A">
      <w:pPr>
        <w:pStyle w:val="ListParagraph"/>
        <w:numPr>
          <w:ilvl w:val="0"/>
          <w:numId w:val="8"/>
        </w:numPr>
      </w:pPr>
      <w:r>
        <w:t>Develop skills in analytical thinking, critical reading</w:t>
      </w:r>
      <w:r w:rsidR="009F47C2">
        <w:t>,</w:t>
      </w:r>
      <w:r>
        <w:t xml:space="preserve"> and constructing arguments </w:t>
      </w:r>
    </w:p>
    <w:p w14:paraId="5F6D61F4" w14:textId="73F27E95" w:rsidR="009F2ECE" w:rsidRDefault="009F2ECE"/>
    <w:p w14:paraId="60F5EE58" w14:textId="77777777" w:rsidR="004D0F82" w:rsidRPr="002F2307" w:rsidRDefault="004D0F82">
      <w:r w:rsidRPr="002F2307">
        <w:rPr>
          <w:b/>
          <w:u w:val="single"/>
        </w:rPr>
        <w:t>Required Texts</w:t>
      </w:r>
      <w:r w:rsidRPr="002F2307">
        <w:rPr>
          <w:b/>
        </w:rPr>
        <w:t>:</w:t>
      </w:r>
    </w:p>
    <w:p w14:paraId="55C580B5" w14:textId="77777777" w:rsidR="004D0F82" w:rsidRPr="002F2307" w:rsidRDefault="004D0F82"/>
    <w:p w14:paraId="273CE592" w14:textId="745B50CD" w:rsidR="00BC756A" w:rsidRPr="002F6E2B" w:rsidRDefault="00BC756A">
      <w:r>
        <w:t xml:space="preserve">All texts are available through </w:t>
      </w:r>
      <w:r w:rsidR="00F47A44">
        <w:t>Brightspace</w:t>
      </w:r>
      <w:r>
        <w:t xml:space="preserve"> at no cost to you. If you would like to purchase a physical copy of any of the texts, many of them can be found on</w:t>
      </w:r>
      <w:r w:rsidR="00F0010B">
        <w:t>line</w:t>
      </w:r>
      <w:r>
        <w:t xml:space="preserve"> or</w:t>
      </w:r>
      <w:r w:rsidR="00F0010B">
        <w:t xml:space="preserve"> through</w:t>
      </w:r>
      <w:r>
        <w:t xml:space="preserve"> your local bookstore. </w:t>
      </w:r>
    </w:p>
    <w:p w14:paraId="65D98F9D" w14:textId="77777777" w:rsidR="002F6E2B" w:rsidRDefault="002F6E2B">
      <w:pPr>
        <w:rPr>
          <w:b/>
          <w:u w:val="single"/>
        </w:rPr>
      </w:pPr>
    </w:p>
    <w:p w14:paraId="666768DA" w14:textId="750DF4EF" w:rsidR="004D0F82" w:rsidRPr="00921E51" w:rsidRDefault="00DD6AEE">
      <w:pPr>
        <w:rPr>
          <w:u w:val="single"/>
        </w:rPr>
      </w:pPr>
      <w:r w:rsidRPr="00921E51">
        <w:rPr>
          <w:b/>
          <w:u w:val="single"/>
        </w:rPr>
        <w:t>Brightspace</w:t>
      </w:r>
      <w:r w:rsidR="004D0F82" w:rsidRPr="00921E51">
        <w:rPr>
          <w:b/>
          <w:u w:val="single"/>
        </w:rPr>
        <w:t>:</w:t>
      </w:r>
    </w:p>
    <w:p w14:paraId="282E65D6" w14:textId="77777777" w:rsidR="004D0F82" w:rsidRPr="001C1365" w:rsidRDefault="004D0F82"/>
    <w:p w14:paraId="17059923" w14:textId="482A0747" w:rsidR="004D0F82" w:rsidRPr="001C1365" w:rsidRDefault="00A97439">
      <w:r>
        <w:t xml:space="preserve">The </w:t>
      </w:r>
      <w:r w:rsidR="00AA2717">
        <w:t xml:space="preserve">online </w:t>
      </w:r>
      <w:r>
        <w:t xml:space="preserve">lectures for this course will only be accessible through </w:t>
      </w:r>
      <w:r w:rsidR="00F47A44">
        <w:t>Brightspace</w:t>
      </w:r>
      <w:r>
        <w:t xml:space="preserve">. </w:t>
      </w:r>
      <w:r w:rsidR="004D0F82" w:rsidRPr="001C1365">
        <w:t>Important course announcements and course materials (syllabus, discussion questions for tutorials, essay qu</w:t>
      </w:r>
      <w:r w:rsidR="005B292A">
        <w:t>estions</w:t>
      </w:r>
      <w:r w:rsidR="002B64B4">
        <w:t>, readings</w:t>
      </w:r>
      <w:r w:rsidR="005B292A">
        <w:t xml:space="preserve">) will </w:t>
      </w:r>
      <w:r>
        <w:t xml:space="preserve">also </w:t>
      </w:r>
      <w:r w:rsidR="005B292A">
        <w:t xml:space="preserve">be posted on </w:t>
      </w:r>
      <w:r w:rsidR="00F47A44">
        <w:t>Brightspace</w:t>
      </w:r>
      <w:r w:rsidR="004D0F82" w:rsidRPr="001C1365">
        <w:t xml:space="preserve">. Please ensure that you have access to </w:t>
      </w:r>
      <w:r w:rsidR="00F47A44">
        <w:t>Brightspace</w:t>
      </w:r>
      <w:r w:rsidR="004D0F82" w:rsidRPr="001C1365">
        <w:t xml:space="preserve"> and consult it regularly.</w:t>
      </w:r>
    </w:p>
    <w:p w14:paraId="4CD097C0" w14:textId="77777777" w:rsidR="004D0F82" w:rsidRPr="002F2307" w:rsidRDefault="004D0F82"/>
    <w:p w14:paraId="795A77E3" w14:textId="77777777" w:rsidR="004D0F82" w:rsidRPr="002F2307" w:rsidRDefault="004D0F82">
      <w:r w:rsidRPr="00290499">
        <w:rPr>
          <w:b/>
          <w:u w:val="single"/>
        </w:rPr>
        <w:t>Course</w:t>
      </w:r>
      <w:r w:rsidRPr="002F2307">
        <w:rPr>
          <w:b/>
          <w:u w:val="single"/>
        </w:rPr>
        <w:t xml:space="preserve"> Requirements and Grading Scheme</w:t>
      </w:r>
      <w:r w:rsidRPr="002F2307">
        <w:rPr>
          <w:b/>
        </w:rPr>
        <w:t>:</w:t>
      </w:r>
    </w:p>
    <w:p w14:paraId="1EB6492F" w14:textId="77777777" w:rsidR="004D0F82" w:rsidRPr="002F2307" w:rsidRDefault="004D0F82"/>
    <w:p w14:paraId="52226485" w14:textId="363D5768" w:rsidR="004D0F82" w:rsidRDefault="004D0F82" w:rsidP="003338FB">
      <w:pPr>
        <w:numPr>
          <w:ilvl w:val="0"/>
          <w:numId w:val="2"/>
        </w:numPr>
        <w:tabs>
          <w:tab w:val="clear" w:pos="2160"/>
        </w:tabs>
        <w:ind w:left="1418"/>
      </w:pPr>
      <w:r w:rsidRPr="002F2307">
        <w:t>Tutorial Participation</w:t>
      </w:r>
      <w:r w:rsidRPr="002F2307">
        <w:tab/>
      </w:r>
      <w:r w:rsidRPr="002F2307">
        <w:tab/>
        <w:t>10%</w:t>
      </w:r>
    </w:p>
    <w:p w14:paraId="0C7710FF" w14:textId="65BF9C69" w:rsidR="004D0F82" w:rsidRPr="002F2307" w:rsidRDefault="004D0F82" w:rsidP="003338FB">
      <w:pPr>
        <w:numPr>
          <w:ilvl w:val="0"/>
          <w:numId w:val="2"/>
        </w:numPr>
        <w:tabs>
          <w:tab w:val="clear" w:pos="2160"/>
        </w:tabs>
        <w:ind w:left="1418"/>
      </w:pPr>
      <w:r w:rsidRPr="002F2307">
        <w:t>Essay #1</w:t>
      </w:r>
      <w:r w:rsidRPr="002F2307">
        <w:tab/>
      </w:r>
      <w:r w:rsidRPr="002F2307">
        <w:tab/>
      </w:r>
      <w:r w:rsidRPr="002F2307">
        <w:tab/>
        <w:t xml:space="preserve">25% </w:t>
      </w:r>
      <w:r w:rsidRPr="002F2307">
        <w:rPr>
          <w:b/>
        </w:rPr>
        <w:t>(Due</w:t>
      </w:r>
      <w:r w:rsidR="00237F1E">
        <w:rPr>
          <w:b/>
        </w:rPr>
        <w:t xml:space="preserve"> </w:t>
      </w:r>
      <w:r w:rsidR="00F6011C">
        <w:rPr>
          <w:b/>
        </w:rPr>
        <w:t>Oc</w:t>
      </w:r>
      <w:r w:rsidR="00414E21">
        <w:rPr>
          <w:b/>
        </w:rPr>
        <w:t>t 24</w:t>
      </w:r>
      <w:r w:rsidRPr="002F2307">
        <w:rPr>
          <w:b/>
        </w:rPr>
        <w:t>)</w:t>
      </w:r>
    </w:p>
    <w:p w14:paraId="4ED3AF79" w14:textId="4D0A6E95" w:rsidR="004D0F82" w:rsidRPr="002F2307" w:rsidRDefault="004D0F82" w:rsidP="003338FB">
      <w:pPr>
        <w:numPr>
          <w:ilvl w:val="0"/>
          <w:numId w:val="2"/>
        </w:numPr>
        <w:tabs>
          <w:tab w:val="clear" w:pos="2160"/>
        </w:tabs>
        <w:ind w:left="1418"/>
      </w:pPr>
      <w:r w:rsidRPr="002F2307">
        <w:t>Essay #2</w:t>
      </w:r>
      <w:r w:rsidRPr="002F2307">
        <w:tab/>
      </w:r>
      <w:r w:rsidRPr="002F2307">
        <w:tab/>
      </w:r>
      <w:r w:rsidRPr="002F2307">
        <w:tab/>
        <w:t xml:space="preserve">25% </w:t>
      </w:r>
      <w:r w:rsidRPr="002F2307">
        <w:rPr>
          <w:b/>
        </w:rPr>
        <w:t>(Due</w:t>
      </w:r>
      <w:r w:rsidR="00242E7B">
        <w:rPr>
          <w:b/>
        </w:rPr>
        <w:t xml:space="preserve"> </w:t>
      </w:r>
      <w:r w:rsidR="00EA42D9">
        <w:rPr>
          <w:b/>
        </w:rPr>
        <w:t>Nov.</w:t>
      </w:r>
      <w:r w:rsidR="00910F47">
        <w:rPr>
          <w:b/>
        </w:rPr>
        <w:t xml:space="preserve"> </w:t>
      </w:r>
      <w:r w:rsidR="00EA42D9">
        <w:rPr>
          <w:b/>
        </w:rPr>
        <w:t>2</w:t>
      </w:r>
      <w:r w:rsidR="00414E21">
        <w:rPr>
          <w:b/>
        </w:rPr>
        <w:t>8</w:t>
      </w:r>
      <w:r w:rsidR="00EA42D9">
        <w:rPr>
          <w:b/>
        </w:rPr>
        <w:t>)</w:t>
      </w:r>
    </w:p>
    <w:p w14:paraId="29FF8E93" w14:textId="681BC2E4" w:rsidR="004D0F82" w:rsidRPr="002F2307" w:rsidRDefault="008F701D" w:rsidP="003338FB">
      <w:pPr>
        <w:numPr>
          <w:ilvl w:val="0"/>
          <w:numId w:val="2"/>
        </w:numPr>
        <w:tabs>
          <w:tab w:val="clear" w:pos="2160"/>
        </w:tabs>
        <w:ind w:left="1418"/>
      </w:pPr>
      <w:r>
        <w:t xml:space="preserve">Take Home Exam </w:t>
      </w:r>
      <w:r>
        <w:tab/>
      </w:r>
      <w:r w:rsidR="004D0F82" w:rsidRPr="002F2307">
        <w:tab/>
      </w:r>
      <w:r w:rsidR="00BB50E6">
        <w:t>40</w:t>
      </w:r>
      <w:r w:rsidR="004D0F82" w:rsidRPr="002F2307">
        <w:t>%</w:t>
      </w:r>
    </w:p>
    <w:p w14:paraId="4C0D5A2B" w14:textId="77777777" w:rsidR="004D0F82" w:rsidRPr="002F2307" w:rsidRDefault="004D0F82"/>
    <w:p w14:paraId="37490960" w14:textId="6E90D85B" w:rsidR="004D0F82" w:rsidRPr="002F2307" w:rsidRDefault="004D0F82">
      <w:pPr>
        <w:rPr>
          <w:b/>
          <w:u w:val="single"/>
        </w:rPr>
      </w:pPr>
      <w:r w:rsidRPr="002F2307">
        <w:rPr>
          <w:b/>
          <w:u w:val="single"/>
        </w:rPr>
        <w:t>Tutorial Participation</w:t>
      </w:r>
    </w:p>
    <w:p w14:paraId="07F974FB" w14:textId="77777777" w:rsidR="001812FD" w:rsidRDefault="001812FD"/>
    <w:p w14:paraId="30645F52" w14:textId="49239ED7" w:rsidR="002A3F9B" w:rsidRDefault="002A3F9B">
      <w:r>
        <w:t xml:space="preserve">Tutorials will begin on Monday, September </w:t>
      </w:r>
      <w:r w:rsidR="008F701D">
        <w:t xml:space="preserve">20 and will be </w:t>
      </w:r>
      <w:r w:rsidR="00001F9F">
        <w:t xml:space="preserve">both </w:t>
      </w:r>
      <w:r w:rsidR="008F701D">
        <w:t>in-person</w:t>
      </w:r>
      <w:r w:rsidR="00001F9F">
        <w:t xml:space="preserve"> and online</w:t>
      </w:r>
      <w:r w:rsidR="008F701D">
        <w:t>.</w:t>
      </w:r>
      <w:r w:rsidR="00BC756A">
        <w:t xml:space="preserve"> Please consult Carleton Central for </w:t>
      </w:r>
      <w:r w:rsidR="00001F9F">
        <w:t xml:space="preserve">information on your </w:t>
      </w:r>
      <w:r w:rsidR="00BC756A">
        <w:t>tutorial</w:t>
      </w:r>
      <w:r w:rsidR="001D2FAD">
        <w:t>.</w:t>
      </w:r>
    </w:p>
    <w:p w14:paraId="15A994F3" w14:textId="77777777" w:rsidR="002A3F9B" w:rsidRDefault="002A3F9B"/>
    <w:p w14:paraId="08097124" w14:textId="4A3E50B9" w:rsidR="004D0F82" w:rsidRPr="002F2307" w:rsidRDefault="004D0F82">
      <w:r w:rsidRPr="002F2307">
        <w:t>Tutorial participation is an integral component of this course. Students will have the opportunity to ask questions of their TA, engage critically with the course readings and, through discourse with their fellow students, develop better and more nuanced understandings of the ideas and debates that we will be covering in the course.</w:t>
      </w:r>
    </w:p>
    <w:p w14:paraId="6D462F24" w14:textId="77777777" w:rsidR="004D0F82" w:rsidRPr="002F2307" w:rsidRDefault="004D0F82"/>
    <w:p w14:paraId="388B79B4" w14:textId="77777777" w:rsidR="004D0F82" w:rsidRPr="002F2307" w:rsidRDefault="004D0F82">
      <w:r w:rsidRPr="002F2307">
        <w:t xml:space="preserve">Each student’s tutorial participation grade (worth 10% of the </w:t>
      </w:r>
      <w:r w:rsidR="00D46F7C">
        <w:t>fall term</w:t>
      </w:r>
      <w:r w:rsidRPr="002F2307">
        <w:t xml:space="preserve"> grade) will be based on the quality (not necessarily the quantity) of his or her participation in the tutorial discussions. In order to earn a top grade for participation, a student must contribute positively to the learning atmosphere of his or her tutorial group. Among other requirements, this entails regular attendance, participation that is respectful of other students and the TA, and demonstration that the student has done the week’s reading, thought critically about it in advance of the tutorial session, and arrived prepared to pose questions and critically discuss the reading with his or her fellow students.</w:t>
      </w:r>
    </w:p>
    <w:p w14:paraId="59C8D185" w14:textId="77777777" w:rsidR="004D0F82" w:rsidRPr="002F2307" w:rsidRDefault="004D0F82"/>
    <w:p w14:paraId="081AC113" w14:textId="77777777" w:rsidR="004D0F82" w:rsidRPr="002F2307" w:rsidRDefault="004D0F82">
      <w:pPr>
        <w:rPr>
          <w:b/>
          <w:u w:val="single"/>
        </w:rPr>
      </w:pPr>
      <w:r w:rsidRPr="002F2307">
        <w:rPr>
          <w:b/>
          <w:u w:val="single"/>
        </w:rPr>
        <w:t>Essays</w:t>
      </w:r>
    </w:p>
    <w:p w14:paraId="056D9CA5" w14:textId="77777777" w:rsidR="004D0F82" w:rsidRPr="002F2307" w:rsidRDefault="004D0F82"/>
    <w:p w14:paraId="591F15E5" w14:textId="77777777" w:rsidR="004D0F82" w:rsidRPr="002F2307" w:rsidRDefault="004D0F82">
      <w:r w:rsidRPr="002F2307">
        <w:t xml:space="preserve">Each student will be required to submit two short essays during the term. The essays will be comparative in nature and will each count for 25% of the student’s </w:t>
      </w:r>
      <w:r w:rsidR="00137807">
        <w:t>fall term</w:t>
      </w:r>
      <w:r w:rsidRPr="002F2307">
        <w:t xml:space="preserve"> grade. Each essay will be subject to an upper limit of 5 double-spaced pages in length (12 point font, margins of at least ¾ inch). </w:t>
      </w:r>
    </w:p>
    <w:p w14:paraId="1897D5A0" w14:textId="77777777" w:rsidR="004D0F82" w:rsidRPr="002F2307" w:rsidRDefault="004D0F82"/>
    <w:p w14:paraId="13EB1007" w14:textId="31E6F601" w:rsidR="004D0F82" w:rsidRPr="002F2307" w:rsidRDefault="004D0F82">
      <w:r w:rsidRPr="002F2307">
        <w:t xml:space="preserve">The first essay will address a question related to the thought of Locke and </w:t>
      </w:r>
      <w:r w:rsidR="00F36BD8">
        <w:t>Mill</w:t>
      </w:r>
      <w:r w:rsidRPr="002F2307">
        <w:t xml:space="preserve">. The second will address </w:t>
      </w:r>
      <w:r w:rsidR="008F701D">
        <w:t>a question related to contemporary critiques of liberalism</w:t>
      </w:r>
      <w:r w:rsidR="00A97439">
        <w:t xml:space="preserve"> and how those critiques have been put into practice in the realm of public policy and the managements of public affairs</w:t>
      </w:r>
      <w:r w:rsidR="00F902AD">
        <w:t xml:space="preserve">. </w:t>
      </w:r>
      <w:r w:rsidRPr="002F2307">
        <w:t>Students will be given a choice of questions for each essay. The essay questions will be posted on</w:t>
      </w:r>
      <w:r w:rsidR="004E78BE">
        <w:t xml:space="preserve"> Brightspace.</w:t>
      </w:r>
      <w:r w:rsidRPr="002F2307">
        <w:t xml:space="preserve"> </w:t>
      </w:r>
    </w:p>
    <w:p w14:paraId="3BD29929" w14:textId="77777777" w:rsidR="004D0F82" w:rsidRPr="002F2307" w:rsidRDefault="004D0F82"/>
    <w:p w14:paraId="194A91B7" w14:textId="4C27D64F" w:rsidR="004D0F82" w:rsidRPr="002F2307" w:rsidRDefault="004D0F82">
      <w:r w:rsidRPr="002F2307">
        <w:t xml:space="preserve">The first essay will be due </w:t>
      </w:r>
      <w:r w:rsidR="00910F47">
        <w:t>at 11:59PM on</w:t>
      </w:r>
      <w:r w:rsidR="00A70F17">
        <w:t xml:space="preserve"> </w:t>
      </w:r>
      <w:r w:rsidR="008F701D">
        <w:rPr>
          <w:b/>
        </w:rPr>
        <w:t>OCTOBER</w:t>
      </w:r>
      <w:r w:rsidR="00910F47">
        <w:rPr>
          <w:b/>
        </w:rPr>
        <w:t xml:space="preserve"> 3rd</w:t>
      </w:r>
      <w:r w:rsidRPr="002F2307">
        <w:t>. The second essay will be due</w:t>
      </w:r>
      <w:r w:rsidR="00910F47">
        <w:t xml:space="preserve"> at 11:59 on</w:t>
      </w:r>
      <w:r w:rsidRPr="002F2307">
        <w:t xml:space="preserve"> </w:t>
      </w:r>
      <w:r w:rsidR="004807AA">
        <w:rPr>
          <w:b/>
        </w:rPr>
        <w:t>NOVEMBER 29</w:t>
      </w:r>
      <w:r w:rsidR="00910F47">
        <w:rPr>
          <w:b/>
        </w:rPr>
        <w:t>th</w:t>
      </w:r>
      <w:r w:rsidRPr="002F2307">
        <w:t xml:space="preserve">. Students </w:t>
      </w:r>
      <w:r w:rsidR="00A70F17">
        <w:t xml:space="preserve">will be able to submit their essays through </w:t>
      </w:r>
      <w:r w:rsidR="00DD6AEE">
        <w:t>Brightspace.</w:t>
      </w:r>
      <w:r w:rsidR="00A70F17">
        <w:t xml:space="preserve"> </w:t>
      </w:r>
    </w:p>
    <w:p w14:paraId="52F488CC" w14:textId="77777777" w:rsidR="004D0F82" w:rsidRPr="00290499" w:rsidRDefault="004D0F82">
      <w:pPr>
        <w:rPr>
          <w:rFonts w:ascii="TimesNewRomanPSMT" w:hAnsi="TimesNewRomanPSMT"/>
        </w:rPr>
      </w:pPr>
    </w:p>
    <w:p w14:paraId="0A30D839" w14:textId="77777777" w:rsidR="004D0F82" w:rsidRPr="00290499" w:rsidRDefault="004D0F82">
      <w:pPr>
        <w:rPr>
          <w:rFonts w:ascii="TimesNewRomanPSMT" w:hAnsi="TimesNewRomanPSMT"/>
        </w:rPr>
      </w:pPr>
      <w:r w:rsidRPr="00290499">
        <w:rPr>
          <w:rFonts w:ascii="TimesNewRomanPSMT" w:hAnsi="TimesNewRomanPSMT"/>
          <w:b/>
          <w:u w:val="single"/>
        </w:rPr>
        <w:lastRenderedPageBreak/>
        <w:t>Late Penalties</w:t>
      </w:r>
      <w:r w:rsidRPr="00290499">
        <w:rPr>
          <w:rFonts w:ascii="TimesNewRomanPSMT" w:hAnsi="TimesNewRomanPSMT"/>
          <w:b/>
        </w:rPr>
        <w:t>:</w:t>
      </w:r>
    </w:p>
    <w:p w14:paraId="0EE3BB95" w14:textId="77777777" w:rsidR="004D0F82" w:rsidRPr="00290499" w:rsidRDefault="004D0F82">
      <w:pPr>
        <w:rPr>
          <w:rFonts w:ascii="TimesNewRomanPSMT" w:hAnsi="TimesNewRomanPSMT"/>
        </w:rPr>
      </w:pPr>
    </w:p>
    <w:p w14:paraId="519FF16F" w14:textId="392D2050" w:rsidR="004D0F82" w:rsidRPr="00290499" w:rsidRDefault="004D0F82" w:rsidP="004D0F82">
      <w:pPr>
        <w:widowControl w:val="0"/>
        <w:autoSpaceDE w:val="0"/>
        <w:autoSpaceDN w:val="0"/>
        <w:adjustRightInd w:val="0"/>
        <w:rPr>
          <w:rFonts w:ascii="TimesNewRomanPSMT" w:hAnsi="TimesNewRomanPSMT"/>
        </w:rPr>
      </w:pPr>
      <w:r w:rsidRPr="00290499">
        <w:rPr>
          <w:rFonts w:ascii="TimesNewRomanPSMT" w:hAnsi="TimesNewRomanPSMT"/>
        </w:rPr>
        <w:t>Essays submitted after the due date will be subject to a penalty of</w:t>
      </w:r>
      <w:r w:rsidR="00A70F17">
        <w:rPr>
          <w:rFonts w:ascii="TimesNewRomanPSMT" w:hAnsi="TimesNewRomanPSMT"/>
        </w:rPr>
        <w:t xml:space="preserve"> </w:t>
      </w:r>
      <w:r w:rsidR="008F701D">
        <w:rPr>
          <w:rFonts w:ascii="TimesNewRomanPSMT" w:hAnsi="TimesNewRomanPSMT"/>
        </w:rPr>
        <w:t>3</w:t>
      </w:r>
      <w:r w:rsidRPr="00290499">
        <w:rPr>
          <w:rFonts w:ascii="TimesNewRomanPSMT" w:hAnsi="TimesNewRomanPSMT"/>
        </w:rPr>
        <w:t>% per day (</w:t>
      </w:r>
      <w:r w:rsidR="004807AA" w:rsidRPr="004807AA">
        <w:rPr>
          <w:rFonts w:ascii="TimesNewRomanPSMT" w:hAnsi="TimesNewRomanPSMT"/>
        </w:rPr>
        <w:t>weekends count as one day</w:t>
      </w:r>
      <w:r w:rsidRPr="00290499">
        <w:rPr>
          <w:rFonts w:ascii="TimesNewRomanPSMT" w:hAnsi="TimesNewRomanPSMT"/>
        </w:rPr>
        <w:t xml:space="preserve">). </w:t>
      </w:r>
    </w:p>
    <w:p w14:paraId="7FFE12E6" w14:textId="77777777" w:rsidR="004D0F82" w:rsidRPr="00290499" w:rsidRDefault="004D0F82" w:rsidP="004D0F82">
      <w:pPr>
        <w:widowControl w:val="0"/>
        <w:autoSpaceDE w:val="0"/>
        <w:autoSpaceDN w:val="0"/>
        <w:adjustRightInd w:val="0"/>
        <w:rPr>
          <w:rFonts w:ascii="TimesNewRomanPSMT" w:hAnsi="TimesNewRomanPSMT"/>
        </w:rPr>
      </w:pPr>
    </w:p>
    <w:p w14:paraId="5128111E" w14:textId="77777777" w:rsidR="004D0F82" w:rsidRPr="00290499" w:rsidRDefault="004D0F82" w:rsidP="004D0F82">
      <w:pPr>
        <w:widowControl w:val="0"/>
        <w:autoSpaceDE w:val="0"/>
        <w:autoSpaceDN w:val="0"/>
        <w:adjustRightInd w:val="0"/>
        <w:rPr>
          <w:rFonts w:ascii="TimesNewRomanPSMT" w:hAnsi="TimesNewRomanPSMT"/>
        </w:rPr>
      </w:pPr>
      <w:r w:rsidRPr="00290499">
        <w:rPr>
          <w:rFonts w:ascii="TimesNewRomanPSMT" w:hAnsi="TimesNewRomanPSMT"/>
        </w:rPr>
        <w:t xml:space="preserve">Extensions will be granted at the discretion of the professor and only for serious and </w:t>
      </w:r>
      <w:r w:rsidRPr="00290499">
        <w:rPr>
          <w:rFonts w:ascii="TimesNewRomanPSMT" w:hAnsi="TimesNewRomanPSMT"/>
          <w:b/>
        </w:rPr>
        <w:t>documented</w:t>
      </w:r>
      <w:r w:rsidRPr="00290499">
        <w:rPr>
          <w:rFonts w:ascii="TimesNewRomanPSMT" w:hAnsi="TimesNewRomanPSMT"/>
        </w:rPr>
        <w:t xml:space="preserve"> medical reasons or for other emergency personal circumstances. Requests for extensions submitted after the due date will </w:t>
      </w:r>
      <w:r w:rsidR="00DC089D">
        <w:rPr>
          <w:rFonts w:ascii="TimesNewRomanPSMT" w:hAnsi="TimesNewRomanPSMT"/>
        </w:rPr>
        <w:t xml:space="preserve">usually </w:t>
      </w:r>
      <w:r w:rsidRPr="00290499">
        <w:rPr>
          <w:rFonts w:ascii="TimesNewRomanPSMT" w:hAnsi="TimesNewRomanPSMT"/>
        </w:rPr>
        <w:t>not be considered. It is the students’ responsibility to manage their time effectively.</w:t>
      </w:r>
    </w:p>
    <w:p w14:paraId="092586A4" w14:textId="77777777" w:rsidR="004D0F82" w:rsidRPr="002F2307" w:rsidRDefault="004D0F82" w:rsidP="004D0F82"/>
    <w:p w14:paraId="7FAAF3C7" w14:textId="77777777" w:rsidR="004D0F82" w:rsidRPr="002F2307" w:rsidRDefault="00D97EA3" w:rsidP="004D0F82">
      <w:pPr>
        <w:rPr>
          <w:b/>
          <w:u w:val="single"/>
        </w:rPr>
      </w:pPr>
      <w:r>
        <w:rPr>
          <w:b/>
          <w:u w:val="single"/>
        </w:rPr>
        <w:t>December</w:t>
      </w:r>
      <w:r w:rsidR="004D0F82" w:rsidRPr="002F2307">
        <w:rPr>
          <w:b/>
          <w:u w:val="single"/>
        </w:rPr>
        <w:t xml:space="preserve"> Examination</w:t>
      </w:r>
    </w:p>
    <w:p w14:paraId="5C570DF4" w14:textId="77777777" w:rsidR="004D0F82" w:rsidRPr="002F2307" w:rsidRDefault="004D0F82" w:rsidP="004D0F82"/>
    <w:p w14:paraId="12BF42CE" w14:textId="72DBB4CB" w:rsidR="00F902AD" w:rsidRDefault="004D0F82">
      <w:r w:rsidRPr="002F2307">
        <w:t xml:space="preserve">The </w:t>
      </w:r>
      <w:r w:rsidR="00D97EA3">
        <w:t>December</w:t>
      </w:r>
      <w:r w:rsidRPr="002F2307">
        <w:t xml:space="preserve"> examination will be</w:t>
      </w:r>
      <w:r w:rsidR="008F701D">
        <w:t xml:space="preserve"> a take home exam. </w:t>
      </w:r>
      <w:r w:rsidR="00910F47">
        <w:t xml:space="preserve">You will have one week to complete it. </w:t>
      </w:r>
    </w:p>
    <w:p w14:paraId="4E72814C" w14:textId="77777777" w:rsidR="00F902AD" w:rsidRDefault="00F902AD"/>
    <w:p w14:paraId="19D71DBF" w14:textId="4D4958A5" w:rsidR="004D0F82" w:rsidRPr="002F2307" w:rsidRDefault="00F902AD">
      <w:r>
        <w:t>The exam</w:t>
      </w:r>
      <w:r w:rsidR="004D0F82" w:rsidRPr="002F2307">
        <w:t xml:space="preserve"> will be cumulative (i.e. all material covered in the course will be</w:t>
      </w:r>
      <w:r w:rsidR="008B6B2B">
        <w:t xml:space="preserve"> examinable), and will be compo</w:t>
      </w:r>
      <w:r w:rsidR="004D0F82" w:rsidRPr="002F2307">
        <w:t xml:space="preserve">sed of essay questions. The final examination will count for </w:t>
      </w:r>
      <w:r w:rsidR="00151B83">
        <w:t>40%</w:t>
      </w:r>
      <w:r w:rsidR="004D0F82" w:rsidRPr="002F2307">
        <w:t xml:space="preserve"> of each student’s </w:t>
      </w:r>
      <w:r w:rsidR="00137807">
        <w:t xml:space="preserve">fall term </w:t>
      </w:r>
      <w:r w:rsidR="004D0F82" w:rsidRPr="002F2307">
        <w:t>grade.</w:t>
      </w:r>
    </w:p>
    <w:p w14:paraId="6C9CF9C2" w14:textId="77777777" w:rsidR="004D0F82" w:rsidRPr="00290499" w:rsidRDefault="004D0F82" w:rsidP="004D0F82">
      <w:pPr>
        <w:widowControl w:val="0"/>
        <w:autoSpaceDE w:val="0"/>
        <w:autoSpaceDN w:val="0"/>
        <w:adjustRightInd w:val="0"/>
        <w:ind w:right="-1440"/>
        <w:jc w:val="both"/>
        <w:rPr>
          <w:rFonts w:ascii="TimesNewRomanPSMT" w:hAnsi="TimesNewRomanPSMT"/>
        </w:rPr>
      </w:pPr>
    </w:p>
    <w:p w14:paraId="5D266B5B" w14:textId="77777777" w:rsidR="004D0F82" w:rsidRPr="00290499" w:rsidRDefault="004D0F82" w:rsidP="004D0F82">
      <w:pPr>
        <w:widowControl w:val="0"/>
        <w:autoSpaceDE w:val="0"/>
        <w:autoSpaceDN w:val="0"/>
        <w:adjustRightInd w:val="0"/>
        <w:ind w:right="-1440"/>
        <w:jc w:val="both"/>
        <w:rPr>
          <w:rFonts w:ascii="TimesNewRomanPSMT" w:hAnsi="TimesNewRomanPSMT"/>
        </w:rPr>
      </w:pPr>
      <w:r w:rsidRPr="00290499">
        <w:rPr>
          <w:rFonts w:ascii="TimesNewRomanPSMT" w:hAnsi="TimesNewRomanPSMT"/>
          <w:b/>
          <w:u w:val="single"/>
        </w:rPr>
        <w:t>Plagiarism</w:t>
      </w:r>
      <w:r w:rsidRPr="00290499">
        <w:rPr>
          <w:rFonts w:ascii="TimesNewRomanPSMT" w:hAnsi="TimesNewRomanPSMT"/>
          <w:b/>
        </w:rPr>
        <w:t>:</w:t>
      </w:r>
    </w:p>
    <w:p w14:paraId="25F160D8" w14:textId="77777777" w:rsidR="004D0F82" w:rsidRPr="00290499" w:rsidRDefault="004D0F82" w:rsidP="004D0F82">
      <w:pPr>
        <w:widowControl w:val="0"/>
        <w:autoSpaceDE w:val="0"/>
        <w:autoSpaceDN w:val="0"/>
        <w:adjustRightInd w:val="0"/>
        <w:ind w:right="-1440"/>
        <w:jc w:val="both"/>
        <w:rPr>
          <w:rFonts w:ascii="TimesNewRomanPSMT" w:hAnsi="TimesNewRomanPSMT"/>
        </w:rPr>
      </w:pPr>
    </w:p>
    <w:p w14:paraId="381D0FB1" w14:textId="77777777" w:rsidR="004D0F82" w:rsidRPr="00290499" w:rsidRDefault="004D0F82" w:rsidP="004D0F82">
      <w:pPr>
        <w:widowControl w:val="0"/>
        <w:autoSpaceDE w:val="0"/>
        <w:autoSpaceDN w:val="0"/>
        <w:adjustRightInd w:val="0"/>
        <w:rPr>
          <w:rFonts w:ascii="TimesNewRomanPSMT" w:hAnsi="TimesNewRomanPSMT"/>
        </w:rPr>
      </w:pPr>
      <w:r w:rsidRPr="00290499">
        <w:rPr>
          <w:rFonts w:ascii="TimesNewRomanPSMT" w:hAnsi="TimesNewRomanPSMT"/>
        </w:rPr>
        <w:t>Plagiarism is a serious academic offence that involves presenting another person’s ideas, arguments, or words as one’s own either through deliberate fraud or on account of inaccurate or improper documentation. The penalties for plagiarism are severe.</w:t>
      </w:r>
    </w:p>
    <w:p w14:paraId="4DEFCF3E" w14:textId="77777777" w:rsidR="004D0F82" w:rsidRPr="00290499" w:rsidRDefault="004D0F82" w:rsidP="004D0F82">
      <w:pPr>
        <w:widowControl w:val="0"/>
        <w:autoSpaceDE w:val="0"/>
        <w:autoSpaceDN w:val="0"/>
        <w:adjustRightInd w:val="0"/>
        <w:rPr>
          <w:rFonts w:ascii="TimesNewRomanPSMT" w:hAnsi="TimesNewRomanPSMT"/>
        </w:rPr>
      </w:pPr>
    </w:p>
    <w:p w14:paraId="03EE647B" w14:textId="77777777" w:rsidR="004D0F82" w:rsidRPr="00290499" w:rsidRDefault="004D0F82" w:rsidP="004D0F82">
      <w:pPr>
        <w:widowControl w:val="0"/>
        <w:autoSpaceDE w:val="0"/>
        <w:autoSpaceDN w:val="0"/>
        <w:adjustRightInd w:val="0"/>
        <w:rPr>
          <w:rFonts w:ascii="TimesNewRomanPSMT" w:hAnsi="TimesNewRomanPSMT"/>
        </w:rPr>
      </w:pPr>
      <w:r w:rsidRPr="00290499">
        <w:rPr>
          <w:rFonts w:ascii="TimesNewRomanPSMT" w:hAnsi="TimesNewRomanPSMT"/>
        </w:rPr>
        <w:t>Students are strongly encouraged to consult with their professor if they have any questions about what constitutes plagiarism.</w:t>
      </w:r>
    </w:p>
    <w:p w14:paraId="6B9165D3" w14:textId="77777777" w:rsidR="004D0F82" w:rsidRPr="002F2307" w:rsidRDefault="004D0F82"/>
    <w:p w14:paraId="43FC30C2" w14:textId="77777777" w:rsidR="004D0F82" w:rsidRPr="00290499" w:rsidRDefault="004D0F82" w:rsidP="004D0F82">
      <w:pPr>
        <w:widowControl w:val="0"/>
        <w:autoSpaceDE w:val="0"/>
        <w:autoSpaceDN w:val="0"/>
        <w:adjustRightInd w:val="0"/>
        <w:rPr>
          <w:color w:val="000000"/>
          <w:szCs w:val="22"/>
        </w:rPr>
      </w:pPr>
      <w:r w:rsidRPr="00290499">
        <w:rPr>
          <w:b/>
          <w:color w:val="000000"/>
          <w:szCs w:val="22"/>
          <w:u w:val="single"/>
        </w:rPr>
        <w:t>Academic Support</w:t>
      </w:r>
      <w:r w:rsidRPr="00290499">
        <w:rPr>
          <w:b/>
          <w:color w:val="000000"/>
          <w:szCs w:val="22"/>
        </w:rPr>
        <w:t>:</w:t>
      </w:r>
    </w:p>
    <w:p w14:paraId="3CE76BE7" w14:textId="77777777" w:rsidR="004D0F82" w:rsidRDefault="004D0F82" w:rsidP="004D0F82">
      <w:pPr>
        <w:widowControl w:val="0"/>
        <w:autoSpaceDE w:val="0"/>
        <w:autoSpaceDN w:val="0"/>
        <w:adjustRightInd w:val="0"/>
        <w:rPr>
          <w:color w:val="000000"/>
          <w:szCs w:val="22"/>
        </w:rPr>
      </w:pPr>
    </w:p>
    <w:p w14:paraId="15234633" w14:textId="77777777" w:rsidR="00D97EA3" w:rsidRPr="0012428B" w:rsidRDefault="00D97EA3" w:rsidP="0012428B">
      <w:pPr>
        <w:widowControl w:val="0"/>
        <w:autoSpaceDE w:val="0"/>
        <w:autoSpaceDN w:val="0"/>
        <w:adjustRightInd w:val="0"/>
        <w:rPr>
          <w:color w:val="000000"/>
          <w:szCs w:val="22"/>
        </w:rPr>
      </w:pPr>
      <w:r>
        <w:rPr>
          <w:color w:val="000000"/>
          <w:szCs w:val="22"/>
        </w:rPr>
        <w:t>Carleton University offers a range of excellent services for students</w:t>
      </w:r>
      <w:r w:rsidR="00810599">
        <w:rPr>
          <w:color w:val="000000"/>
          <w:szCs w:val="22"/>
        </w:rPr>
        <w:t xml:space="preserve"> seeking various forms of academic support.</w:t>
      </w:r>
      <w:r w:rsidR="0012428B">
        <w:rPr>
          <w:color w:val="000000"/>
          <w:szCs w:val="22"/>
        </w:rPr>
        <w:t xml:space="preserve"> </w:t>
      </w:r>
      <w:r w:rsidR="004D0F82" w:rsidRPr="00290499">
        <w:rPr>
          <w:color w:val="000000"/>
          <w:szCs w:val="22"/>
        </w:rPr>
        <w:t xml:space="preserve">If you require </w:t>
      </w:r>
      <w:r w:rsidR="001C5FBF">
        <w:rPr>
          <w:color w:val="000000"/>
          <w:szCs w:val="22"/>
        </w:rPr>
        <w:t>support</w:t>
      </w:r>
      <w:r w:rsidR="004D0F82" w:rsidRPr="00290499">
        <w:rPr>
          <w:color w:val="000000"/>
          <w:szCs w:val="22"/>
        </w:rPr>
        <w:t xml:space="preserve">, please </w:t>
      </w:r>
      <w:r>
        <w:rPr>
          <w:color w:val="000000"/>
          <w:szCs w:val="22"/>
        </w:rPr>
        <w:t>contact</w:t>
      </w:r>
      <w:r w:rsidR="004D0F82" w:rsidRPr="00290499">
        <w:rPr>
          <w:color w:val="000000"/>
          <w:szCs w:val="22"/>
        </w:rPr>
        <w:t xml:space="preserve"> Carleton </w:t>
      </w:r>
      <w:r w:rsidR="00C611B2">
        <w:rPr>
          <w:color w:val="000000"/>
          <w:szCs w:val="22"/>
        </w:rPr>
        <w:t>Student Academic Support</w:t>
      </w:r>
      <w:r w:rsidR="004D0F82" w:rsidRPr="00290499">
        <w:rPr>
          <w:color w:val="000000"/>
          <w:szCs w:val="22"/>
        </w:rPr>
        <w:t xml:space="preserve"> at </w:t>
      </w:r>
      <w:r w:rsidR="00C611B2" w:rsidRPr="00C611B2">
        <w:rPr>
          <w:color w:val="000000"/>
          <w:szCs w:val="22"/>
        </w:rPr>
        <w:t>https://carleton.ca/csas/</w:t>
      </w:r>
      <w:r>
        <w:rPr>
          <w:color w:val="000000"/>
          <w:szCs w:val="22"/>
        </w:rPr>
        <w:t>.</w:t>
      </w:r>
    </w:p>
    <w:p w14:paraId="0548DEBC" w14:textId="77777777" w:rsidR="00137807" w:rsidRDefault="00137807">
      <w:pPr>
        <w:rPr>
          <w:b/>
          <w:u w:val="single"/>
        </w:rPr>
      </w:pPr>
    </w:p>
    <w:p w14:paraId="57957B5B" w14:textId="77777777" w:rsidR="004D0F82" w:rsidRPr="002F2307" w:rsidRDefault="004D0F82">
      <w:r w:rsidRPr="002F2307">
        <w:rPr>
          <w:b/>
          <w:u w:val="single"/>
        </w:rPr>
        <w:t>Course Schedule</w:t>
      </w:r>
      <w:r w:rsidRPr="002F2307">
        <w:rPr>
          <w:b/>
        </w:rPr>
        <w:t>:</w:t>
      </w:r>
    </w:p>
    <w:p w14:paraId="1CAA4095" w14:textId="77777777" w:rsidR="004D0F82" w:rsidRPr="002F2307" w:rsidRDefault="004D0F82"/>
    <w:p w14:paraId="4A7C4488" w14:textId="0041FB71" w:rsidR="00BA0E7C" w:rsidRPr="000362BE" w:rsidRDefault="00756026" w:rsidP="00BA0E7C">
      <w:pPr>
        <w:widowControl w:val="0"/>
        <w:autoSpaceDE w:val="0"/>
        <w:autoSpaceDN w:val="0"/>
        <w:adjustRightInd w:val="0"/>
        <w:rPr>
          <w:b/>
          <w:u w:val="single"/>
        </w:rPr>
      </w:pPr>
      <w:r>
        <w:rPr>
          <w:b/>
          <w:u w:val="single"/>
        </w:rPr>
        <w:t>Week 1 (Sep</w:t>
      </w:r>
      <w:r w:rsidR="00151BC5">
        <w:rPr>
          <w:b/>
          <w:u w:val="single"/>
        </w:rPr>
        <w:t>t. 13</w:t>
      </w:r>
      <w:r w:rsidR="00BA0E7C" w:rsidRPr="000362BE">
        <w:rPr>
          <w:b/>
          <w:u w:val="single"/>
        </w:rPr>
        <w:t>): Introduction to the Course</w:t>
      </w:r>
    </w:p>
    <w:p w14:paraId="1C5DFC49" w14:textId="77777777" w:rsidR="00BA0E7C" w:rsidRDefault="00BA0E7C" w:rsidP="00BA0E7C">
      <w:pPr>
        <w:widowControl w:val="0"/>
        <w:autoSpaceDE w:val="0"/>
        <w:autoSpaceDN w:val="0"/>
        <w:adjustRightInd w:val="0"/>
        <w:rPr>
          <w:b/>
          <w:u w:val="single"/>
        </w:rPr>
      </w:pPr>
    </w:p>
    <w:p w14:paraId="2BA5686C" w14:textId="52E8926D" w:rsidR="002A3F9B" w:rsidRDefault="002A3F9B" w:rsidP="002A3F9B">
      <w:pPr>
        <w:pStyle w:val="ListParagraph"/>
        <w:widowControl w:val="0"/>
        <w:numPr>
          <w:ilvl w:val="0"/>
          <w:numId w:val="7"/>
        </w:numPr>
        <w:autoSpaceDE w:val="0"/>
        <w:autoSpaceDN w:val="0"/>
        <w:adjustRightInd w:val="0"/>
        <w:ind w:left="1134"/>
      </w:pPr>
      <w:r>
        <w:t>[No tutorials this week]</w:t>
      </w:r>
    </w:p>
    <w:p w14:paraId="46CC2A6B" w14:textId="77777777" w:rsidR="002A3F9B" w:rsidRPr="000362BE" w:rsidRDefault="002A3F9B" w:rsidP="00BA0E7C">
      <w:pPr>
        <w:widowControl w:val="0"/>
        <w:autoSpaceDE w:val="0"/>
        <w:autoSpaceDN w:val="0"/>
        <w:adjustRightInd w:val="0"/>
        <w:rPr>
          <w:b/>
          <w:u w:val="single"/>
        </w:rPr>
      </w:pPr>
    </w:p>
    <w:p w14:paraId="5CA43F0E" w14:textId="7ABDD558" w:rsidR="00BA0E7C" w:rsidRPr="000362BE" w:rsidRDefault="00BA0E7C" w:rsidP="00BA0E7C">
      <w:pPr>
        <w:widowControl w:val="0"/>
        <w:autoSpaceDE w:val="0"/>
        <w:autoSpaceDN w:val="0"/>
        <w:adjustRightInd w:val="0"/>
        <w:rPr>
          <w:b/>
          <w:u w:val="single"/>
        </w:rPr>
      </w:pPr>
      <w:r w:rsidRPr="000362BE">
        <w:rPr>
          <w:b/>
          <w:u w:val="single"/>
        </w:rPr>
        <w:t>Week 2 (</w:t>
      </w:r>
      <w:r w:rsidR="00756026">
        <w:rPr>
          <w:b/>
          <w:u w:val="single"/>
        </w:rPr>
        <w:t>Sept.</w:t>
      </w:r>
      <w:r w:rsidR="00151BC5">
        <w:rPr>
          <w:b/>
          <w:u w:val="single"/>
        </w:rPr>
        <w:t xml:space="preserve"> 20</w:t>
      </w:r>
      <w:r w:rsidRPr="000362BE">
        <w:rPr>
          <w:b/>
          <w:u w:val="single"/>
        </w:rPr>
        <w:t>)</w:t>
      </w:r>
      <w:r>
        <w:rPr>
          <w:b/>
          <w:u w:val="single"/>
        </w:rPr>
        <w:t xml:space="preserve">: </w:t>
      </w:r>
    </w:p>
    <w:p w14:paraId="2413E151" w14:textId="77777777" w:rsidR="00BA0E7C" w:rsidRPr="000362BE" w:rsidRDefault="00BA0E7C" w:rsidP="00BA0E7C">
      <w:pPr>
        <w:widowControl w:val="0"/>
        <w:autoSpaceDE w:val="0"/>
        <w:autoSpaceDN w:val="0"/>
        <w:adjustRightInd w:val="0"/>
        <w:ind w:firstLine="720"/>
        <w:rPr>
          <w:color w:val="000000"/>
          <w:szCs w:val="22"/>
        </w:rPr>
      </w:pPr>
    </w:p>
    <w:p w14:paraId="183EAFDB" w14:textId="7C590760" w:rsidR="00151BC5" w:rsidRPr="00C10136" w:rsidRDefault="00151BC5" w:rsidP="00151BC5">
      <w:pPr>
        <w:pStyle w:val="ListParagraph"/>
        <w:widowControl w:val="0"/>
        <w:numPr>
          <w:ilvl w:val="0"/>
          <w:numId w:val="5"/>
        </w:numPr>
        <w:autoSpaceDE w:val="0"/>
        <w:autoSpaceDN w:val="0"/>
        <w:adjustRightInd w:val="0"/>
        <w:rPr>
          <w:b/>
          <w:color w:val="000000"/>
          <w:szCs w:val="22"/>
        </w:rPr>
      </w:pPr>
      <w:r w:rsidRPr="00701621">
        <w:rPr>
          <w:color w:val="000000"/>
          <w:szCs w:val="22"/>
        </w:rPr>
        <w:t>Reading:</w:t>
      </w:r>
      <w:r>
        <w:rPr>
          <w:color w:val="000000"/>
          <w:szCs w:val="22"/>
        </w:rPr>
        <w:t xml:space="preserve"> </w:t>
      </w:r>
      <w:r>
        <w:t xml:space="preserve">John </w:t>
      </w:r>
      <w:r w:rsidRPr="002F2307">
        <w:t xml:space="preserve">Locke, </w:t>
      </w:r>
      <w:r>
        <w:rPr>
          <w:i/>
        </w:rPr>
        <w:t xml:space="preserve">A Letter Concerning Toleration </w:t>
      </w:r>
      <w:r>
        <w:rPr>
          <w:iCs/>
        </w:rPr>
        <w:t xml:space="preserve">(pp. 3-46). </w:t>
      </w:r>
    </w:p>
    <w:p w14:paraId="7E7CF68A" w14:textId="5C292D53" w:rsidR="00C10136" w:rsidRPr="002A3F9B" w:rsidRDefault="00C10136" w:rsidP="00C10136">
      <w:pPr>
        <w:pStyle w:val="ListParagraph"/>
        <w:widowControl w:val="0"/>
        <w:numPr>
          <w:ilvl w:val="1"/>
          <w:numId w:val="5"/>
        </w:numPr>
        <w:autoSpaceDE w:val="0"/>
        <w:autoSpaceDN w:val="0"/>
        <w:adjustRightInd w:val="0"/>
        <w:rPr>
          <w:b/>
          <w:color w:val="000000"/>
          <w:szCs w:val="22"/>
        </w:rPr>
      </w:pPr>
      <w:r>
        <w:rPr>
          <w:iCs/>
        </w:rPr>
        <w:t>Available on ARES</w:t>
      </w:r>
    </w:p>
    <w:p w14:paraId="3ACFDD94" w14:textId="42CB7055" w:rsidR="00151BC5" w:rsidRPr="00151BC5" w:rsidRDefault="00151BC5" w:rsidP="00151BC5">
      <w:pPr>
        <w:pStyle w:val="ListParagraph"/>
        <w:widowControl w:val="0"/>
        <w:numPr>
          <w:ilvl w:val="1"/>
          <w:numId w:val="5"/>
        </w:numPr>
        <w:autoSpaceDE w:val="0"/>
        <w:autoSpaceDN w:val="0"/>
        <w:adjustRightInd w:val="0"/>
        <w:rPr>
          <w:b/>
          <w:bCs/>
          <w:color w:val="000000"/>
          <w:szCs w:val="22"/>
          <w:u w:val="single"/>
        </w:rPr>
      </w:pPr>
      <w:r w:rsidRPr="00151BC5">
        <w:rPr>
          <w:b/>
          <w:bCs/>
          <w:u w:val="single"/>
        </w:rPr>
        <w:t>Tutorials begin</w:t>
      </w:r>
    </w:p>
    <w:p w14:paraId="24AB836F" w14:textId="77777777" w:rsidR="00151BC5" w:rsidRPr="00151BC5" w:rsidRDefault="00151BC5" w:rsidP="00151BC5">
      <w:pPr>
        <w:pStyle w:val="ListParagraph"/>
        <w:widowControl w:val="0"/>
        <w:autoSpaceDE w:val="0"/>
        <w:autoSpaceDN w:val="0"/>
        <w:adjustRightInd w:val="0"/>
        <w:ind w:left="1080"/>
        <w:rPr>
          <w:b/>
          <w:color w:val="000000"/>
          <w:szCs w:val="22"/>
        </w:rPr>
      </w:pPr>
    </w:p>
    <w:p w14:paraId="6D58300C" w14:textId="113CEDF6" w:rsidR="00BA0E7C" w:rsidRPr="000362BE" w:rsidRDefault="00BA0E7C" w:rsidP="00BA0E7C">
      <w:pPr>
        <w:widowControl w:val="0"/>
        <w:autoSpaceDE w:val="0"/>
        <w:autoSpaceDN w:val="0"/>
        <w:adjustRightInd w:val="0"/>
        <w:rPr>
          <w:b/>
          <w:color w:val="000000"/>
          <w:szCs w:val="22"/>
          <w:u w:val="single"/>
        </w:rPr>
      </w:pPr>
      <w:r w:rsidRPr="000362BE">
        <w:rPr>
          <w:b/>
          <w:color w:val="000000"/>
          <w:szCs w:val="22"/>
          <w:u w:val="single"/>
        </w:rPr>
        <w:t>Week 3 (</w:t>
      </w:r>
      <w:r>
        <w:rPr>
          <w:b/>
          <w:u w:val="single"/>
        </w:rPr>
        <w:t>Sept.</w:t>
      </w:r>
      <w:r w:rsidR="00151BC5">
        <w:rPr>
          <w:b/>
          <w:u w:val="single"/>
        </w:rPr>
        <w:t xml:space="preserve"> 27</w:t>
      </w:r>
      <w:r w:rsidRPr="000362BE">
        <w:rPr>
          <w:b/>
          <w:color w:val="000000"/>
          <w:szCs w:val="22"/>
          <w:u w:val="single"/>
        </w:rPr>
        <w:t xml:space="preserve">): </w:t>
      </w:r>
    </w:p>
    <w:p w14:paraId="6B383045" w14:textId="77777777" w:rsidR="00BA0E7C" w:rsidRPr="000362BE" w:rsidRDefault="00BA0E7C" w:rsidP="00BA0E7C">
      <w:pPr>
        <w:widowControl w:val="0"/>
        <w:autoSpaceDE w:val="0"/>
        <w:autoSpaceDN w:val="0"/>
        <w:adjustRightInd w:val="0"/>
        <w:rPr>
          <w:b/>
          <w:color w:val="000000"/>
          <w:szCs w:val="22"/>
        </w:rPr>
      </w:pPr>
    </w:p>
    <w:p w14:paraId="700BC3D2" w14:textId="248B2CE9" w:rsidR="00151BC5" w:rsidRPr="00C10136" w:rsidRDefault="00151BC5" w:rsidP="00151BC5">
      <w:pPr>
        <w:pStyle w:val="ListParagraph"/>
        <w:widowControl w:val="0"/>
        <w:numPr>
          <w:ilvl w:val="0"/>
          <w:numId w:val="5"/>
        </w:numPr>
        <w:autoSpaceDE w:val="0"/>
        <w:autoSpaceDN w:val="0"/>
        <w:adjustRightInd w:val="0"/>
        <w:rPr>
          <w:color w:val="000000"/>
          <w:szCs w:val="22"/>
        </w:rPr>
      </w:pPr>
      <w:r w:rsidRPr="00372363">
        <w:rPr>
          <w:color w:val="000000"/>
          <w:szCs w:val="22"/>
        </w:rPr>
        <w:t>Reading:</w:t>
      </w:r>
      <w:r w:rsidRPr="00BA0E7C">
        <w:t xml:space="preserve"> </w:t>
      </w:r>
      <w:r>
        <w:t xml:space="preserve">John Stuart Mill, </w:t>
      </w:r>
      <w:r>
        <w:rPr>
          <w:i/>
          <w:iCs/>
        </w:rPr>
        <w:t xml:space="preserve">On Liberty </w:t>
      </w:r>
      <w:r>
        <w:t xml:space="preserve">(pp. 1-52). </w:t>
      </w:r>
    </w:p>
    <w:p w14:paraId="0A46B3F9" w14:textId="2480B9CB" w:rsidR="00C10136" w:rsidRPr="00414E21" w:rsidRDefault="00C10136" w:rsidP="00C10136">
      <w:pPr>
        <w:pStyle w:val="ListParagraph"/>
        <w:widowControl w:val="0"/>
        <w:numPr>
          <w:ilvl w:val="1"/>
          <w:numId w:val="5"/>
        </w:numPr>
        <w:autoSpaceDE w:val="0"/>
        <w:autoSpaceDN w:val="0"/>
        <w:adjustRightInd w:val="0"/>
        <w:rPr>
          <w:color w:val="000000"/>
          <w:szCs w:val="22"/>
        </w:rPr>
      </w:pPr>
      <w:r>
        <w:t>Available on ARES</w:t>
      </w:r>
    </w:p>
    <w:p w14:paraId="640973D0" w14:textId="77777777" w:rsidR="00BA0E7C" w:rsidRPr="000362BE" w:rsidRDefault="00BA0E7C" w:rsidP="00BA0E7C">
      <w:pPr>
        <w:pStyle w:val="ListParagraph"/>
        <w:widowControl w:val="0"/>
        <w:autoSpaceDE w:val="0"/>
        <w:autoSpaceDN w:val="0"/>
        <w:adjustRightInd w:val="0"/>
        <w:ind w:left="1080"/>
        <w:rPr>
          <w:b/>
          <w:color w:val="000000"/>
          <w:szCs w:val="22"/>
        </w:rPr>
      </w:pPr>
    </w:p>
    <w:p w14:paraId="59ACD2EB" w14:textId="196496DA" w:rsidR="00BA0E7C" w:rsidRPr="000362BE" w:rsidRDefault="00BA0E7C" w:rsidP="00BA0E7C">
      <w:pPr>
        <w:widowControl w:val="0"/>
        <w:autoSpaceDE w:val="0"/>
        <w:autoSpaceDN w:val="0"/>
        <w:adjustRightInd w:val="0"/>
        <w:rPr>
          <w:b/>
          <w:color w:val="000000"/>
          <w:szCs w:val="22"/>
          <w:u w:val="single"/>
        </w:rPr>
      </w:pPr>
      <w:r w:rsidRPr="000362BE">
        <w:rPr>
          <w:b/>
          <w:color w:val="000000"/>
          <w:szCs w:val="22"/>
          <w:u w:val="single"/>
        </w:rPr>
        <w:t>Week 4 (</w:t>
      </w:r>
      <w:r w:rsidR="00151BC5">
        <w:rPr>
          <w:b/>
          <w:u w:val="single"/>
        </w:rPr>
        <w:t>Oct. 4</w:t>
      </w:r>
      <w:r w:rsidRPr="000362BE">
        <w:rPr>
          <w:b/>
          <w:color w:val="000000"/>
          <w:szCs w:val="22"/>
          <w:u w:val="single"/>
        </w:rPr>
        <w:t xml:space="preserve">): </w:t>
      </w:r>
    </w:p>
    <w:p w14:paraId="0211F342" w14:textId="77777777" w:rsidR="00BA0E7C" w:rsidRDefault="00BA0E7C" w:rsidP="00BA0E7C">
      <w:pPr>
        <w:widowControl w:val="0"/>
        <w:autoSpaceDE w:val="0"/>
        <w:autoSpaceDN w:val="0"/>
        <w:adjustRightInd w:val="0"/>
        <w:rPr>
          <w:b/>
          <w:color w:val="000000"/>
          <w:szCs w:val="22"/>
        </w:rPr>
      </w:pPr>
    </w:p>
    <w:p w14:paraId="23074ABD" w14:textId="55BB659D" w:rsidR="00151BC5" w:rsidRPr="00961D65" w:rsidRDefault="00151BC5" w:rsidP="00151BC5">
      <w:pPr>
        <w:pStyle w:val="ListParagraph"/>
        <w:numPr>
          <w:ilvl w:val="0"/>
          <w:numId w:val="5"/>
        </w:numPr>
        <w:rPr>
          <w:color w:val="000000"/>
          <w:szCs w:val="22"/>
        </w:rPr>
      </w:pPr>
      <w:r>
        <w:rPr>
          <w:color w:val="000000"/>
          <w:szCs w:val="22"/>
        </w:rPr>
        <w:t xml:space="preserve">Reading: John Rawls, </w:t>
      </w:r>
      <w:r>
        <w:rPr>
          <w:i/>
          <w:iCs/>
          <w:color w:val="000000"/>
          <w:szCs w:val="22"/>
        </w:rPr>
        <w:t>A Theory of Justice</w:t>
      </w:r>
      <w:r>
        <w:rPr>
          <w:color w:val="000000"/>
          <w:szCs w:val="22"/>
        </w:rPr>
        <w:t xml:space="preserve"> (pp. 3-</w:t>
      </w:r>
      <w:r w:rsidR="006043A2">
        <w:rPr>
          <w:color w:val="000000"/>
          <w:szCs w:val="22"/>
        </w:rPr>
        <w:t>24</w:t>
      </w:r>
      <w:r>
        <w:rPr>
          <w:color w:val="000000"/>
          <w:szCs w:val="22"/>
        </w:rPr>
        <w:t>; pp. 52-73).</w:t>
      </w:r>
    </w:p>
    <w:p w14:paraId="08CA0913" w14:textId="7C0B87B7" w:rsidR="00237F1E" w:rsidRPr="00151BC5" w:rsidRDefault="00151BC5" w:rsidP="006967EE">
      <w:pPr>
        <w:pStyle w:val="ListParagraph"/>
        <w:widowControl w:val="0"/>
        <w:numPr>
          <w:ilvl w:val="1"/>
          <w:numId w:val="5"/>
        </w:numPr>
        <w:autoSpaceDE w:val="0"/>
        <w:autoSpaceDN w:val="0"/>
        <w:adjustRightInd w:val="0"/>
        <w:rPr>
          <w:b/>
          <w:color w:val="000000"/>
          <w:szCs w:val="22"/>
        </w:rPr>
      </w:pPr>
      <w:r>
        <w:rPr>
          <w:bCs/>
          <w:color w:val="000000"/>
          <w:szCs w:val="22"/>
        </w:rPr>
        <w:t>Available on ARES</w:t>
      </w:r>
    </w:p>
    <w:p w14:paraId="782B189B" w14:textId="77777777" w:rsidR="00151BC5" w:rsidRPr="00BD2C66" w:rsidRDefault="00151BC5" w:rsidP="00BD2C66">
      <w:pPr>
        <w:widowControl w:val="0"/>
        <w:autoSpaceDE w:val="0"/>
        <w:autoSpaceDN w:val="0"/>
        <w:adjustRightInd w:val="0"/>
        <w:rPr>
          <w:b/>
          <w:color w:val="000000"/>
          <w:szCs w:val="22"/>
          <w:u w:val="single"/>
        </w:rPr>
      </w:pPr>
    </w:p>
    <w:p w14:paraId="05ADD0E5" w14:textId="0C1C6352" w:rsidR="00BA0E7C" w:rsidRDefault="00BA0E7C" w:rsidP="00BA0E7C">
      <w:pPr>
        <w:widowControl w:val="0"/>
        <w:autoSpaceDE w:val="0"/>
        <w:autoSpaceDN w:val="0"/>
        <w:adjustRightInd w:val="0"/>
        <w:rPr>
          <w:b/>
          <w:color w:val="000000"/>
          <w:szCs w:val="22"/>
          <w:u w:val="single"/>
        </w:rPr>
      </w:pPr>
      <w:r w:rsidRPr="000362BE">
        <w:rPr>
          <w:b/>
          <w:color w:val="000000"/>
          <w:szCs w:val="22"/>
          <w:u w:val="single"/>
        </w:rPr>
        <w:t>Week 5 (</w:t>
      </w:r>
      <w:r w:rsidR="00756026">
        <w:rPr>
          <w:b/>
          <w:color w:val="000000"/>
          <w:szCs w:val="22"/>
          <w:u w:val="single"/>
        </w:rPr>
        <w:t>Oct.</w:t>
      </w:r>
      <w:r w:rsidR="00151BC5">
        <w:rPr>
          <w:b/>
          <w:color w:val="000000"/>
          <w:szCs w:val="22"/>
          <w:u w:val="single"/>
        </w:rPr>
        <w:t xml:space="preserve"> 11</w:t>
      </w:r>
      <w:r w:rsidR="00EF3B6E">
        <w:rPr>
          <w:b/>
          <w:color w:val="000000"/>
          <w:szCs w:val="22"/>
          <w:u w:val="single"/>
        </w:rPr>
        <w:t>):</w:t>
      </w:r>
      <w:r w:rsidR="00151BC5">
        <w:rPr>
          <w:b/>
          <w:color w:val="000000"/>
          <w:szCs w:val="22"/>
          <w:u w:val="single"/>
        </w:rPr>
        <w:t xml:space="preserve"> </w:t>
      </w:r>
    </w:p>
    <w:p w14:paraId="49CADB45" w14:textId="77777777" w:rsidR="00237F1E" w:rsidRPr="000362BE" w:rsidRDefault="00237F1E" w:rsidP="00237F1E">
      <w:pPr>
        <w:widowControl w:val="0"/>
        <w:autoSpaceDE w:val="0"/>
        <w:autoSpaceDN w:val="0"/>
        <w:adjustRightInd w:val="0"/>
        <w:rPr>
          <w:b/>
          <w:color w:val="000000"/>
          <w:szCs w:val="22"/>
        </w:rPr>
      </w:pPr>
    </w:p>
    <w:p w14:paraId="40769B86" w14:textId="780E4E6E" w:rsidR="00BA0E7C" w:rsidRPr="000362BE" w:rsidRDefault="00151BC5" w:rsidP="00151BC5">
      <w:pPr>
        <w:pStyle w:val="ListParagraph"/>
        <w:numPr>
          <w:ilvl w:val="0"/>
          <w:numId w:val="5"/>
        </w:numPr>
        <w:rPr>
          <w:b/>
          <w:color w:val="000000"/>
          <w:szCs w:val="22"/>
        </w:rPr>
      </w:pPr>
      <w:r>
        <w:rPr>
          <w:color w:val="000000"/>
          <w:szCs w:val="22"/>
        </w:rPr>
        <w:t xml:space="preserve">Thanksgiving – No lecture </w:t>
      </w:r>
      <w:r>
        <w:rPr>
          <w:color w:val="000000"/>
          <w:szCs w:val="22"/>
        </w:rPr>
        <w:br/>
      </w:r>
    </w:p>
    <w:p w14:paraId="21394CCE" w14:textId="286FAF35" w:rsidR="00BA0E7C" w:rsidRPr="000362BE" w:rsidRDefault="00BA0E7C" w:rsidP="00BA0E7C">
      <w:pPr>
        <w:widowControl w:val="0"/>
        <w:autoSpaceDE w:val="0"/>
        <w:autoSpaceDN w:val="0"/>
        <w:adjustRightInd w:val="0"/>
        <w:rPr>
          <w:b/>
          <w:color w:val="000000"/>
          <w:szCs w:val="22"/>
          <w:u w:val="single"/>
        </w:rPr>
      </w:pPr>
      <w:r w:rsidRPr="000362BE">
        <w:rPr>
          <w:b/>
          <w:color w:val="000000"/>
          <w:szCs w:val="22"/>
          <w:u w:val="single"/>
        </w:rPr>
        <w:t xml:space="preserve">Week </w:t>
      </w:r>
      <w:r w:rsidR="00E532FB">
        <w:rPr>
          <w:b/>
          <w:color w:val="000000"/>
          <w:szCs w:val="22"/>
          <w:u w:val="single"/>
        </w:rPr>
        <w:t>6</w:t>
      </w:r>
      <w:r w:rsidRPr="000362BE">
        <w:rPr>
          <w:b/>
          <w:color w:val="000000"/>
          <w:szCs w:val="22"/>
          <w:u w:val="single"/>
        </w:rPr>
        <w:t xml:space="preserve"> (</w:t>
      </w:r>
      <w:r w:rsidR="00756026">
        <w:rPr>
          <w:b/>
          <w:color w:val="000000"/>
          <w:szCs w:val="22"/>
          <w:u w:val="single"/>
        </w:rPr>
        <w:t>Oct.</w:t>
      </w:r>
      <w:r w:rsidR="00151BC5">
        <w:rPr>
          <w:b/>
          <w:color w:val="000000"/>
          <w:szCs w:val="22"/>
          <w:u w:val="single"/>
        </w:rPr>
        <w:t xml:space="preserve"> </w:t>
      </w:r>
      <w:r w:rsidR="00756026">
        <w:rPr>
          <w:b/>
          <w:color w:val="000000"/>
          <w:szCs w:val="22"/>
          <w:u w:val="single"/>
        </w:rPr>
        <w:t>1</w:t>
      </w:r>
      <w:r w:rsidR="006967EE">
        <w:rPr>
          <w:b/>
          <w:color w:val="000000"/>
          <w:szCs w:val="22"/>
          <w:u w:val="single"/>
        </w:rPr>
        <w:t>8</w:t>
      </w:r>
      <w:r w:rsidRPr="000362BE">
        <w:rPr>
          <w:b/>
          <w:color w:val="000000"/>
          <w:szCs w:val="22"/>
          <w:u w:val="single"/>
        </w:rPr>
        <w:t>):</w:t>
      </w:r>
      <w:r w:rsidRPr="00C40B9A">
        <w:rPr>
          <w:b/>
          <w:color w:val="000000"/>
          <w:szCs w:val="22"/>
          <w:u w:val="single"/>
        </w:rPr>
        <w:t xml:space="preserve"> </w:t>
      </w:r>
    </w:p>
    <w:p w14:paraId="45CA4090" w14:textId="4ABC8E1F" w:rsidR="00BA0E7C" w:rsidRDefault="00BA0E7C" w:rsidP="00151BC5">
      <w:pPr>
        <w:rPr>
          <w:b/>
          <w:color w:val="000000"/>
          <w:szCs w:val="22"/>
        </w:rPr>
      </w:pPr>
    </w:p>
    <w:p w14:paraId="0287C725" w14:textId="0A1BB56C" w:rsidR="006967EE" w:rsidRPr="00151BC5" w:rsidRDefault="006967EE" w:rsidP="00FC2F16">
      <w:pPr>
        <w:pStyle w:val="ListParagraph"/>
        <w:widowControl w:val="0"/>
        <w:numPr>
          <w:ilvl w:val="0"/>
          <w:numId w:val="5"/>
        </w:numPr>
        <w:autoSpaceDE w:val="0"/>
        <w:autoSpaceDN w:val="0"/>
        <w:adjustRightInd w:val="0"/>
        <w:ind w:left="1440" w:hanging="720"/>
        <w:rPr>
          <w:b/>
          <w:color w:val="000000"/>
          <w:szCs w:val="22"/>
          <w:u w:val="single"/>
        </w:rPr>
      </w:pPr>
      <w:r>
        <w:rPr>
          <w:bCs/>
          <w:color w:val="000000"/>
          <w:szCs w:val="22"/>
        </w:rPr>
        <w:t xml:space="preserve">Reading: John Rawls, </w:t>
      </w:r>
      <w:r>
        <w:rPr>
          <w:bCs/>
          <w:i/>
          <w:iCs/>
          <w:color w:val="000000"/>
          <w:szCs w:val="22"/>
        </w:rPr>
        <w:t>Political Liberalism</w:t>
      </w:r>
      <w:r>
        <w:rPr>
          <w:bCs/>
          <w:color w:val="000000"/>
          <w:szCs w:val="22"/>
        </w:rPr>
        <w:t xml:space="preserve"> (pp. </w:t>
      </w:r>
      <w:r w:rsidR="00870BAC">
        <w:rPr>
          <w:bCs/>
          <w:color w:val="000000"/>
          <w:szCs w:val="22"/>
        </w:rPr>
        <w:t>3</w:t>
      </w:r>
      <w:r>
        <w:rPr>
          <w:bCs/>
          <w:color w:val="000000"/>
          <w:szCs w:val="22"/>
        </w:rPr>
        <w:t>-15; pp. 4</w:t>
      </w:r>
      <w:r w:rsidR="00870BAC">
        <w:rPr>
          <w:bCs/>
          <w:color w:val="000000"/>
          <w:szCs w:val="22"/>
        </w:rPr>
        <w:t>7</w:t>
      </w:r>
      <w:r>
        <w:rPr>
          <w:bCs/>
          <w:color w:val="000000"/>
          <w:szCs w:val="22"/>
        </w:rPr>
        <w:t>-</w:t>
      </w:r>
      <w:r w:rsidR="00870BAC">
        <w:rPr>
          <w:bCs/>
          <w:color w:val="000000"/>
          <w:szCs w:val="22"/>
        </w:rPr>
        <w:t>66</w:t>
      </w:r>
      <w:r>
        <w:rPr>
          <w:bCs/>
          <w:color w:val="000000"/>
          <w:szCs w:val="22"/>
        </w:rPr>
        <w:t xml:space="preserve">; pp. 173-176; pp. 212-223). </w:t>
      </w:r>
    </w:p>
    <w:p w14:paraId="2DEF8593" w14:textId="4214F7BE" w:rsidR="006967EE" w:rsidRPr="00414E21" w:rsidRDefault="006967EE" w:rsidP="006967EE">
      <w:pPr>
        <w:pStyle w:val="ListParagraph"/>
        <w:widowControl w:val="0"/>
        <w:numPr>
          <w:ilvl w:val="1"/>
          <w:numId w:val="5"/>
        </w:numPr>
        <w:autoSpaceDE w:val="0"/>
        <w:autoSpaceDN w:val="0"/>
        <w:adjustRightInd w:val="0"/>
        <w:rPr>
          <w:b/>
          <w:color w:val="000000"/>
          <w:szCs w:val="22"/>
          <w:u w:val="single"/>
        </w:rPr>
      </w:pPr>
      <w:r>
        <w:rPr>
          <w:bCs/>
          <w:color w:val="000000"/>
          <w:szCs w:val="22"/>
        </w:rPr>
        <w:t>Available on ARES</w:t>
      </w:r>
    </w:p>
    <w:p w14:paraId="3FB23A07" w14:textId="151932C5" w:rsidR="00414E21" w:rsidRDefault="00414E21" w:rsidP="00414E21">
      <w:pPr>
        <w:pStyle w:val="ListParagraph"/>
        <w:numPr>
          <w:ilvl w:val="2"/>
          <w:numId w:val="5"/>
        </w:numPr>
      </w:pPr>
      <w:r>
        <w:rPr>
          <w:b/>
          <w:bCs/>
          <w:u w:val="single"/>
        </w:rPr>
        <w:t>FIRST ESSAY DUE END OF THIS WEEK (OCT 24TH)</w:t>
      </w:r>
    </w:p>
    <w:p w14:paraId="283A1B79" w14:textId="77777777" w:rsidR="00BA0E7C" w:rsidRPr="000362BE" w:rsidRDefault="00BA0E7C" w:rsidP="00BA0E7C">
      <w:pPr>
        <w:widowControl w:val="0"/>
        <w:autoSpaceDE w:val="0"/>
        <w:autoSpaceDN w:val="0"/>
        <w:adjustRightInd w:val="0"/>
        <w:rPr>
          <w:b/>
          <w:color w:val="000000"/>
          <w:szCs w:val="22"/>
          <w:u w:val="single"/>
        </w:rPr>
      </w:pPr>
    </w:p>
    <w:p w14:paraId="583CC0AE" w14:textId="4B282176" w:rsidR="006E48A6" w:rsidRPr="00E6452F" w:rsidRDefault="00BA0E7C" w:rsidP="006E48A6">
      <w:pPr>
        <w:widowControl w:val="0"/>
        <w:autoSpaceDE w:val="0"/>
        <w:autoSpaceDN w:val="0"/>
        <w:adjustRightInd w:val="0"/>
        <w:rPr>
          <w:b/>
          <w:color w:val="000000"/>
          <w:szCs w:val="22"/>
          <w:u w:val="single"/>
        </w:rPr>
      </w:pPr>
      <w:r w:rsidRPr="000362BE">
        <w:rPr>
          <w:b/>
          <w:color w:val="000000"/>
          <w:szCs w:val="22"/>
          <w:u w:val="single"/>
        </w:rPr>
        <w:t xml:space="preserve">Week </w:t>
      </w:r>
      <w:r w:rsidR="00E532FB">
        <w:rPr>
          <w:b/>
          <w:color w:val="000000"/>
          <w:szCs w:val="22"/>
          <w:u w:val="single"/>
        </w:rPr>
        <w:t>7</w:t>
      </w:r>
      <w:r w:rsidRPr="000362BE">
        <w:rPr>
          <w:b/>
          <w:color w:val="000000"/>
          <w:szCs w:val="22"/>
          <w:u w:val="single"/>
        </w:rPr>
        <w:t>: (</w:t>
      </w:r>
      <w:r w:rsidR="00756026">
        <w:rPr>
          <w:b/>
          <w:color w:val="000000"/>
          <w:szCs w:val="22"/>
          <w:u w:val="single"/>
        </w:rPr>
        <w:t>Oct.</w:t>
      </w:r>
      <w:r w:rsidR="00151BC5">
        <w:rPr>
          <w:b/>
          <w:color w:val="000000"/>
          <w:szCs w:val="22"/>
          <w:u w:val="single"/>
        </w:rPr>
        <w:t xml:space="preserve"> </w:t>
      </w:r>
      <w:r w:rsidR="00756026">
        <w:rPr>
          <w:b/>
          <w:color w:val="000000"/>
          <w:szCs w:val="22"/>
          <w:u w:val="single"/>
        </w:rPr>
        <w:t>25</w:t>
      </w:r>
      <w:r w:rsidRPr="000362BE">
        <w:rPr>
          <w:b/>
          <w:color w:val="000000"/>
          <w:szCs w:val="22"/>
          <w:u w:val="single"/>
        </w:rPr>
        <w:t>):</w:t>
      </w:r>
      <w:r>
        <w:rPr>
          <w:b/>
          <w:color w:val="000000"/>
          <w:szCs w:val="22"/>
          <w:u w:val="single"/>
        </w:rPr>
        <w:t xml:space="preserve"> </w:t>
      </w:r>
      <w:r w:rsidR="00E6452F">
        <w:rPr>
          <w:b/>
          <w:color w:val="000000"/>
          <w:szCs w:val="22"/>
          <w:u w:val="single"/>
        </w:rPr>
        <w:t>No Lecture or Tutorials (Fall Break)</w:t>
      </w:r>
    </w:p>
    <w:p w14:paraId="2DB8B73E" w14:textId="77777777" w:rsidR="00BA0E7C" w:rsidRPr="00186BF3" w:rsidRDefault="00BA0E7C" w:rsidP="00BA0E7C">
      <w:pPr>
        <w:pStyle w:val="ListParagraph"/>
        <w:widowControl w:val="0"/>
        <w:autoSpaceDE w:val="0"/>
        <w:autoSpaceDN w:val="0"/>
        <w:adjustRightInd w:val="0"/>
        <w:ind w:left="1080"/>
        <w:rPr>
          <w:color w:val="000000"/>
          <w:szCs w:val="22"/>
        </w:rPr>
      </w:pPr>
    </w:p>
    <w:p w14:paraId="436483E1" w14:textId="4045774E" w:rsidR="006967EE" w:rsidRDefault="00BA0E7C" w:rsidP="00BA0E7C">
      <w:pPr>
        <w:widowControl w:val="0"/>
        <w:autoSpaceDE w:val="0"/>
        <w:autoSpaceDN w:val="0"/>
        <w:adjustRightInd w:val="0"/>
        <w:rPr>
          <w:b/>
          <w:color w:val="000000"/>
          <w:szCs w:val="22"/>
          <w:u w:val="single"/>
        </w:rPr>
      </w:pPr>
      <w:r w:rsidRPr="000362BE">
        <w:rPr>
          <w:b/>
          <w:color w:val="000000"/>
          <w:szCs w:val="22"/>
          <w:u w:val="single"/>
        </w:rPr>
        <w:t xml:space="preserve">Week </w:t>
      </w:r>
      <w:r w:rsidR="00E532FB">
        <w:rPr>
          <w:b/>
          <w:color w:val="000000"/>
          <w:szCs w:val="22"/>
          <w:u w:val="single"/>
        </w:rPr>
        <w:t>8</w:t>
      </w:r>
      <w:r w:rsidRPr="000362BE">
        <w:rPr>
          <w:b/>
          <w:color w:val="000000"/>
          <w:szCs w:val="22"/>
          <w:u w:val="single"/>
        </w:rPr>
        <w:t xml:space="preserve"> (</w:t>
      </w:r>
      <w:r w:rsidR="00BA3D73">
        <w:rPr>
          <w:b/>
          <w:color w:val="000000"/>
          <w:szCs w:val="22"/>
          <w:u w:val="single"/>
        </w:rPr>
        <w:t>Nov.</w:t>
      </w:r>
      <w:r w:rsidR="00151BC5">
        <w:rPr>
          <w:b/>
          <w:color w:val="000000"/>
          <w:szCs w:val="22"/>
          <w:u w:val="single"/>
        </w:rPr>
        <w:t xml:space="preserve"> </w:t>
      </w:r>
      <w:r w:rsidR="00BA3D73">
        <w:rPr>
          <w:b/>
          <w:color w:val="000000"/>
          <w:szCs w:val="22"/>
          <w:u w:val="single"/>
        </w:rPr>
        <w:t>1</w:t>
      </w:r>
      <w:r w:rsidRPr="000362BE">
        <w:rPr>
          <w:b/>
          <w:color w:val="000000"/>
          <w:szCs w:val="22"/>
          <w:u w:val="single"/>
        </w:rPr>
        <w:t>):</w:t>
      </w:r>
    </w:p>
    <w:p w14:paraId="225A8BCF" w14:textId="16C5F569" w:rsidR="00BA0E7C" w:rsidRDefault="00BA0E7C" w:rsidP="00BA0E7C">
      <w:pPr>
        <w:widowControl w:val="0"/>
        <w:autoSpaceDE w:val="0"/>
        <w:autoSpaceDN w:val="0"/>
        <w:adjustRightInd w:val="0"/>
        <w:rPr>
          <w:b/>
          <w:color w:val="000000"/>
          <w:szCs w:val="22"/>
          <w:u w:val="single"/>
        </w:rPr>
      </w:pPr>
      <w:r w:rsidRPr="000362BE">
        <w:rPr>
          <w:b/>
          <w:color w:val="000000"/>
          <w:szCs w:val="22"/>
          <w:u w:val="single"/>
        </w:rPr>
        <w:t xml:space="preserve"> </w:t>
      </w:r>
    </w:p>
    <w:p w14:paraId="34E51F52" w14:textId="0862957A" w:rsidR="00E532FB" w:rsidRPr="00E532FB" w:rsidRDefault="00DD6AEE" w:rsidP="00E532FB">
      <w:pPr>
        <w:pStyle w:val="ListParagraph"/>
        <w:numPr>
          <w:ilvl w:val="0"/>
          <w:numId w:val="5"/>
        </w:numPr>
        <w:rPr>
          <w:color w:val="000000"/>
          <w:szCs w:val="22"/>
        </w:rPr>
      </w:pPr>
      <w:r>
        <w:rPr>
          <w:color w:val="000000"/>
          <w:szCs w:val="22"/>
        </w:rPr>
        <w:t xml:space="preserve">Reading: Brian Barry, </w:t>
      </w:r>
      <w:r>
        <w:rPr>
          <w:i/>
          <w:iCs/>
          <w:color w:val="000000"/>
          <w:szCs w:val="22"/>
        </w:rPr>
        <w:t xml:space="preserve">Justice as Impartiality </w:t>
      </w:r>
      <w:r>
        <w:rPr>
          <w:color w:val="000000"/>
          <w:szCs w:val="22"/>
        </w:rPr>
        <w:t xml:space="preserve">(pp. 28-72). </w:t>
      </w:r>
    </w:p>
    <w:p w14:paraId="385B046F" w14:textId="2A74E08E" w:rsidR="006967EE" w:rsidRDefault="006967EE" w:rsidP="006967EE">
      <w:pPr>
        <w:pStyle w:val="ListParagraph"/>
        <w:widowControl w:val="0"/>
        <w:numPr>
          <w:ilvl w:val="1"/>
          <w:numId w:val="5"/>
        </w:numPr>
        <w:autoSpaceDE w:val="0"/>
        <w:autoSpaceDN w:val="0"/>
        <w:adjustRightInd w:val="0"/>
        <w:rPr>
          <w:color w:val="000000"/>
          <w:szCs w:val="22"/>
        </w:rPr>
      </w:pPr>
      <w:r>
        <w:rPr>
          <w:color w:val="000000"/>
          <w:szCs w:val="22"/>
        </w:rPr>
        <w:t>Available on ARES</w:t>
      </w:r>
    </w:p>
    <w:p w14:paraId="60D7639A" w14:textId="77777777" w:rsidR="00414E21" w:rsidRPr="00E33914" w:rsidRDefault="00414E21" w:rsidP="00E33914">
      <w:pPr>
        <w:widowControl w:val="0"/>
        <w:autoSpaceDE w:val="0"/>
        <w:autoSpaceDN w:val="0"/>
        <w:adjustRightInd w:val="0"/>
        <w:ind w:left="1440"/>
        <w:rPr>
          <w:color w:val="000000"/>
          <w:szCs w:val="22"/>
        </w:rPr>
      </w:pPr>
    </w:p>
    <w:p w14:paraId="32934151" w14:textId="71B3C2FC" w:rsidR="00BA0E7C" w:rsidRDefault="00BA0E7C" w:rsidP="006967EE">
      <w:pPr>
        <w:rPr>
          <w:color w:val="000000"/>
          <w:szCs w:val="22"/>
        </w:rPr>
      </w:pPr>
    </w:p>
    <w:p w14:paraId="184C257A" w14:textId="77777777" w:rsidR="00910F47" w:rsidRPr="006967EE" w:rsidRDefault="00910F47" w:rsidP="006967EE">
      <w:pPr>
        <w:rPr>
          <w:color w:val="000000"/>
          <w:szCs w:val="22"/>
        </w:rPr>
      </w:pPr>
    </w:p>
    <w:p w14:paraId="0A5AF597" w14:textId="2ACDA434" w:rsidR="00151BC5" w:rsidRDefault="00BA0E7C" w:rsidP="006967EE">
      <w:pPr>
        <w:widowControl w:val="0"/>
        <w:autoSpaceDE w:val="0"/>
        <w:autoSpaceDN w:val="0"/>
        <w:adjustRightInd w:val="0"/>
        <w:rPr>
          <w:b/>
          <w:color w:val="000000"/>
          <w:szCs w:val="22"/>
          <w:u w:val="single"/>
        </w:rPr>
      </w:pPr>
      <w:r w:rsidRPr="000362BE">
        <w:rPr>
          <w:b/>
          <w:color w:val="000000"/>
          <w:szCs w:val="22"/>
          <w:u w:val="single"/>
        </w:rPr>
        <w:t xml:space="preserve">Week </w:t>
      </w:r>
      <w:r w:rsidR="00E532FB">
        <w:rPr>
          <w:b/>
          <w:color w:val="000000"/>
          <w:szCs w:val="22"/>
          <w:u w:val="single"/>
        </w:rPr>
        <w:t>9</w:t>
      </w:r>
      <w:r w:rsidRPr="000362BE">
        <w:rPr>
          <w:b/>
          <w:color w:val="000000"/>
          <w:szCs w:val="22"/>
          <w:u w:val="single"/>
        </w:rPr>
        <w:t xml:space="preserve"> (</w:t>
      </w:r>
      <w:r w:rsidR="00BA3D73">
        <w:rPr>
          <w:b/>
          <w:color w:val="000000"/>
          <w:szCs w:val="22"/>
          <w:u w:val="single"/>
        </w:rPr>
        <w:t>Nov.</w:t>
      </w:r>
      <w:r w:rsidR="00151BC5">
        <w:rPr>
          <w:b/>
          <w:color w:val="000000"/>
          <w:szCs w:val="22"/>
          <w:u w:val="single"/>
        </w:rPr>
        <w:t xml:space="preserve"> </w:t>
      </w:r>
      <w:r w:rsidR="00BA3D73">
        <w:rPr>
          <w:b/>
          <w:color w:val="000000"/>
          <w:szCs w:val="22"/>
          <w:u w:val="single"/>
        </w:rPr>
        <w:t>8</w:t>
      </w:r>
      <w:r w:rsidRPr="000362BE">
        <w:rPr>
          <w:b/>
          <w:color w:val="000000"/>
          <w:szCs w:val="22"/>
          <w:u w:val="single"/>
        </w:rPr>
        <w:t>):</w:t>
      </w:r>
      <w:r>
        <w:rPr>
          <w:b/>
          <w:color w:val="000000"/>
          <w:szCs w:val="22"/>
          <w:u w:val="single"/>
        </w:rPr>
        <w:t xml:space="preserve"> </w:t>
      </w:r>
    </w:p>
    <w:p w14:paraId="34BEB554" w14:textId="133F1AE1" w:rsidR="006967EE" w:rsidRDefault="006967EE" w:rsidP="006967EE">
      <w:pPr>
        <w:widowControl w:val="0"/>
        <w:autoSpaceDE w:val="0"/>
        <w:autoSpaceDN w:val="0"/>
        <w:adjustRightInd w:val="0"/>
        <w:rPr>
          <w:b/>
          <w:color w:val="000000"/>
          <w:szCs w:val="22"/>
          <w:u w:val="single"/>
        </w:rPr>
      </w:pPr>
    </w:p>
    <w:p w14:paraId="36C584FA" w14:textId="53DC9009" w:rsidR="00DD6AEE" w:rsidRDefault="00DD6AEE" w:rsidP="00E532FB">
      <w:pPr>
        <w:pStyle w:val="ListParagraph"/>
        <w:widowControl w:val="0"/>
        <w:numPr>
          <w:ilvl w:val="0"/>
          <w:numId w:val="5"/>
        </w:numPr>
        <w:autoSpaceDE w:val="0"/>
        <w:autoSpaceDN w:val="0"/>
        <w:adjustRightInd w:val="0"/>
        <w:rPr>
          <w:color w:val="000000"/>
          <w:szCs w:val="22"/>
        </w:rPr>
      </w:pPr>
      <w:r>
        <w:rPr>
          <w:color w:val="000000"/>
          <w:szCs w:val="22"/>
        </w:rPr>
        <w:t xml:space="preserve">Richard Delgado and Jean Stefancic, </w:t>
      </w:r>
      <w:r>
        <w:rPr>
          <w:i/>
          <w:iCs/>
          <w:color w:val="000000"/>
          <w:szCs w:val="22"/>
        </w:rPr>
        <w:t xml:space="preserve">Critical Race Theory: An Introduction </w:t>
      </w:r>
      <w:r>
        <w:rPr>
          <w:color w:val="000000"/>
          <w:szCs w:val="22"/>
        </w:rPr>
        <w:t>(pp. 1-27)</w:t>
      </w:r>
    </w:p>
    <w:p w14:paraId="6C7A53CF" w14:textId="7499F0E1" w:rsidR="00E532FB" w:rsidRDefault="00E532FB" w:rsidP="00E532FB">
      <w:pPr>
        <w:pStyle w:val="ListParagraph"/>
        <w:widowControl w:val="0"/>
        <w:numPr>
          <w:ilvl w:val="0"/>
          <w:numId w:val="5"/>
        </w:numPr>
        <w:autoSpaceDE w:val="0"/>
        <w:autoSpaceDN w:val="0"/>
        <w:adjustRightInd w:val="0"/>
        <w:rPr>
          <w:color w:val="000000"/>
          <w:szCs w:val="22"/>
        </w:rPr>
      </w:pPr>
      <w:r w:rsidRPr="00B166C8">
        <w:rPr>
          <w:color w:val="000000"/>
          <w:szCs w:val="22"/>
        </w:rPr>
        <w:t xml:space="preserve">Readings: </w:t>
      </w:r>
      <w:r>
        <w:rPr>
          <w:color w:val="000000"/>
          <w:szCs w:val="22"/>
        </w:rPr>
        <w:t xml:space="preserve">Charles Mills, “Racial Liberalism” </w:t>
      </w:r>
      <w:r>
        <w:rPr>
          <w:i/>
          <w:iCs/>
          <w:color w:val="000000"/>
          <w:szCs w:val="22"/>
        </w:rPr>
        <w:t xml:space="preserve">PMLA </w:t>
      </w:r>
      <w:r w:rsidR="00DD6AEE">
        <w:rPr>
          <w:color w:val="000000"/>
          <w:szCs w:val="22"/>
        </w:rPr>
        <w:t>(</w:t>
      </w:r>
      <w:r>
        <w:rPr>
          <w:color w:val="000000"/>
          <w:szCs w:val="22"/>
        </w:rPr>
        <w:t>pp. 1380-1397</w:t>
      </w:r>
      <w:r w:rsidR="00DD6AEE">
        <w:rPr>
          <w:color w:val="000000"/>
          <w:szCs w:val="22"/>
        </w:rPr>
        <w:t>)</w:t>
      </w:r>
    </w:p>
    <w:p w14:paraId="1907D969" w14:textId="77777777" w:rsidR="00DD6AEE" w:rsidRPr="00DD6AEE" w:rsidRDefault="00DD6AEE" w:rsidP="00DD6AEE">
      <w:pPr>
        <w:widowControl w:val="0"/>
        <w:autoSpaceDE w:val="0"/>
        <w:autoSpaceDN w:val="0"/>
        <w:adjustRightInd w:val="0"/>
        <w:ind w:left="720"/>
        <w:rPr>
          <w:color w:val="000000"/>
          <w:szCs w:val="22"/>
        </w:rPr>
      </w:pPr>
    </w:p>
    <w:p w14:paraId="68F3CFDE" w14:textId="6E34B440" w:rsidR="00E532FB" w:rsidRPr="00E532FB" w:rsidRDefault="00E532FB" w:rsidP="00E532FB">
      <w:pPr>
        <w:pStyle w:val="ListParagraph"/>
        <w:numPr>
          <w:ilvl w:val="1"/>
          <w:numId w:val="5"/>
        </w:numPr>
        <w:rPr>
          <w:b/>
          <w:color w:val="000000"/>
          <w:szCs w:val="22"/>
          <w:u w:val="single"/>
        </w:rPr>
      </w:pPr>
      <w:r>
        <w:rPr>
          <w:color w:val="000000"/>
          <w:szCs w:val="22"/>
        </w:rPr>
        <w:t>Available on ARES</w:t>
      </w:r>
    </w:p>
    <w:p w14:paraId="76F6E886" w14:textId="602DB43C" w:rsidR="006967EE" w:rsidRPr="006967EE" w:rsidRDefault="006967EE" w:rsidP="006967EE">
      <w:pPr>
        <w:pStyle w:val="ListParagraph"/>
        <w:widowControl w:val="0"/>
        <w:autoSpaceDE w:val="0"/>
        <w:autoSpaceDN w:val="0"/>
        <w:adjustRightInd w:val="0"/>
        <w:ind w:left="1080"/>
        <w:rPr>
          <w:b/>
          <w:color w:val="000000"/>
          <w:szCs w:val="22"/>
          <w:u w:val="single"/>
        </w:rPr>
      </w:pPr>
    </w:p>
    <w:p w14:paraId="049A57D2" w14:textId="0D627791" w:rsidR="00151BC5" w:rsidRPr="00BD2C66" w:rsidRDefault="00BA0E7C" w:rsidP="00BD2C66">
      <w:pPr>
        <w:widowControl w:val="0"/>
        <w:autoSpaceDE w:val="0"/>
        <w:autoSpaceDN w:val="0"/>
        <w:adjustRightInd w:val="0"/>
        <w:rPr>
          <w:i/>
          <w:color w:val="000000"/>
          <w:szCs w:val="22"/>
        </w:rPr>
      </w:pPr>
      <w:r w:rsidRPr="000362BE">
        <w:rPr>
          <w:b/>
          <w:color w:val="000000"/>
          <w:szCs w:val="22"/>
          <w:u w:val="single"/>
        </w:rPr>
        <w:t xml:space="preserve">Week </w:t>
      </w:r>
      <w:r w:rsidR="00E532FB">
        <w:rPr>
          <w:b/>
          <w:color w:val="000000"/>
          <w:szCs w:val="22"/>
          <w:u w:val="single"/>
        </w:rPr>
        <w:t>10</w:t>
      </w:r>
      <w:r w:rsidRPr="000362BE">
        <w:rPr>
          <w:b/>
          <w:color w:val="000000"/>
          <w:szCs w:val="22"/>
          <w:u w:val="single"/>
        </w:rPr>
        <w:t xml:space="preserve"> (</w:t>
      </w:r>
      <w:r w:rsidR="00BA3D73">
        <w:rPr>
          <w:b/>
          <w:color w:val="000000"/>
          <w:szCs w:val="22"/>
          <w:u w:val="single"/>
        </w:rPr>
        <w:t>Nov.</w:t>
      </w:r>
      <w:r w:rsidR="00151BC5">
        <w:rPr>
          <w:b/>
          <w:color w:val="000000"/>
          <w:szCs w:val="22"/>
          <w:u w:val="single"/>
        </w:rPr>
        <w:t xml:space="preserve"> </w:t>
      </w:r>
      <w:r w:rsidR="00BA3D73">
        <w:rPr>
          <w:b/>
          <w:color w:val="000000"/>
          <w:szCs w:val="22"/>
          <w:u w:val="single"/>
        </w:rPr>
        <w:t>15</w:t>
      </w:r>
      <w:r w:rsidRPr="000362BE">
        <w:rPr>
          <w:b/>
          <w:color w:val="000000"/>
          <w:szCs w:val="22"/>
          <w:u w:val="single"/>
        </w:rPr>
        <w:t>):</w:t>
      </w:r>
    </w:p>
    <w:p w14:paraId="1887E1A9" w14:textId="50BACFD0" w:rsidR="00E532FB" w:rsidRDefault="00E532FB" w:rsidP="00E532FB">
      <w:pPr>
        <w:pStyle w:val="Heading1"/>
        <w:numPr>
          <w:ilvl w:val="0"/>
          <w:numId w:val="5"/>
        </w:numPr>
        <w:rPr>
          <w:b w:val="0"/>
          <w:sz w:val="24"/>
          <w:szCs w:val="24"/>
        </w:rPr>
      </w:pPr>
      <w:r w:rsidRPr="001A7F01">
        <w:rPr>
          <w:b w:val="0"/>
          <w:color w:val="000000"/>
          <w:sz w:val="24"/>
          <w:szCs w:val="24"/>
        </w:rPr>
        <w:t xml:space="preserve">Readings: </w:t>
      </w:r>
      <w:r>
        <w:rPr>
          <w:b w:val="0"/>
          <w:color w:val="000000"/>
          <w:sz w:val="24"/>
          <w:szCs w:val="24"/>
        </w:rPr>
        <w:t>Gerardo R. Lopez, “</w:t>
      </w:r>
      <w:r w:rsidRPr="001A7F01">
        <w:rPr>
          <w:b w:val="0"/>
          <w:sz w:val="24"/>
          <w:szCs w:val="24"/>
        </w:rPr>
        <w:t>The (Racially Neutral) Politics of Education: A Critical Race Theory Perspective</w:t>
      </w:r>
      <w:r>
        <w:rPr>
          <w:b w:val="0"/>
          <w:sz w:val="24"/>
          <w:szCs w:val="24"/>
        </w:rPr>
        <w:t xml:space="preserve">” </w:t>
      </w:r>
      <w:r w:rsidR="00DD6AEE">
        <w:rPr>
          <w:b w:val="0"/>
          <w:i/>
          <w:iCs/>
          <w:sz w:val="24"/>
          <w:szCs w:val="24"/>
        </w:rPr>
        <w:t xml:space="preserve">Educational Administration Quarterly </w:t>
      </w:r>
      <w:r w:rsidR="00DD6AEE">
        <w:rPr>
          <w:b w:val="0"/>
          <w:sz w:val="24"/>
          <w:szCs w:val="24"/>
        </w:rPr>
        <w:t>(pp. 68-87)</w:t>
      </w:r>
    </w:p>
    <w:p w14:paraId="29C343F1" w14:textId="4E390A75" w:rsidR="00DD6AEE" w:rsidRPr="003F19AE" w:rsidRDefault="00DD6AEE" w:rsidP="00E532FB">
      <w:pPr>
        <w:pStyle w:val="Heading1"/>
        <w:numPr>
          <w:ilvl w:val="0"/>
          <w:numId w:val="5"/>
        </w:numPr>
        <w:rPr>
          <w:b w:val="0"/>
          <w:sz w:val="24"/>
          <w:szCs w:val="24"/>
        </w:rPr>
      </w:pPr>
      <w:r>
        <w:rPr>
          <w:b w:val="0"/>
          <w:sz w:val="24"/>
          <w:szCs w:val="24"/>
        </w:rPr>
        <w:t xml:space="preserve">Wendy M. Limbert and Heather E. Bullock, “‘Playing the Fool’: US Welfare Policy from a Critical Race Perspective” </w:t>
      </w:r>
      <w:r>
        <w:rPr>
          <w:b w:val="0"/>
          <w:i/>
          <w:iCs/>
          <w:sz w:val="24"/>
          <w:szCs w:val="24"/>
        </w:rPr>
        <w:t xml:space="preserve">Feminism and Psychology </w:t>
      </w:r>
      <w:r>
        <w:rPr>
          <w:b w:val="0"/>
          <w:sz w:val="24"/>
          <w:szCs w:val="24"/>
        </w:rPr>
        <w:t>(pp. 253-268)</w:t>
      </w:r>
    </w:p>
    <w:p w14:paraId="2FE8DC4C" w14:textId="48A3E722" w:rsidR="00E532FB" w:rsidRPr="00E532FB" w:rsidRDefault="00E532FB" w:rsidP="00E532FB">
      <w:pPr>
        <w:pStyle w:val="ListParagraph"/>
        <w:numPr>
          <w:ilvl w:val="1"/>
          <w:numId w:val="5"/>
        </w:numPr>
        <w:rPr>
          <w:b/>
          <w:color w:val="000000"/>
          <w:szCs w:val="22"/>
          <w:u w:val="single"/>
        </w:rPr>
      </w:pPr>
      <w:r>
        <w:rPr>
          <w:color w:val="000000"/>
          <w:szCs w:val="22"/>
        </w:rPr>
        <w:t>Available on ARES</w:t>
      </w:r>
    </w:p>
    <w:p w14:paraId="2CA507FD" w14:textId="77777777" w:rsidR="00E532FB" w:rsidRPr="00E532FB" w:rsidRDefault="00E532FB" w:rsidP="00E532FB">
      <w:pPr>
        <w:pStyle w:val="ListParagraph"/>
        <w:ind w:left="1080"/>
      </w:pPr>
    </w:p>
    <w:p w14:paraId="0AC0D18B" w14:textId="22D8DEEF" w:rsidR="00BA0E7C" w:rsidRDefault="00BA0E7C" w:rsidP="00BA0E7C">
      <w:pPr>
        <w:widowControl w:val="0"/>
        <w:autoSpaceDE w:val="0"/>
        <w:autoSpaceDN w:val="0"/>
        <w:adjustRightInd w:val="0"/>
        <w:rPr>
          <w:b/>
          <w:color w:val="000000"/>
          <w:szCs w:val="22"/>
          <w:u w:val="single"/>
        </w:rPr>
      </w:pPr>
      <w:r w:rsidRPr="000362BE">
        <w:rPr>
          <w:b/>
          <w:color w:val="000000"/>
          <w:szCs w:val="22"/>
          <w:u w:val="single"/>
        </w:rPr>
        <w:t>Week 1</w:t>
      </w:r>
      <w:r w:rsidR="00E532FB">
        <w:rPr>
          <w:b/>
          <w:color w:val="000000"/>
          <w:szCs w:val="22"/>
          <w:u w:val="single"/>
        </w:rPr>
        <w:t>1</w:t>
      </w:r>
      <w:r w:rsidRPr="000362BE">
        <w:rPr>
          <w:b/>
          <w:color w:val="000000"/>
          <w:szCs w:val="22"/>
          <w:u w:val="single"/>
        </w:rPr>
        <w:t xml:space="preserve"> (</w:t>
      </w:r>
      <w:r w:rsidR="00BA3D73">
        <w:rPr>
          <w:b/>
          <w:color w:val="000000"/>
          <w:szCs w:val="22"/>
          <w:u w:val="single"/>
        </w:rPr>
        <w:t>Nov.</w:t>
      </w:r>
      <w:r w:rsidR="00151BC5">
        <w:rPr>
          <w:b/>
          <w:color w:val="000000"/>
          <w:szCs w:val="22"/>
          <w:u w:val="single"/>
        </w:rPr>
        <w:t xml:space="preserve"> </w:t>
      </w:r>
      <w:r w:rsidR="00BA3D73">
        <w:rPr>
          <w:b/>
          <w:color w:val="000000"/>
          <w:szCs w:val="22"/>
          <w:u w:val="single"/>
        </w:rPr>
        <w:t>22</w:t>
      </w:r>
      <w:r w:rsidRPr="000362BE">
        <w:rPr>
          <w:b/>
          <w:color w:val="000000"/>
          <w:szCs w:val="22"/>
          <w:u w:val="single"/>
        </w:rPr>
        <w:t xml:space="preserve">): </w:t>
      </w:r>
      <w:r w:rsidR="00E532FB">
        <w:rPr>
          <w:b/>
          <w:color w:val="000000"/>
          <w:szCs w:val="22"/>
          <w:u w:val="single"/>
        </w:rPr>
        <w:br/>
      </w:r>
    </w:p>
    <w:p w14:paraId="4AAC2C37" w14:textId="77777777" w:rsidR="00383163" w:rsidRPr="00343B41" w:rsidRDefault="00383163" w:rsidP="00383163">
      <w:pPr>
        <w:pStyle w:val="ListParagraph"/>
        <w:widowControl w:val="0"/>
        <w:numPr>
          <w:ilvl w:val="0"/>
          <w:numId w:val="5"/>
        </w:numPr>
        <w:autoSpaceDE w:val="0"/>
        <w:autoSpaceDN w:val="0"/>
        <w:adjustRightInd w:val="0"/>
        <w:rPr>
          <w:color w:val="000000"/>
          <w:szCs w:val="22"/>
        </w:rPr>
      </w:pPr>
      <w:r>
        <w:rPr>
          <w:color w:val="000000"/>
          <w:szCs w:val="22"/>
        </w:rPr>
        <w:t>Reading</w:t>
      </w:r>
      <w:r w:rsidRPr="00056F38">
        <w:rPr>
          <w:color w:val="000000"/>
          <w:szCs w:val="22"/>
        </w:rPr>
        <w:t>:</w:t>
      </w:r>
      <w:r>
        <w:rPr>
          <w:color w:val="000000"/>
          <w:szCs w:val="22"/>
        </w:rPr>
        <w:t xml:space="preserve"> Catherine Mackinnon, </w:t>
      </w:r>
      <w:r>
        <w:rPr>
          <w:i/>
          <w:iCs/>
          <w:color w:val="000000"/>
          <w:szCs w:val="22"/>
        </w:rPr>
        <w:t>Towards a Feminist Theory of the State</w:t>
      </w:r>
      <w:r>
        <w:rPr>
          <w:color w:val="000000"/>
          <w:szCs w:val="22"/>
        </w:rPr>
        <w:t xml:space="preserve"> – Chapter 8: The Liberal State and Chapter 13: Towards Feminist Jurisprudence (pp. 157-170; pp. 239-249</w:t>
      </w:r>
      <w:r w:rsidRPr="001D08FC">
        <w:rPr>
          <w:color w:val="000000"/>
          <w:szCs w:val="22"/>
        </w:rPr>
        <w:t xml:space="preserve">). </w:t>
      </w:r>
    </w:p>
    <w:p w14:paraId="1A616397" w14:textId="754F91A6" w:rsidR="00414E21" w:rsidRPr="00E97A75" w:rsidRDefault="00E532FB" w:rsidP="00414E21">
      <w:pPr>
        <w:pStyle w:val="ListParagraph"/>
        <w:numPr>
          <w:ilvl w:val="1"/>
          <w:numId w:val="5"/>
        </w:numPr>
        <w:rPr>
          <w:b/>
          <w:u w:val="single"/>
        </w:rPr>
      </w:pPr>
      <w:r>
        <w:rPr>
          <w:bCs/>
        </w:rPr>
        <w:t>Available on ARES</w:t>
      </w:r>
    </w:p>
    <w:p w14:paraId="0893923B" w14:textId="471AC4F9" w:rsidR="00E97A75" w:rsidRPr="00E97A75" w:rsidRDefault="00E97A75" w:rsidP="00E97A75">
      <w:pPr>
        <w:pStyle w:val="ListParagraph"/>
        <w:numPr>
          <w:ilvl w:val="2"/>
          <w:numId w:val="5"/>
        </w:numPr>
      </w:pPr>
      <w:r>
        <w:rPr>
          <w:b/>
          <w:bCs/>
          <w:u w:val="single"/>
        </w:rPr>
        <w:t>SECOND ESSAY DUE END OF THIS WEEK (NOV 28)</w:t>
      </w:r>
    </w:p>
    <w:p w14:paraId="12145F44" w14:textId="77777777" w:rsidR="00E532FB" w:rsidRPr="00E532FB" w:rsidRDefault="00E532FB" w:rsidP="00E532FB">
      <w:pPr>
        <w:pStyle w:val="ListParagraph"/>
        <w:ind w:left="1800"/>
        <w:rPr>
          <w:b/>
          <w:color w:val="000000"/>
          <w:szCs w:val="22"/>
          <w:u w:val="single"/>
        </w:rPr>
      </w:pPr>
    </w:p>
    <w:p w14:paraId="0655583E" w14:textId="588726CF" w:rsidR="006967EE" w:rsidRDefault="00BA0E7C" w:rsidP="006967EE">
      <w:pPr>
        <w:widowControl w:val="0"/>
        <w:autoSpaceDE w:val="0"/>
        <w:autoSpaceDN w:val="0"/>
        <w:adjustRightInd w:val="0"/>
        <w:rPr>
          <w:b/>
          <w:color w:val="000000"/>
          <w:szCs w:val="22"/>
          <w:u w:val="single"/>
        </w:rPr>
      </w:pPr>
      <w:r w:rsidRPr="000362BE">
        <w:rPr>
          <w:b/>
          <w:color w:val="000000"/>
          <w:szCs w:val="22"/>
          <w:u w:val="single"/>
        </w:rPr>
        <w:t>Week 1</w:t>
      </w:r>
      <w:r w:rsidR="00E532FB">
        <w:rPr>
          <w:b/>
          <w:color w:val="000000"/>
          <w:szCs w:val="22"/>
          <w:u w:val="single"/>
        </w:rPr>
        <w:t>2</w:t>
      </w:r>
      <w:r w:rsidRPr="000362BE">
        <w:rPr>
          <w:b/>
          <w:color w:val="000000"/>
          <w:szCs w:val="22"/>
          <w:u w:val="single"/>
        </w:rPr>
        <w:t xml:space="preserve"> (</w:t>
      </w:r>
      <w:r w:rsidR="00BA3D73">
        <w:rPr>
          <w:b/>
          <w:color w:val="000000"/>
          <w:szCs w:val="22"/>
          <w:u w:val="single"/>
        </w:rPr>
        <w:t>Nov.</w:t>
      </w:r>
      <w:r w:rsidR="00151BC5">
        <w:rPr>
          <w:b/>
          <w:color w:val="000000"/>
          <w:szCs w:val="22"/>
          <w:u w:val="single"/>
        </w:rPr>
        <w:t xml:space="preserve"> </w:t>
      </w:r>
      <w:r w:rsidR="00BA3D73">
        <w:rPr>
          <w:b/>
          <w:color w:val="000000"/>
          <w:szCs w:val="22"/>
          <w:u w:val="single"/>
        </w:rPr>
        <w:t>29</w:t>
      </w:r>
      <w:r w:rsidRPr="000362BE">
        <w:rPr>
          <w:b/>
          <w:color w:val="000000"/>
          <w:szCs w:val="22"/>
          <w:u w:val="single"/>
        </w:rPr>
        <w:t>):</w:t>
      </w:r>
      <w:r w:rsidR="00690F1B">
        <w:rPr>
          <w:b/>
          <w:color w:val="000000"/>
          <w:szCs w:val="22"/>
          <w:u w:val="single"/>
        </w:rPr>
        <w:t xml:space="preserve"> </w:t>
      </w:r>
    </w:p>
    <w:p w14:paraId="57AFBB92" w14:textId="1B69C475" w:rsidR="006967EE" w:rsidRDefault="006967EE" w:rsidP="00E532FB">
      <w:pPr>
        <w:widowControl w:val="0"/>
        <w:autoSpaceDE w:val="0"/>
        <w:autoSpaceDN w:val="0"/>
        <w:adjustRightInd w:val="0"/>
        <w:rPr>
          <w:b/>
          <w:color w:val="000000"/>
          <w:szCs w:val="22"/>
          <w:u w:val="single"/>
        </w:rPr>
      </w:pPr>
    </w:p>
    <w:p w14:paraId="7609F2C2" w14:textId="4715FE27" w:rsidR="00E532FB" w:rsidRDefault="000E0711" w:rsidP="00E532FB">
      <w:pPr>
        <w:pStyle w:val="ListParagraph"/>
        <w:numPr>
          <w:ilvl w:val="0"/>
          <w:numId w:val="5"/>
        </w:numPr>
      </w:pPr>
      <w:r>
        <w:t xml:space="preserve">Emanuela Lombardo and Petra Meier, “Policy.” In </w:t>
      </w:r>
      <w:r>
        <w:rPr>
          <w:i/>
          <w:iCs/>
        </w:rPr>
        <w:t xml:space="preserve">The Oxford Handbook of Feminist </w:t>
      </w:r>
      <w:r w:rsidRPr="000E0711">
        <w:rPr>
          <w:i/>
          <w:iCs/>
        </w:rPr>
        <w:t>Theory</w:t>
      </w:r>
      <w:r>
        <w:t>, edited by Lisa Disch and Mary Hawkesworth (pp. 610-631)</w:t>
      </w:r>
    </w:p>
    <w:p w14:paraId="501D48CC" w14:textId="69C47035" w:rsidR="00AE27AE" w:rsidRDefault="00AE27AE" w:rsidP="00AE27AE">
      <w:pPr>
        <w:pStyle w:val="ListParagraph"/>
        <w:numPr>
          <w:ilvl w:val="1"/>
          <w:numId w:val="5"/>
        </w:numPr>
      </w:pPr>
      <w:r>
        <w:t>Available on ARES</w:t>
      </w:r>
    </w:p>
    <w:p w14:paraId="14871352" w14:textId="081C7736" w:rsidR="004E78BE" w:rsidRDefault="004E78BE" w:rsidP="00E532FB">
      <w:pPr>
        <w:pStyle w:val="ListParagraph"/>
        <w:numPr>
          <w:ilvl w:val="0"/>
          <w:numId w:val="5"/>
        </w:numPr>
      </w:pPr>
      <w:r>
        <w:lastRenderedPageBreak/>
        <w:t xml:space="preserve">Nancy Fraser, </w:t>
      </w:r>
      <w:r w:rsidR="00AE27AE">
        <w:t xml:space="preserve">“After the Family Wage: Gender Equity and the Welfare State” </w:t>
      </w:r>
      <w:r w:rsidR="00AE27AE">
        <w:rPr>
          <w:i/>
          <w:iCs/>
        </w:rPr>
        <w:t>Political Theory</w:t>
      </w:r>
      <w:r w:rsidR="00AE27AE">
        <w:t xml:space="preserve"> </w:t>
      </w:r>
      <w:r w:rsidR="00685BD8">
        <w:t>(</w:t>
      </w:r>
      <w:r w:rsidR="00AE27AE">
        <w:t xml:space="preserve">pp. </w:t>
      </w:r>
      <w:r>
        <w:t>591-618</w:t>
      </w:r>
      <w:r w:rsidR="00685BD8">
        <w:t>)</w:t>
      </w:r>
    </w:p>
    <w:p w14:paraId="2ECDBE4A" w14:textId="41A6E281" w:rsidR="00AE27AE" w:rsidRDefault="00AE27AE" w:rsidP="00AE27AE">
      <w:pPr>
        <w:pStyle w:val="ListParagraph"/>
        <w:numPr>
          <w:ilvl w:val="1"/>
          <w:numId w:val="5"/>
        </w:numPr>
      </w:pPr>
      <w:r>
        <w:t>Available on ARES</w:t>
      </w:r>
    </w:p>
    <w:p w14:paraId="43A286AF" w14:textId="070970F2" w:rsidR="00E532FB" w:rsidRPr="00E532FB" w:rsidRDefault="00E532FB" w:rsidP="00E532FB">
      <w:pPr>
        <w:pStyle w:val="ListParagraph"/>
        <w:widowControl w:val="0"/>
        <w:autoSpaceDE w:val="0"/>
        <w:autoSpaceDN w:val="0"/>
        <w:adjustRightInd w:val="0"/>
        <w:ind w:left="1080"/>
        <w:rPr>
          <w:b/>
          <w:color w:val="000000"/>
          <w:szCs w:val="22"/>
          <w:u w:val="single"/>
        </w:rPr>
      </w:pPr>
    </w:p>
    <w:p w14:paraId="68C7E5C0" w14:textId="664A4154" w:rsidR="00151BC5" w:rsidRDefault="00151BC5" w:rsidP="005928DB">
      <w:pPr>
        <w:rPr>
          <w:b/>
          <w:u w:val="single"/>
        </w:rPr>
      </w:pPr>
      <w:r>
        <w:rPr>
          <w:b/>
          <w:u w:val="single"/>
        </w:rPr>
        <w:t>Week 1</w:t>
      </w:r>
      <w:r w:rsidR="00E532FB">
        <w:rPr>
          <w:b/>
          <w:u w:val="single"/>
        </w:rPr>
        <w:t>3</w:t>
      </w:r>
      <w:r>
        <w:rPr>
          <w:b/>
          <w:u w:val="single"/>
        </w:rPr>
        <w:t xml:space="preserve"> (Dec. 6)</w:t>
      </w:r>
      <w:r w:rsidR="006967EE">
        <w:rPr>
          <w:b/>
          <w:u w:val="single"/>
        </w:rPr>
        <w:t xml:space="preserve"> </w:t>
      </w:r>
    </w:p>
    <w:p w14:paraId="56E7F906" w14:textId="6C9AF52D" w:rsidR="006967EE" w:rsidRDefault="006967EE" w:rsidP="005928DB">
      <w:pPr>
        <w:rPr>
          <w:b/>
          <w:u w:val="single"/>
        </w:rPr>
      </w:pPr>
    </w:p>
    <w:p w14:paraId="207DE48A" w14:textId="435F354F" w:rsidR="00E532FB" w:rsidRDefault="00E532FB" w:rsidP="00E532FB">
      <w:pPr>
        <w:pStyle w:val="ListParagraph"/>
        <w:numPr>
          <w:ilvl w:val="0"/>
          <w:numId w:val="5"/>
        </w:numPr>
        <w:rPr>
          <w:rStyle w:val="markedcontent"/>
        </w:rPr>
      </w:pPr>
      <w:r w:rsidRPr="002351AF">
        <w:rPr>
          <w:color w:val="000000"/>
          <w:szCs w:val="22"/>
        </w:rPr>
        <w:t xml:space="preserve">Reading: Richard Arnesen, “Luck Egalitarianism – A Primer” in </w:t>
      </w:r>
      <w:r w:rsidRPr="00F22705">
        <w:rPr>
          <w:rStyle w:val="markedcontent"/>
        </w:rPr>
        <w:t>Carl Knight and Zofia Stemplowska</w:t>
      </w:r>
      <w:r>
        <w:rPr>
          <w:rStyle w:val="markedcontent"/>
        </w:rPr>
        <w:t xml:space="preserve"> (ed.) </w:t>
      </w:r>
      <w:r w:rsidRPr="002351AF">
        <w:rPr>
          <w:rStyle w:val="markedcontent"/>
          <w:i/>
          <w:iCs/>
        </w:rPr>
        <w:t>Responsibility and Distributive Justice</w:t>
      </w:r>
      <w:r>
        <w:rPr>
          <w:rStyle w:val="markedcontent"/>
        </w:rPr>
        <w:t xml:space="preserve"> (pp. 24-50)</w:t>
      </w:r>
    </w:p>
    <w:p w14:paraId="0FBCAB9F" w14:textId="7048CB1B" w:rsidR="00E532FB" w:rsidRPr="00E532FB" w:rsidRDefault="00E532FB" w:rsidP="005928DB">
      <w:pPr>
        <w:pStyle w:val="ListParagraph"/>
        <w:numPr>
          <w:ilvl w:val="1"/>
          <w:numId w:val="5"/>
        </w:numPr>
      </w:pPr>
      <w:r>
        <w:rPr>
          <w:rStyle w:val="markedcontent"/>
        </w:rPr>
        <w:t>Available on ARES</w:t>
      </w:r>
    </w:p>
    <w:p w14:paraId="2138BA96" w14:textId="49876B2A" w:rsidR="00E532FB" w:rsidRDefault="00E532FB" w:rsidP="00E532FB"/>
    <w:p w14:paraId="6B27164D" w14:textId="5CA3BDD2" w:rsidR="00E532FB" w:rsidRDefault="00E532FB" w:rsidP="00E532FB">
      <w:pPr>
        <w:rPr>
          <w:b/>
          <w:bCs/>
          <w:u w:val="single"/>
        </w:rPr>
      </w:pPr>
      <w:r>
        <w:rPr>
          <w:b/>
          <w:bCs/>
          <w:u w:val="single"/>
        </w:rPr>
        <w:t>Week 14 (Dec. 10)</w:t>
      </w:r>
    </w:p>
    <w:p w14:paraId="1421B3E0" w14:textId="6BFE604E" w:rsidR="00E532FB" w:rsidRDefault="00E532FB" w:rsidP="00E532FB">
      <w:pPr>
        <w:rPr>
          <w:b/>
          <w:bCs/>
          <w:u w:val="single"/>
        </w:rPr>
      </w:pPr>
    </w:p>
    <w:p w14:paraId="01F4539D" w14:textId="791F737F" w:rsidR="00151BC5" w:rsidRPr="00C10136" w:rsidRDefault="00685BD8" w:rsidP="00C10136">
      <w:pPr>
        <w:pStyle w:val="ListParagraph"/>
        <w:numPr>
          <w:ilvl w:val="0"/>
          <w:numId w:val="5"/>
        </w:numPr>
        <w:rPr>
          <w:lang w:val="en-CA"/>
        </w:rPr>
      </w:pPr>
      <w:r>
        <w:t xml:space="preserve">Kim Angell and Robert Huseby, </w:t>
      </w:r>
      <w:r w:rsidR="00C10136">
        <w:t xml:space="preserve">Angell, </w:t>
      </w:r>
      <w:r w:rsidR="00DD6AEE">
        <w:t>“</w:t>
      </w:r>
      <w:r w:rsidR="00C10136">
        <w:t>Global Luck Egalitarianism and Border Contro</w:t>
      </w:r>
      <w:r w:rsidR="00AA615F">
        <w:t>l</w:t>
      </w:r>
      <w:r w:rsidR="00DD6AEE">
        <w:t xml:space="preserve">.” </w:t>
      </w:r>
      <w:r w:rsidR="00C10136" w:rsidRPr="00C10136">
        <w:rPr>
          <w:i/>
          <w:iCs/>
        </w:rPr>
        <w:t>Ratio Juris</w:t>
      </w:r>
      <w:r>
        <w:t xml:space="preserve"> (pp. </w:t>
      </w:r>
      <w:r w:rsidR="00C10136">
        <w:t>77-192</w:t>
      </w:r>
      <w:r>
        <w:t>)</w:t>
      </w:r>
    </w:p>
    <w:p w14:paraId="69CC2842" w14:textId="04ED7416" w:rsidR="00C10136" w:rsidRPr="00C10136" w:rsidRDefault="00C10136" w:rsidP="00C10136">
      <w:pPr>
        <w:pStyle w:val="ListParagraph"/>
        <w:numPr>
          <w:ilvl w:val="1"/>
          <w:numId w:val="5"/>
        </w:numPr>
        <w:rPr>
          <w:lang w:val="en-CA"/>
        </w:rPr>
      </w:pPr>
      <w:r>
        <w:t>Available on ARES</w:t>
      </w:r>
    </w:p>
    <w:p w14:paraId="09E762DE" w14:textId="77777777" w:rsidR="004D0F82" w:rsidRDefault="00C57882">
      <w:r>
        <w:rPr>
          <w:noProof/>
        </w:rPr>
        <w:pict w14:anchorId="6C34C30B">
          <v:rect id="_x0000_i1026" alt="" style="width:193.75pt;height:.05pt;mso-width-percent:0;mso-height-percent:0;mso-width-percent:0;mso-height-percent:0" o:hrpct="414" o:hralign="center" o:hrstd="t" o:hr="t" fillcolor="#aaa" stroked="f"/>
        </w:pict>
      </w:r>
    </w:p>
    <w:p w14:paraId="0CC886AA" w14:textId="77777777" w:rsidR="000F2591" w:rsidRPr="009A5E4B" w:rsidRDefault="000F2591" w:rsidP="000F2591">
      <w:pPr>
        <w:pBdr>
          <w:bottom w:val="single" w:sz="4" w:space="1" w:color="auto"/>
        </w:pBdr>
        <w:rPr>
          <w:rFonts w:ascii="Arial" w:hAnsi="Arial" w:cs="Arial"/>
          <w:b/>
          <w:bCs/>
          <w:sz w:val="22"/>
          <w:szCs w:val="22"/>
          <w:lang w:val="en-GB"/>
        </w:rPr>
      </w:pPr>
      <w:r w:rsidRPr="009A5E4B">
        <w:rPr>
          <w:rFonts w:ascii="Arial" w:hAnsi="Arial" w:cs="Arial"/>
          <w:b/>
          <w:bCs/>
          <w:sz w:val="22"/>
          <w:szCs w:val="22"/>
          <w:lang w:val="en-GB"/>
        </w:rPr>
        <w:t>Academic Accommodations</w:t>
      </w:r>
    </w:p>
    <w:p w14:paraId="03E2DB16" w14:textId="77777777" w:rsidR="000F2591" w:rsidRDefault="000F2591" w:rsidP="000F2591">
      <w:pPr>
        <w:rPr>
          <w:b/>
        </w:rPr>
      </w:pPr>
    </w:p>
    <w:p w14:paraId="30FB9EBB" w14:textId="77777777" w:rsidR="000F2591" w:rsidRPr="00E72C5F" w:rsidRDefault="000F2591" w:rsidP="000F2591">
      <w:pPr>
        <w:rPr>
          <w:b/>
        </w:rPr>
      </w:pPr>
      <w:r>
        <w:rPr>
          <w:b/>
        </w:rPr>
        <w:t xml:space="preserve">Requests for </w:t>
      </w:r>
      <w:r w:rsidRPr="00E72C5F">
        <w:rPr>
          <w:b/>
        </w:rPr>
        <w:t>Academic Accommodation</w:t>
      </w:r>
    </w:p>
    <w:p w14:paraId="40052734" w14:textId="77777777" w:rsidR="000F2591" w:rsidRDefault="000F2591" w:rsidP="000F2591">
      <w:r>
        <w:t xml:space="preserve">You may need special arrangements to meet your academic obligations during the term. For an accommodation request, the processes are as follows: </w:t>
      </w:r>
    </w:p>
    <w:p w14:paraId="20BDC35E" w14:textId="77777777" w:rsidR="000F2591" w:rsidRDefault="000F2591" w:rsidP="000F2591"/>
    <w:p w14:paraId="2AFCBFF2" w14:textId="77777777" w:rsidR="000F2591" w:rsidRDefault="000F2591" w:rsidP="000F2591">
      <w:r w:rsidRPr="00F72614">
        <w:rPr>
          <w:b/>
        </w:rPr>
        <w:t>Pregnancy obligation</w:t>
      </w:r>
      <w:r>
        <w:t xml:space="preserve"> </w:t>
      </w:r>
    </w:p>
    <w:p w14:paraId="3D5C75BD" w14:textId="77777777" w:rsidR="000F2591" w:rsidRDefault="000F2591" w:rsidP="000F2591">
      <w:r>
        <w:t xml:space="preserve">Please contact your instructor </w:t>
      </w:r>
      <w:r w:rsidRPr="00E72C5F">
        <w:t>with any requests for academic accommodation during the first two weeks of class, or as soon as possible after the need for accommodation is known to exist</w:t>
      </w:r>
      <w:r>
        <w:t xml:space="preserve">. </w:t>
      </w:r>
      <w:r w:rsidRPr="00E72C5F">
        <w:t xml:space="preserve">For more details, </w:t>
      </w:r>
      <w:r>
        <w:t>visit the</w:t>
      </w:r>
      <w:r w:rsidRPr="00E72C5F">
        <w:t xml:space="preserve"> Equity Services </w:t>
      </w:r>
      <w:r>
        <w:t>website:</w:t>
      </w:r>
      <w:r w:rsidRPr="00E72C5F">
        <w:t xml:space="preserve"> </w:t>
      </w:r>
      <w:hyperlink r:id="rId7" w:history="1">
        <w:r w:rsidRPr="000A282E">
          <w:rPr>
            <w:rStyle w:val="Hyperlink"/>
            <w:b/>
          </w:rPr>
          <w:t>carleton.ca/equity/wp-content/uploads/Student-Guide-to-Academic-Accommodation.pdf</w:t>
        </w:r>
      </w:hyperlink>
    </w:p>
    <w:p w14:paraId="1F1DB0CC" w14:textId="77777777" w:rsidR="000F2591" w:rsidRDefault="000F2591" w:rsidP="000F2591">
      <w:pPr>
        <w:rPr>
          <w:b/>
        </w:rPr>
      </w:pPr>
    </w:p>
    <w:p w14:paraId="5114537B" w14:textId="77777777" w:rsidR="000F2591" w:rsidRDefault="000F2591" w:rsidP="000F2591">
      <w:r w:rsidRPr="00F72614">
        <w:rPr>
          <w:b/>
        </w:rPr>
        <w:t>Religious obligation</w:t>
      </w:r>
      <w:r>
        <w:rPr>
          <w:b/>
        </w:rPr>
        <w:br/>
      </w:r>
      <w:r>
        <w:t xml:space="preserve">Please contact your instructor </w:t>
      </w:r>
      <w:r w:rsidRPr="00E72C5F">
        <w:t>with any requests for academic accommodation during the first two weeks of class, or as soon as possible after the need for accommodation is known to exist</w:t>
      </w:r>
      <w:r>
        <w:t xml:space="preserve">. </w:t>
      </w:r>
      <w:r w:rsidRPr="00E72C5F">
        <w:t xml:space="preserve">For more details, </w:t>
      </w:r>
      <w:r>
        <w:t>visit the</w:t>
      </w:r>
      <w:r w:rsidRPr="00E72C5F">
        <w:t xml:space="preserve"> Equity Services </w:t>
      </w:r>
      <w:r>
        <w:t>website:</w:t>
      </w:r>
      <w:r w:rsidRPr="00E72C5F">
        <w:t xml:space="preserve"> </w:t>
      </w:r>
      <w:hyperlink r:id="rId8" w:history="1">
        <w:r w:rsidRPr="000A282E">
          <w:rPr>
            <w:rStyle w:val="Hyperlink"/>
            <w:b/>
          </w:rPr>
          <w:t>carleton.ca/equity/wp-content/uploads/Student-Guide-to-Academic-Accommodation.pdf</w:t>
        </w:r>
      </w:hyperlink>
    </w:p>
    <w:p w14:paraId="13D37991" w14:textId="77777777" w:rsidR="000F2591" w:rsidRDefault="000F2591" w:rsidP="000F2591"/>
    <w:p w14:paraId="32EB6806" w14:textId="77777777" w:rsidR="000F2591" w:rsidRDefault="000F2591" w:rsidP="000F2591">
      <w:pPr>
        <w:rPr>
          <w:b/>
        </w:rPr>
      </w:pPr>
      <w:r w:rsidRPr="00F72614">
        <w:rPr>
          <w:b/>
        </w:rPr>
        <w:t>Academic Accommodations for Students with Disabilities</w:t>
      </w:r>
    </w:p>
    <w:p w14:paraId="0C027870" w14:textId="77777777" w:rsidR="000F2591" w:rsidRDefault="000F2591" w:rsidP="000F2591">
      <w:r>
        <w:lastRenderedPageBreak/>
        <w:t xml:space="preserve">If you have a documented disability requiring academic accommodations in this course, please contact the Paul Menton Centre for Students with Disabilities (PMC) at 613-520-6608 or </w:t>
      </w:r>
      <w:hyperlink r:id="rId9" w:history="1">
        <w:r w:rsidRPr="00F86E29">
          <w:rPr>
            <w:rStyle w:val="Hyperlink"/>
          </w:rPr>
          <w:t>pmc@carleton.ca</w:t>
        </w:r>
      </w:hyperlink>
      <w:r>
        <w:t xml:space="preserve">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w:t>
      </w:r>
      <w:hyperlink r:id="rId10" w:history="1">
        <w:r w:rsidRPr="000A282E">
          <w:rPr>
            <w:rStyle w:val="Hyperlink"/>
            <w:b/>
          </w:rPr>
          <w:t>carleton.ca/pmc</w:t>
        </w:r>
      </w:hyperlink>
    </w:p>
    <w:p w14:paraId="55D31463" w14:textId="77777777" w:rsidR="000F2591" w:rsidRDefault="000F2591" w:rsidP="000F2591">
      <w:pPr>
        <w:rPr>
          <w:b/>
        </w:rPr>
      </w:pPr>
    </w:p>
    <w:p w14:paraId="1DC2008B" w14:textId="77777777" w:rsidR="000F2591" w:rsidRDefault="000F2591" w:rsidP="000F2591">
      <w:pPr>
        <w:rPr>
          <w:b/>
        </w:rPr>
      </w:pPr>
      <w:r>
        <w:rPr>
          <w:b/>
        </w:rPr>
        <w:t>Survivors of Sexua</w:t>
      </w:r>
      <w:r w:rsidRPr="00D76326">
        <w:rPr>
          <w:b/>
        </w:rPr>
        <w:t>l</w:t>
      </w:r>
      <w:r>
        <w:rPr>
          <w:b/>
        </w:rPr>
        <w:t xml:space="preserve"> </w:t>
      </w:r>
      <w:r w:rsidRPr="00D76326">
        <w:rPr>
          <w:b/>
        </w:rPr>
        <w:t>Violence</w:t>
      </w:r>
    </w:p>
    <w:p w14:paraId="369BA186" w14:textId="77777777" w:rsidR="000F2591" w:rsidRPr="00E72C5F" w:rsidRDefault="000F2591" w:rsidP="000F2591">
      <w:pPr>
        <w:rPr>
          <w:b/>
        </w:rPr>
      </w:pPr>
      <w:r>
        <w:t>As a community, Carleton University is committed to maintaining a positive learning, working and living environment where sexual violence will not be tolerated, and is survivors are supported through academic accommodations</w:t>
      </w:r>
      <w:r w:rsidRPr="009E4883">
        <w:t xml:space="preserve"> as per Carleton's Sexual Violence Policy</w:t>
      </w:r>
      <w:r>
        <w:t>.</w:t>
      </w:r>
      <w:r w:rsidRPr="00F72614">
        <w:t xml:space="preserve"> </w:t>
      </w:r>
      <w:r>
        <w:t xml:space="preserve">For more information about the services available at the university and to obtain information about sexual violence and/or support, visit: </w:t>
      </w:r>
      <w:hyperlink r:id="rId11" w:history="1">
        <w:r w:rsidRPr="000A282E">
          <w:rPr>
            <w:rStyle w:val="Hyperlink"/>
            <w:b/>
          </w:rPr>
          <w:t>carleton.ca/sexual-violence-support</w:t>
        </w:r>
      </w:hyperlink>
    </w:p>
    <w:p w14:paraId="0B906108" w14:textId="77777777" w:rsidR="000F2591" w:rsidRDefault="000F2591" w:rsidP="000F2591"/>
    <w:p w14:paraId="3CE73118" w14:textId="77777777" w:rsidR="000F2591" w:rsidRDefault="000F2591" w:rsidP="000F2591">
      <w:pPr>
        <w:rPr>
          <w:rStyle w:val="Hyperlink"/>
          <w:b/>
        </w:rPr>
      </w:pPr>
      <w:r w:rsidRPr="00D76326">
        <w:rPr>
          <w:b/>
        </w:rPr>
        <w:t xml:space="preserve">Accommodation for Student Activities </w:t>
      </w:r>
      <w:r>
        <w:rPr>
          <w:b/>
        </w:rPr>
        <w:br/>
      </w:r>
      <w:r>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t>
      </w:r>
      <w:r w:rsidRPr="00E72C5F">
        <w:t>with any requests for academic accommodation during the first two weeks of class, or as soon as possible after the need for accommodation is known to exist</w:t>
      </w:r>
      <w:r>
        <w:t>.</w:t>
      </w:r>
      <w:r w:rsidRPr="00CC384D">
        <w:t xml:space="preserve"> </w:t>
      </w:r>
      <w:hyperlink r:id="rId12" w:history="1">
        <w:r w:rsidRPr="00E66ED1">
          <w:rPr>
            <w:rStyle w:val="Hyperlink"/>
            <w:b/>
          </w:rPr>
          <w:t>https://carleton.ca/senate/wp-content/uploads/Accommodation-for-Student-Activities-1.pdf</w:t>
        </w:r>
      </w:hyperlink>
    </w:p>
    <w:p w14:paraId="0C53409C" w14:textId="77777777" w:rsidR="000F2591" w:rsidRPr="00E66ED1" w:rsidRDefault="000F2591" w:rsidP="000F2591">
      <w:pPr>
        <w:rPr>
          <w:b/>
        </w:rPr>
      </w:pPr>
    </w:p>
    <w:p w14:paraId="70E260CF" w14:textId="77777777" w:rsidR="000F2591" w:rsidRPr="00E66ED1" w:rsidRDefault="000F2591" w:rsidP="000F2591">
      <w:pPr>
        <w:rPr>
          <w:b/>
        </w:rPr>
      </w:pPr>
    </w:p>
    <w:p w14:paraId="627E944E" w14:textId="0786C68E" w:rsidR="000F2591" w:rsidRPr="00BB50E6" w:rsidRDefault="000F2591" w:rsidP="000F2591">
      <w:pPr>
        <w:rPr>
          <w:rStyle w:val="Hyperlink"/>
          <w:rFonts w:cs="Cambria"/>
          <w:b/>
        </w:rPr>
      </w:pPr>
      <w:r w:rsidRPr="000F2591">
        <w:rPr>
          <w:rFonts w:cs="Cambria"/>
          <w:color w:val="191919"/>
        </w:rPr>
        <w:t xml:space="preserve">For more information on academic accommodation, please contact the departmental administrator or visit: </w:t>
      </w:r>
      <w:hyperlink r:id="rId13" w:history="1">
        <w:r w:rsidRPr="000F2591">
          <w:rPr>
            <w:rStyle w:val="Hyperlink"/>
            <w:rFonts w:cs="Cambria"/>
            <w:b/>
          </w:rPr>
          <w:t>students.carleton.ca/course-outline</w:t>
        </w:r>
      </w:hyperlink>
    </w:p>
    <w:p w14:paraId="2D0C627B" w14:textId="77777777" w:rsidR="000F2591" w:rsidRPr="000F2591" w:rsidRDefault="000F2591" w:rsidP="000F2591">
      <w:pPr>
        <w:rPr>
          <w:rStyle w:val="Hyperlink"/>
          <w:rFonts w:cs="Cambria"/>
        </w:rPr>
      </w:pPr>
    </w:p>
    <w:p w14:paraId="4F2AE2F9" w14:textId="77777777" w:rsidR="000F2591" w:rsidRDefault="000F2591" w:rsidP="000F2591">
      <w:pPr>
        <w:rPr>
          <w:b/>
          <w:lang w:val="en-GB"/>
        </w:rPr>
      </w:pPr>
      <w:r w:rsidRPr="00CA0F43">
        <w:rPr>
          <w:b/>
          <w:bCs/>
          <w:lang w:val="en-GB"/>
        </w:rPr>
        <w:t>Plagiarism</w:t>
      </w:r>
    </w:p>
    <w:p w14:paraId="3B523F94" w14:textId="77777777" w:rsidR="000F2591" w:rsidRPr="00CA0F43" w:rsidRDefault="000F2591" w:rsidP="000F2591">
      <w:pPr>
        <w:rPr>
          <w:lang w:val="en-GB"/>
        </w:rPr>
      </w:pPr>
      <w:r w:rsidRPr="00CA0F43">
        <w:rPr>
          <w:lang w:val="en-GB"/>
        </w:rPr>
        <w:t xml:space="preserve">The University Senate defines plagiarism as “presenting, whether intentional or not, the ideas, expression of ideas or work of others as one’s own.”  This can include:  </w:t>
      </w:r>
    </w:p>
    <w:p w14:paraId="5D5DD16D" w14:textId="77777777" w:rsidR="000F2591" w:rsidRPr="00CA0F43" w:rsidRDefault="000F2591" w:rsidP="000F2591">
      <w:pPr>
        <w:rPr>
          <w:lang w:val="en-GB"/>
        </w:rPr>
      </w:pPr>
    </w:p>
    <w:p w14:paraId="7338396E" w14:textId="77777777" w:rsidR="000F2591" w:rsidRPr="00CA0F43" w:rsidRDefault="000F2591" w:rsidP="000F2591">
      <w:pPr>
        <w:numPr>
          <w:ilvl w:val="0"/>
          <w:numId w:val="4"/>
        </w:numPr>
        <w:autoSpaceDE w:val="0"/>
        <w:autoSpaceDN w:val="0"/>
        <w:adjustRightInd w:val="0"/>
        <w:rPr>
          <w:lang w:val="en-GB"/>
        </w:rPr>
      </w:pPr>
      <w:r w:rsidRPr="00CA0F43">
        <w:rPr>
          <w:lang w:val="en-GB"/>
        </w:rPr>
        <w:lastRenderedPageBreak/>
        <w:t>reproducing or paraphrasing portions of someone else’s published or unpublished material, regardless of the source, and presenting these as one’s own without proper citation or reference to the original source;</w:t>
      </w:r>
    </w:p>
    <w:p w14:paraId="4F00344F" w14:textId="77777777" w:rsidR="000F2591" w:rsidRPr="00CA0F43" w:rsidRDefault="000F2591" w:rsidP="000F2591">
      <w:pPr>
        <w:numPr>
          <w:ilvl w:val="0"/>
          <w:numId w:val="4"/>
        </w:numPr>
        <w:autoSpaceDE w:val="0"/>
        <w:autoSpaceDN w:val="0"/>
        <w:adjustRightInd w:val="0"/>
        <w:rPr>
          <w:lang w:val="en-GB"/>
        </w:rPr>
      </w:pPr>
      <w:r w:rsidRPr="00CA0F43">
        <w:rPr>
          <w:lang w:val="en-GB"/>
        </w:rPr>
        <w:t>submitting a take-home examination, essay, laboratory report or other assignment written, in whole or in part, by someone else;</w:t>
      </w:r>
    </w:p>
    <w:p w14:paraId="55E3A492" w14:textId="77777777" w:rsidR="000F2591" w:rsidRPr="00CA0F43" w:rsidRDefault="000F2591" w:rsidP="000F2591">
      <w:pPr>
        <w:numPr>
          <w:ilvl w:val="0"/>
          <w:numId w:val="4"/>
        </w:numPr>
        <w:autoSpaceDE w:val="0"/>
        <w:autoSpaceDN w:val="0"/>
        <w:adjustRightInd w:val="0"/>
        <w:rPr>
          <w:lang w:val="en-GB"/>
        </w:rPr>
      </w:pPr>
      <w:r w:rsidRPr="00CA0F43">
        <w:rPr>
          <w:lang w:val="en-GB"/>
        </w:rPr>
        <w:t>using ideas or direct, verbatim quotations, or paraphrased material, concepts, or ideas without appropriate acknowledgment in any academic assignment;</w:t>
      </w:r>
    </w:p>
    <w:p w14:paraId="192D6822" w14:textId="77777777" w:rsidR="000F2591" w:rsidRPr="00CA0F43" w:rsidRDefault="000F2591" w:rsidP="000F2591">
      <w:pPr>
        <w:numPr>
          <w:ilvl w:val="0"/>
          <w:numId w:val="4"/>
        </w:numPr>
        <w:autoSpaceDE w:val="0"/>
        <w:autoSpaceDN w:val="0"/>
        <w:adjustRightInd w:val="0"/>
        <w:rPr>
          <w:lang w:val="en-GB"/>
        </w:rPr>
      </w:pPr>
      <w:r w:rsidRPr="00CA0F43">
        <w:rPr>
          <w:lang w:val="en-GB"/>
        </w:rPr>
        <w:t>using another’s data or research findings;</w:t>
      </w:r>
    </w:p>
    <w:p w14:paraId="7E0093D3" w14:textId="77777777" w:rsidR="000F2591" w:rsidRPr="00CA0F43" w:rsidRDefault="000F2591" w:rsidP="000F2591">
      <w:pPr>
        <w:numPr>
          <w:ilvl w:val="0"/>
          <w:numId w:val="4"/>
        </w:numPr>
        <w:autoSpaceDE w:val="0"/>
        <w:autoSpaceDN w:val="0"/>
        <w:adjustRightInd w:val="0"/>
        <w:rPr>
          <w:lang w:val="en-GB"/>
        </w:rPr>
      </w:pPr>
      <w:r w:rsidRPr="00CA0F43">
        <w:rPr>
          <w:lang w:val="en-GB"/>
        </w:rPr>
        <w:t>failing to acknowledge sources through the use of proper citations when using another’s works and/or failing to use quotation marks;</w:t>
      </w:r>
    </w:p>
    <w:p w14:paraId="7733FDAF" w14:textId="77777777" w:rsidR="000F2591" w:rsidRPr="00CA0F43" w:rsidRDefault="000F2591" w:rsidP="000F2591">
      <w:pPr>
        <w:numPr>
          <w:ilvl w:val="0"/>
          <w:numId w:val="4"/>
        </w:numPr>
        <w:autoSpaceDE w:val="0"/>
        <w:autoSpaceDN w:val="0"/>
        <w:adjustRightInd w:val="0"/>
        <w:rPr>
          <w:lang w:val="en-GB"/>
        </w:rPr>
      </w:pPr>
      <w:r w:rsidRPr="00CA0F43">
        <w:rPr>
          <w:lang w:val="en-GB"/>
        </w:rPr>
        <w:t>handing in "substantially the same piece of work for academic credit more than once without prior written permission of the course instructor in which the submission occurs.</w:t>
      </w:r>
    </w:p>
    <w:p w14:paraId="2098227B" w14:textId="77777777" w:rsidR="000F2591" w:rsidRPr="00CA0F43" w:rsidRDefault="000F2591" w:rsidP="000F2591">
      <w:pPr>
        <w:ind w:left="144"/>
        <w:rPr>
          <w:lang w:val="en-GB"/>
        </w:rPr>
      </w:pPr>
    </w:p>
    <w:p w14:paraId="076F7E90" w14:textId="77777777" w:rsidR="000F2591" w:rsidRPr="00CA0F43" w:rsidRDefault="000F2591" w:rsidP="000F2591">
      <w:pPr>
        <w:rPr>
          <w:lang w:val="en-GB"/>
        </w:rPr>
      </w:pPr>
      <w:r w:rsidRPr="00CA0F43">
        <w:rPr>
          <w:lang w:val="en-GB"/>
        </w:rPr>
        <w:t xml:space="preserve">Plagiarism is a serious offence which cannot be resolved directly with the course’s instructor.  The Associate Deans of the Faculty conduct a rigorous investigation, including an interview with the student, when an instructor suspects a piece of work has been plagiarized.  Penalties are not trivial. They may include a mark of zero for the plagiarized work or a final grade of "F" for the course. </w:t>
      </w:r>
    </w:p>
    <w:p w14:paraId="5B56FE6D" w14:textId="77777777" w:rsidR="000F2591" w:rsidRPr="00CA0F43" w:rsidRDefault="000F2591" w:rsidP="000F2591">
      <w:r w:rsidRPr="00CA0F43">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p>
    <w:p w14:paraId="40231EFD" w14:textId="1E68B7D7" w:rsidR="00BB50E6" w:rsidRDefault="00BB50E6" w:rsidP="000F2591">
      <w:pPr>
        <w:rPr>
          <w:lang w:val="en-GB"/>
        </w:rPr>
      </w:pPr>
    </w:p>
    <w:p w14:paraId="5565F604" w14:textId="00CCF0E6" w:rsidR="00BB50E6" w:rsidRPr="00921E51" w:rsidRDefault="00BB50E6" w:rsidP="000F2591">
      <w:pPr>
        <w:rPr>
          <w:b/>
          <w:bCs/>
          <w:u w:val="single"/>
          <w:lang w:val="en-GB"/>
        </w:rPr>
      </w:pPr>
      <w:r w:rsidRPr="00921E51">
        <w:rPr>
          <w:b/>
          <w:bCs/>
          <w:u w:val="single"/>
          <w:lang w:val="en-GB"/>
        </w:rPr>
        <w:t xml:space="preserve">COVID-19 Regulations </w:t>
      </w:r>
    </w:p>
    <w:p w14:paraId="553BD7D8" w14:textId="77777777" w:rsidR="00BB50E6" w:rsidRPr="00BB50E6" w:rsidRDefault="00BB50E6" w:rsidP="00BB50E6">
      <w:pPr>
        <w:spacing w:before="100" w:beforeAutospacing="1" w:after="100" w:afterAutospacing="1"/>
        <w:rPr>
          <w:lang w:val="en-CA"/>
        </w:rPr>
      </w:pPr>
      <w:r w:rsidRPr="00BB50E6">
        <w:rPr>
          <w:lang w:val="en-CA"/>
        </w:rPr>
        <w:t>All members of the Carleton community are required to follow COVID-19 prevention measures and all mandatory public health requirements (e.g. wearing a mask, physical distancing, hand hygiene, respiratory and cough etiquette) and </w:t>
      </w:r>
      <w:hyperlink r:id="rId14" w:history="1">
        <w:r w:rsidRPr="00BB50E6">
          <w:rPr>
            <w:color w:val="0000FF"/>
            <w:u w:val="single"/>
            <w:lang w:val="en-CA"/>
          </w:rPr>
          <w:t>mandatory self-screening</w:t>
        </w:r>
      </w:hyperlink>
      <w:r w:rsidRPr="00BB50E6">
        <w:rPr>
          <w:lang w:val="en-CA"/>
        </w:rPr>
        <w:t> prior to coming to campus daily.</w:t>
      </w:r>
    </w:p>
    <w:p w14:paraId="73D45DF2" w14:textId="77777777" w:rsidR="00BB50E6" w:rsidRPr="00BB50E6" w:rsidRDefault="00BB50E6" w:rsidP="00BB50E6">
      <w:pPr>
        <w:spacing w:before="100" w:beforeAutospacing="1" w:after="100" w:afterAutospacing="1"/>
        <w:rPr>
          <w:lang w:val="en-CA"/>
        </w:rPr>
      </w:pPr>
      <w:r w:rsidRPr="00BB50E6">
        <w:rPr>
          <w:lang w:val="en-CA"/>
        </w:rPr>
        <w:t>If you feel ill or exhibit COVID-19 symptoms while on campus or in class, please leave campus immediately, self-isolate, and complete the mandatory </w:t>
      </w:r>
      <w:hyperlink r:id="rId15" w:history="1">
        <w:r w:rsidRPr="00BB50E6">
          <w:rPr>
            <w:color w:val="0000FF"/>
            <w:u w:val="single"/>
            <w:lang w:val="en-CA"/>
          </w:rPr>
          <w:t>symptom reporting tool</w:t>
        </w:r>
      </w:hyperlink>
      <w:r w:rsidRPr="00BB50E6">
        <w:rPr>
          <w:lang w:val="en-CA"/>
        </w:rPr>
        <w:t>. For purposes of contact tracing, attendance will be recorded in all classes and labs. Participants can check in using posted QR codes through the cuScreen platform where provided. Students who do not have a smartphone will be required to complete a paper process as indicated on the </w:t>
      </w:r>
      <w:hyperlink r:id="rId16" w:history="1">
        <w:r w:rsidRPr="00BB50E6">
          <w:rPr>
            <w:color w:val="0000FF"/>
            <w:u w:val="single"/>
            <w:lang w:val="en-CA"/>
          </w:rPr>
          <w:t>COVID-19 website</w:t>
        </w:r>
      </w:hyperlink>
      <w:r w:rsidRPr="00BB50E6">
        <w:rPr>
          <w:lang w:val="en-CA"/>
        </w:rPr>
        <w:t>.</w:t>
      </w:r>
    </w:p>
    <w:p w14:paraId="3524FD02" w14:textId="77777777" w:rsidR="00BB50E6" w:rsidRPr="00BB50E6" w:rsidRDefault="00BB50E6" w:rsidP="00BB50E6">
      <w:pPr>
        <w:spacing w:before="100" w:beforeAutospacing="1" w:after="100" w:afterAutospacing="1"/>
        <w:rPr>
          <w:lang w:val="en-CA"/>
        </w:rPr>
      </w:pPr>
      <w:r w:rsidRPr="00BB50E6">
        <w:rPr>
          <w:lang w:val="en-CA"/>
        </w:rPr>
        <w:lastRenderedPageBreak/>
        <w:t>All members of the Carleton community are required to follow guidelines regarding safe movement and seating on campus (e.g. directional arrows, designated entrances and exits, designated seats that maintain physical distancing). In order to avoid congestion, allow all previous occupants to fully vacate a classroom before entering. No food or drinks are permitted in any classrooms or labs.</w:t>
      </w:r>
    </w:p>
    <w:p w14:paraId="670B0560" w14:textId="77777777" w:rsidR="00BB50E6" w:rsidRPr="00BB50E6" w:rsidRDefault="00BB50E6" w:rsidP="00BB50E6">
      <w:pPr>
        <w:spacing w:before="100" w:beforeAutospacing="1" w:after="100" w:afterAutospacing="1"/>
        <w:rPr>
          <w:lang w:val="en-CA"/>
        </w:rPr>
      </w:pPr>
      <w:r w:rsidRPr="00BB50E6">
        <w:rPr>
          <w:lang w:val="en-CA"/>
        </w:rPr>
        <w:t>For the most recent information about Carleton’s COVID-19 response and required measures, please see the </w:t>
      </w:r>
      <w:hyperlink r:id="rId17" w:history="1">
        <w:r w:rsidRPr="00BB50E6">
          <w:rPr>
            <w:color w:val="0000FF"/>
            <w:u w:val="single"/>
            <w:lang w:val="en-CA"/>
          </w:rPr>
          <w:t>University’s COVID-19 webpage</w:t>
        </w:r>
      </w:hyperlink>
      <w:r w:rsidRPr="00BB50E6">
        <w:rPr>
          <w:lang w:val="en-CA"/>
        </w:rPr>
        <w:t> and review the </w:t>
      </w:r>
      <w:hyperlink r:id="rId18" w:history="1">
        <w:r w:rsidRPr="00BB50E6">
          <w:rPr>
            <w:color w:val="0000FF"/>
            <w:u w:val="single"/>
            <w:lang w:val="en-CA"/>
          </w:rPr>
          <w:t>Frequently Asked Questions (FAQs)</w:t>
        </w:r>
      </w:hyperlink>
      <w:r w:rsidRPr="00BB50E6">
        <w:rPr>
          <w:lang w:val="en-CA"/>
        </w:rPr>
        <w:t>. Should you have additional questions after reviewing, please contact </w:t>
      </w:r>
      <w:hyperlink r:id="rId19" w:history="1">
        <w:r w:rsidRPr="00BB50E6">
          <w:rPr>
            <w:color w:val="0000FF"/>
            <w:u w:val="single"/>
            <w:lang w:val="en-CA"/>
          </w:rPr>
          <w:t>covidinfo@carleton.ca</w:t>
        </w:r>
      </w:hyperlink>
    </w:p>
    <w:p w14:paraId="4D2BCB3C" w14:textId="43577CFE" w:rsidR="00BB50E6" w:rsidRPr="00F47A44" w:rsidRDefault="00BB50E6" w:rsidP="00F47A44">
      <w:pPr>
        <w:spacing w:before="100" w:beforeAutospacing="1" w:after="100" w:afterAutospacing="1"/>
        <w:rPr>
          <w:lang w:val="en-CA"/>
        </w:rPr>
      </w:pPr>
      <w:r w:rsidRPr="00BB50E6">
        <w:rPr>
          <w:lang w:val="en-CA"/>
        </w:rPr>
        <w:t>Please note that failure to comply with University policies and mandatory public health requirements, and endangering the safety of others are considered misconduct under the </w:t>
      </w:r>
      <w:hyperlink r:id="rId20" w:history="1">
        <w:r w:rsidRPr="00BB50E6">
          <w:rPr>
            <w:color w:val="0000FF"/>
            <w:u w:val="single"/>
            <w:lang w:val="en-CA"/>
          </w:rPr>
          <w:t>Student Rights and Responsibilities Policy</w:t>
        </w:r>
      </w:hyperlink>
      <w:r w:rsidRPr="00BB50E6">
        <w:rPr>
          <w:lang w:val="en-CA"/>
        </w:rPr>
        <w:t>. Failure to comply with Carleton’s COVID-19 procedures may lead to supplementary action involving Campus Safety and/or Student Affairs.</w:t>
      </w:r>
    </w:p>
    <w:p w14:paraId="3FAFB6E4" w14:textId="77777777" w:rsidR="000F2591" w:rsidRPr="00921E51" w:rsidRDefault="000F2591" w:rsidP="000F2591">
      <w:pPr>
        <w:pStyle w:val="NoSpacing"/>
        <w:rPr>
          <w:b/>
          <w:u w:val="single"/>
        </w:rPr>
      </w:pPr>
      <w:r w:rsidRPr="00921E51">
        <w:rPr>
          <w:b/>
          <w:u w:val="single"/>
        </w:rPr>
        <w:t>Grading</w:t>
      </w:r>
    </w:p>
    <w:p w14:paraId="353B6866" w14:textId="77777777" w:rsidR="00921E51" w:rsidRDefault="00921E51" w:rsidP="000F2591">
      <w:pPr>
        <w:pStyle w:val="NoSpacing"/>
      </w:pPr>
    </w:p>
    <w:p w14:paraId="530816FA" w14:textId="384E7716" w:rsidR="000F2591" w:rsidRDefault="000F2591" w:rsidP="000F2591">
      <w:pPr>
        <w:pStyle w:val="NoSpacing"/>
      </w:pPr>
      <w:r w:rsidRPr="00CA0F43">
        <w:t>Standing in a course is determined by the course instructor, subject to the approval of the faculty Dean. Final standing in courses will be shown by alphabetical grades. The system of grades used, with corresponding grade points is:</w:t>
      </w:r>
    </w:p>
    <w:p w14:paraId="78665FF7" w14:textId="77777777" w:rsidR="000F2591" w:rsidRPr="00CA0F43" w:rsidRDefault="000F2591" w:rsidP="000F2591">
      <w:pPr>
        <w:pStyle w:val="NoSpacing"/>
      </w:pPr>
    </w:p>
    <w:p w14:paraId="0A7C7D32" w14:textId="77777777" w:rsidR="000F2591" w:rsidRPr="00CA0F43" w:rsidRDefault="000F2591" w:rsidP="000F2591">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50"/>
        <w:gridCol w:w="1550"/>
        <w:gridCol w:w="1550"/>
        <w:gridCol w:w="1550"/>
        <w:gridCol w:w="1550"/>
        <w:gridCol w:w="1551"/>
      </w:tblGrid>
      <w:tr w:rsidR="000F2591" w:rsidRPr="00CA0F43" w14:paraId="41232C50" w14:textId="77777777" w:rsidTr="00951F60">
        <w:tc>
          <w:tcPr>
            <w:tcW w:w="1550" w:type="dxa"/>
            <w:tcBorders>
              <w:top w:val="single" w:sz="4" w:space="0" w:color="auto"/>
              <w:left w:val="single" w:sz="4" w:space="0" w:color="auto"/>
              <w:bottom w:val="double" w:sz="4" w:space="0" w:color="auto"/>
              <w:right w:val="single" w:sz="4" w:space="0" w:color="auto"/>
            </w:tcBorders>
            <w:hideMark/>
          </w:tcPr>
          <w:p w14:paraId="64DBA162" w14:textId="77777777" w:rsidR="000F2591" w:rsidRPr="00CA0F43" w:rsidRDefault="000F2591" w:rsidP="00951F60">
            <w:pPr>
              <w:jc w:val="both"/>
            </w:pPr>
            <w:r w:rsidRPr="00CA0F43">
              <w:t>Percentage</w:t>
            </w:r>
          </w:p>
        </w:tc>
        <w:tc>
          <w:tcPr>
            <w:tcW w:w="1550" w:type="dxa"/>
            <w:tcBorders>
              <w:top w:val="single" w:sz="4" w:space="0" w:color="auto"/>
              <w:left w:val="single" w:sz="4" w:space="0" w:color="auto"/>
              <w:bottom w:val="double" w:sz="4" w:space="0" w:color="auto"/>
              <w:right w:val="single" w:sz="4" w:space="0" w:color="auto"/>
            </w:tcBorders>
            <w:hideMark/>
          </w:tcPr>
          <w:p w14:paraId="58CB0B9C" w14:textId="77777777" w:rsidR="000F2591" w:rsidRPr="00CA0F43" w:rsidRDefault="000F2591" w:rsidP="00951F60">
            <w:pPr>
              <w:jc w:val="both"/>
            </w:pPr>
            <w:r w:rsidRPr="00CA0F43">
              <w:t>Letter grade</w:t>
            </w:r>
          </w:p>
        </w:tc>
        <w:tc>
          <w:tcPr>
            <w:tcW w:w="1550" w:type="dxa"/>
            <w:tcBorders>
              <w:top w:val="single" w:sz="4" w:space="0" w:color="auto"/>
              <w:left w:val="single" w:sz="4" w:space="0" w:color="auto"/>
              <w:bottom w:val="double" w:sz="4" w:space="0" w:color="auto"/>
              <w:right w:val="double" w:sz="4" w:space="0" w:color="auto"/>
            </w:tcBorders>
            <w:hideMark/>
          </w:tcPr>
          <w:p w14:paraId="008945CE" w14:textId="77777777" w:rsidR="000F2591" w:rsidRPr="00CA0F43" w:rsidRDefault="000F2591" w:rsidP="00951F60">
            <w:pPr>
              <w:jc w:val="both"/>
            </w:pPr>
            <w:r w:rsidRPr="00CA0F43">
              <w:t>12-point scale</w:t>
            </w:r>
          </w:p>
        </w:tc>
        <w:tc>
          <w:tcPr>
            <w:tcW w:w="1550" w:type="dxa"/>
            <w:tcBorders>
              <w:top w:val="single" w:sz="4" w:space="0" w:color="auto"/>
              <w:left w:val="double" w:sz="4" w:space="0" w:color="auto"/>
              <w:bottom w:val="double" w:sz="4" w:space="0" w:color="auto"/>
              <w:right w:val="single" w:sz="4" w:space="0" w:color="auto"/>
            </w:tcBorders>
            <w:hideMark/>
          </w:tcPr>
          <w:p w14:paraId="2D47930E" w14:textId="77777777" w:rsidR="000F2591" w:rsidRPr="00CA0F43" w:rsidRDefault="000F2591" w:rsidP="00951F60">
            <w:pPr>
              <w:jc w:val="both"/>
            </w:pPr>
            <w:r w:rsidRPr="00CA0F43">
              <w:t>Percentage</w:t>
            </w:r>
          </w:p>
        </w:tc>
        <w:tc>
          <w:tcPr>
            <w:tcW w:w="1550" w:type="dxa"/>
            <w:tcBorders>
              <w:top w:val="single" w:sz="4" w:space="0" w:color="auto"/>
              <w:left w:val="single" w:sz="4" w:space="0" w:color="auto"/>
              <w:bottom w:val="double" w:sz="4" w:space="0" w:color="auto"/>
              <w:right w:val="single" w:sz="4" w:space="0" w:color="auto"/>
            </w:tcBorders>
            <w:hideMark/>
          </w:tcPr>
          <w:p w14:paraId="2DE141CD" w14:textId="77777777" w:rsidR="000F2591" w:rsidRPr="00CA0F43" w:rsidRDefault="000F2591" w:rsidP="00951F60">
            <w:pPr>
              <w:jc w:val="both"/>
            </w:pPr>
            <w:r w:rsidRPr="00CA0F43">
              <w:t>Letter grade</w:t>
            </w:r>
          </w:p>
        </w:tc>
        <w:tc>
          <w:tcPr>
            <w:tcW w:w="1551" w:type="dxa"/>
            <w:tcBorders>
              <w:top w:val="single" w:sz="4" w:space="0" w:color="auto"/>
              <w:left w:val="single" w:sz="4" w:space="0" w:color="auto"/>
              <w:bottom w:val="double" w:sz="4" w:space="0" w:color="auto"/>
              <w:right w:val="single" w:sz="4" w:space="0" w:color="auto"/>
            </w:tcBorders>
            <w:hideMark/>
          </w:tcPr>
          <w:p w14:paraId="35A61FEA" w14:textId="77777777" w:rsidR="000F2591" w:rsidRPr="00CA0F43" w:rsidRDefault="000F2591" w:rsidP="00951F60">
            <w:pPr>
              <w:jc w:val="both"/>
            </w:pPr>
            <w:r w:rsidRPr="00CA0F43">
              <w:t>12-point scale</w:t>
            </w:r>
          </w:p>
        </w:tc>
      </w:tr>
      <w:tr w:rsidR="000F2591" w:rsidRPr="00CA0F43" w14:paraId="3BE2C5BB" w14:textId="77777777" w:rsidTr="00951F60">
        <w:tc>
          <w:tcPr>
            <w:tcW w:w="1550" w:type="dxa"/>
            <w:tcBorders>
              <w:top w:val="double" w:sz="4" w:space="0" w:color="auto"/>
              <w:left w:val="single" w:sz="4" w:space="0" w:color="auto"/>
              <w:bottom w:val="single" w:sz="4" w:space="0" w:color="auto"/>
              <w:right w:val="single" w:sz="4" w:space="0" w:color="auto"/>
            </w:tcBorders>
            <w:hideMark/>
          </w:tcPr>
          <w:p w14:paraId="7D67C230" w14:textId="77777777" w:rsidR="000F2591" w:rsidRPr="00CA0F43" w:rsidRDefault="000F2591" w:rsidP="00951F60">
            <w:pPr>
              <w:jc w:val="both"/>
            </w:pPr>
            <w:r w:rsidRPr="00CA0F43">
              <w:t>90-100</w:t>
            </w:r>
          </w:p>
        </w:tc>
        <w:tc>
          <w:tcPr>
            <w:tcW w:w="1550" w:type="dxa"/>
            <w:tcBorders>
              <w:top w:val="double" w:sz="4" w:space="0" w:color="auto"/>
              <w:left w:val="single" w:sz="4" w:space="0" w:color="auto"/>
              <w:bottom w:val="single" w:sz="4" w:space="0" w:color="auto"/>
              <w:right w:val="single" w:sz="4" w:space="0" w:color="auto"/>
            </w:tcBorders>
            <w:hideMark/>
          </w:tcPr>
          <w:p w14:paraId="1091B66F" w14:textId="77777777" w:rsidR="000F2591" w:rsidRPr="00CA0F43" w:rsidRDefault="000F2591" w:rsidP="00951F60">
            <w:pPr>
              <w:jc w:val="both"/>
            </w:pPr>
            <w:r w:rsidRPr="00CA0F43">
              <w:t>A+</w:t>
            </w:r>
          </w:p>
        </w:tc>
        <w:tc>
          <w:tcPr>
            <w:tcW w:w="1550" w:type="dxa"/>
            <w:tcBorders>
              <w:top w:val="double" w:sz="4" w:space="0" w:color="auto"/>
              <w:left w:val="single" w:sz="4" w:space="0" w:color="auto"/>
              <w:bottom w:val="single" w:sz="4" w:space="0" w:color="auto"/>
              <w:right w:val="double" w:sz="4" w:space="0" w:color="auto"/>
            </w:tcBorders>
            <w:hideMark/>
          </w:tcPr>
          <w:p w14:paraId="411071B4" w14:textId="77777777" w:rsidR="000F2591" w:rsidRPr="00CA0F43" w:rsidRDefault="000F2591" w:rsidP="00951F60">
            <w:pPr>
              <w:jc w:val="both"/>
            </w:pPr>
            <w:r w:rsidRPr="00CA0F43">
              <w:t>12</w:t>
            </w:r>
          </w:p>
        </w:tc>
        <w:tc>
          <w:tcPr>
            <w:tcW w:w="1550" w:type="dxa"/>
            <w:tcBorders>
              <w:top w:val="double" w:sz="4" w:space="0" w:color="auto"/>
              <w:left w:val="double" w:sz="4" w:space="0" w:color="auto"/>
              <w:bottom w:val="single" w:sz="4" w:space="0" w:color="auto"/>
              <w:right w:val="single" w:sz="4" w:space="0" w:color="auto"/>
            </w:tcBorders>
            <w:hideMark/>
          </w:tcPr>
          <w:p w14:paraId="2EE6D4C4" w14:textId="77777777" w:rsidR="000F2591" w:rsidRPr="00CA0F43" w:rsidRDefault="000F2591" w:rsidP="00951F60">
            <w:pPr>
              <w:jc w:val="both"/>
            </w:pPr>
            <w:r w:rsidRPr="00CA0F43">
              <w:t>67-69</w:t>
            </w:r>
          </w:p>
        </w:tc>
        <w:tc>
          <w:tcPr>
            <w:tcW w:w="1550" w:type="dxa"/>
            <w:tcBorders>
              <w:top w:val="double" w:sz="4" w:space="0" w:color="auto"/>
              <w:left w:val="single" w:sz="4" w:space="0" w:color="auto"/>
              <w:bottom w:val="single" w:sz="4" w:space="0" w:color="auto"/>
              <w:right w:val="single" w:sz="4" w:space="0" w:color="auto"/>
            </w:tcBorders>
            <w:hideMark/>
          </w:tcPr>
          <w:p w14:paraId="687D3CE4" w14:textId="77777777" w:rsidR="000F2591" w:rsidRPr="00CA0F43" w:rsidRDefault="000F2591" w:rsidP="00951F60">
            <w:pPr>
              <w:jc w:val="both"/>
            </w:pPr>
            <w:r w:rsidRPr="00CA0F43">
              <w:t>C+</w:t>
            </w:r>
          </w:p>
        </w:tc>
        <w:tc>
          <w:tcPr>
            <w:tcW w:w="1551" w:type="dxa"/>
            <w:tcBorders>
              <w:top w:val="double" w:sz="4" w:space="0" w:color="auto"/>
              <w:left w:val="single" w:sz="4" w:space="0" w:color="auto"/>
              <w:bottom w:val="single" w:sz="4" w:space="0" w:color="auto"/>
              <w:right w:val="single" w:sz="4" w:space="0" w:color="auto"/>
            </w:tcBorders>
            <w:hideMark/>
          </w:tcPr>
          <w:p w14:paraId="2795E0EE" w14:textId="77777777" w:rsidR="000F2591" w:rsidRPr="00CA0F43" w:rsidRDefault="000F2591" w:rsidP="00951F60">
            <w:pPr>
              <w:jc w:val="both"/>
            </w:pPr>
            <w:r w:rsidRPr="00CA0F43">
              <w:t>6</w:t>
            </w:r>
          </w:p>
        </w:tc>
      </w:tr>
      <w:tr w:rsidR="000F2591" w:rsidRPr="00CA0F43" w14:paraId="22851219" w14:textId="77777777" w:rsidTr="00951F60">
        <w:tc>
          <w:tcPr>
            <w:tcW w:w="1550" w:type="dxa"/>
            <w:tcBorders>
              <w:top w:val="single" w:sz="4" w:space="0" w:color="auto"/>
              <w:left w:val="single" w:sz="4" w:space="0" w:color="auto"/>
              <w:bottom w:val="single" w:sz="4" w:space="0" w:color="auto"/>
              <w:right w:val="single" w:sz="4" w:space="0" w:color="auto"/>
            </w:tcBorders>
            <w:hideMark/>
          </w:tcPr>
          <w:p w14:paraId="05C8646A" w14:textId="77777777" w:rsidR="000F2591" w:rsidRPr="00CA0F43" w:rsidRDefault="000F2591" w:rsidP="00951F60">
            <w:pPr>
              <w:jc w:val="both"/>
            </w:pPr>
            <w:r w:rsidRPr="00CA0F43">
              <w:t>85-89</w:t>
            </w:r>
          </w:p>
        </w:tc>
        <w:tc>
          <w:tcPr>
            <w:tcW w:w="1550" w:type="dxa"/>
            <w:tcBorders>
              <w:top w:val="single" w:sz="4" w:space="0" w:color="auto"/>
              <w:left w:val="single" w:sz="4" w:space="0" w:color="auto"/>
              <w:bottom w:val="single" w:sz="4" w:space="0" w:color="auto"/>
              <w:right w:val="single" w:sz="4" w:space="0" w:color="auto"/>
            </w:tcBorders>
            <w:hideMark/>
          </w:tcPr>
          <w:p w14:paraId="73C0E2F0" w14:textId="77777777" w:rsidR="000F2591" w:rsidRPr="00CA0F43" w:rsidRDefault="000F2591" w:rsidP="00951F60">
            <w:pPr>
              <w:jc w:val="both"/>
            </w:pPr>
            <w:r w:rsidRPr="00CA0F43">
              <w:t>A</w:t>
            </w:r>
          </w:p>
        </w:tc>
        <w:tc>
          <w:tcPr>
            <w:tcW w:w="1550" w:type="dxa"/>
            <w:tcBorders>
              <w:top w:val="single" w:sz="4" w:space="0" w:color="auto"/>
              <w:left w:val="single" w:sz="4" w:space="0" w:color="auto"/>
              <w:bottom w:val="single" w:sz="4" w:space="0" w:color="auto"/>
              <w:right w:val="double" w:sz="4" w:space="0" w:color="auto"/>
            </w:tcBorders>
            <w:hideMark/>
          </w:tcPr>
          <w:p w14:paraId="49CF0660" w14:textId="77777777" w:rsidR="000F2591" w:rsidRPr="00CA0F43" w:rsidRDefault="000F2591" w:rsidP="00951F60">
            <w:pPr>
              <w:jc w:val="both"/>
            </w:pPr>
            <w:r w:rsidRPr="00CA0F43">
              <w:t>11</w:t>
            </w:r>
          </w:p>
        </w:tc>
        <w:tc>
          <w:tcPr>
            <w:tcW w:w="1550" w:type="dxa"/>
            <w:tcBorders>
              <w:top w:val="single" w:sz="4" w:space="0" w:color="auto"/>
              <w:left w:val="double" w:sz="4" w:space="0" w:color="auto"/>
              <w:bottom w:val="single" w:sz="4" w:space="0" w:color="auto"/>
              <w:right w:val="single" w:sz="4" w:space="0" w:color="auto"/>
            </w:tcBorders>
            <w:hideMark/>
          </w:tcPr>
          <w:p w14:paraId="26346E03" w14:textId="77777777" w:rsidR="000F2591" w:rsidRPr="00CA0F43" w:rsidRDefault="000F2591" w:rsidP="00951F60">
            <w:pPr>
              <w:jc w:val="both"/>
            </w:pPr>
            <w:r w:rsidRPr="00CA0F43">
              <w:t>63-66</w:t>
            </w:r>
          </w:p>
        </w:tc>
        <w:tc>
          <w:tcPr>
            <w:tcW w:w="1550" w:type="dxa"/>
            <w:tcBorders>
              <w:top w:val="single" w:sz="4" w:space="0" w:color="auto"/>
              <w:left w:val="single" w:sz="4" w:space="0" w:color="auto"/>
              <w:bottom w:val="single" w:sz="4" w:space="0" w:color="auto"/>
              <w:right w:val="single" w:sz="4" w:space="0" w:color="auto"/>
            </w:tcBorders>
            <w:hideMark/>
          </w:tcPr>
          <w:p w14:paraId="446D3A76" w14:textId="77777777" w:rsidR="000F2591" w:rsidRPr="00CA0F43" w:rsidRDefault="000F2591" w:rsidP="00951F60">
            <w:pPr>
              <w:jc w:val="both"/>
            </w:pPr>
            <w:r w:rsidRPr="00CA0F43">
              <w:t>C</w:t>
            </w:r>
          </w:p>
        </w:tc>
        <w:tc>
          <w:tcPr>
            <w:tcW w:w="1551" w:type="dxa"/>
            <w:tcBorders>
              <w:top w:val="single" w:sz="4" w:space="0" w:color="auto"/>
              <w:left w:val="single" w:sz="4" w:space="0" w:color="auto"/>
              <w:bottom w:val="single" w:sz="4" w:space="0" w:color="auto"/>
              <w:right w:val="single" w:sz="4" w:space="0" w:color="auto"/>
            </w:tcBorders>
            <w:hideMark/>
          </w:tcPr>
          <w:p w14:paraId="2D68A4C0" w14:textId="77777777" w:rsidR="000F2591" w:rsidRPr="00CA0F43" w:rsidRDefault="000F2591" w:rsidP="00951F60">
            <w:pPr>
              <w:jc w:val="both"/>
            </w:pPr>
            <w:r w:rsidRPr="00CA0F43">
              <w:t>5</w:t>
            </w:r>
          </w:p>
        </w:tc>
      </w:tr>
      <w:tr w:rsidR="000F2591" w:rsidRPr="00CA0F43" w14:paraId="33EA112B" w14:textId="77777777" w:rsidTr="00951F60">
        <w:tc>
          <w:tcPr>
            <w:tcW w:w="1550" w:type="dxa"/>
            <w:tcBorders>
              <w:top w:val="single" w:sz="4" w:space="0" w:color="auto"/>
              <w:left w:val="single" w:sz="4" w:space="0" w:color="auto"/>
              <w:bottom w:val="single" w:sz="4" w:space="0" w:color="auto"/>
              <w:right w:val="single" w:sz="4" w:space="0" w:color="auto"/>
            </w:tcBorders>
            <w:hideMark/>
          </w:tcPr>
          <w:p w14:paraId="66141355" w14:textId="77777777" w:rsidR="000F2591" w:rsidRPr="00CA0F43" w:rsidRDefault="000F2591" w:rsidP="00951F60">
            <w:pPr>
              <w:jc w:val="both"/>
            </w:pPr>
            <w:r w:rsidRPr="00CA0F43">
              <w:t>80-84</w:t>
            </w:r>
          </w:p>
        </w:tc>
        <w:tc>
          <w:tcPr>
            <w:tcW w:w="1550" w:type="dxa"/>
            <w:tcBorders>
              <w:top w:val="single" w:sz="4" w:space="0" w:color="auto"/>
              <w:left w:val="single" w:sz="4" w:space="0" w:color="auto"/>
              <w:bottom w:val="single" w:sz="4" w:space="0" w:color="auto"/>
              <w:right w:val="single" w:sz="4" w:space="0" w:color="auto"/>
            </w:tcBorders>
            <w:hideMark/>
          </w:tcPr>
          <w:p w14:paraId="2B36A44F" w14:textId="77777777" w:rsidR="000F2591" w:rsidRPr="00CA0F43" w:rsidRDefault="000F2591" w:rsidP="00951F60">
            <w:pPr>
              <w:jc w:val="both"/>
            </w:pPr>
            <w:r w:rsidRPr="00CA0F43">
              <w:t>A-</w:t>
            </w:r>
          </w:p>
        </w:tc>
        <w:tc>
          <w:tcPr>
            <w:tcW w:w="1550" w:type="dxa"/>
            <w:tcBorders>
              <w:top w:val="single" w:sz="4" w:space="0" w:color="auto"/>
              <w:left w:val="single" w:sz="4" w:space="0" w:color="auto"/>
              <w:bottom w:val="single" w:sz="4" w:space="0" w:color="auto"/>
              <w:right w:val="double" w:sz="4" w:space="0" w:color="auto"/>
            </w:tcBorders>
            <w:hideMark/>
          </w:tcPr>
          <w:p w14:paraId="6A4A2AE9" w14:textId="77777777" w:rsidR="000F2591" w:rsidRPr="00CA0F43" w:rsidRDefault="000F2591" w:rsidP="00951F60">
            <w:pPr>
              <w:jc w:val="both"/>
            </w:pPr>
            <w:r w:rsidRPr="00CA0F43">
              <w:t>10</w:t>
            </w:r>
          </w:p>
        </w:tc>
        <w:tc>
          <w:tcPr>
            <w:tcW w:w="1550" w:type="dxa"/>
            <w:tcBorders>
              <w:top w:val="single" w:sz="4" w:space="0" w:color="auto"/>
              <w:left w:val="double" w:sz="4" w:space="0" w:color="auto"/>
              <w:bottom w:val="single" w:sz="4" w:space="0" w:color="auto"/>
              <w:right w:val="single" w:sz="4" w:space="0" w:color="auto"/>
            </w:tcBorders>
            <w:hideMark/>
          </w:tcPr>
          <w:p w14:paraId="3A5D2009" w14:textId="77777777" w:rsidR="000F2591" w:rsidRPr="00CA0F43" w:rsidRDefault="000F2591" w:rsidP="00951F60">
            <w:pPr>
              <w:jc w:val="both"/>
            </w:pPr>
            <w:r w:rsidRPr="00CA0F43">
              <w:t>60-62</w:t>
            </w:r>
          </w:p>
        </w:tc>
        <w:tc>
          <w:tcPr>
            <w:tcW w:w="1550" w:type="dxa"/>
            <w:tcBorders>
              <w:top w:val="single" w:sz="4" w:space="0" w:color="auto"/>
              <w:left w:val="single" w:sz="4" w:space="0" w:color="auto"/>
              <w:bottom w:val="single" w:sz="4" w:space="0" w:color="auto"/>
              <w:right w:val="single" w:sz="4" w:space="0" w:color="auto"/>
            </w:tcBorders>
            <w:hideMark/>
          </w:tcPr>
          <w:p w14:paraId="21A2C89F" w14:textId="77777777" w:rsidR="000F2591" w:rsidRPr="00CA0F43" w:rsidRDefault="000F2591" w:rsidP="00951F60">
            <w:pPr>
              <w:jc w:val="both"/>
            </w:pPr>
            <w:r w:rsidRPr="00CA0F43">
              <w:t>C-</w:t>
            </w:r>
          </w:p>
        </w:tc>
        <w:tc>
          <w:tcPr>
            <w:tcW w:w="1551" w:type="dxa"/>
            <w:tcBorders>
              <w:top w:val="single" w:sz="4" w:space="0" w:color="auto"/>
              <w:left w:val="single" w:sz="4" w:space="0" w:color="auto"/>
              <w:bottom w:val="single" w:sz="4" w:space="0" w:color="auto"/>
              <w:right w:val="single" w:sz="4" w:space="0" w:color="auto"/>
            </w:tcBorders>
            <w:hideMark/>
          </w:tcPr>
          <w:p w14:paraId="7CF73CF2" w14:textId="77777777" w:rsidR="000F2591" w:rsidRPr="00CA0F43" w:rsidRDefault="000F2591" w:rsidP="00951F60">
            <w:pPr>
              <w:jc w:val="both"/>
            </w:pPr>
            <w:r w:rsidRPr="00CA0F43">
              <w:t>4</w:t>
            </w:r>
          </w:p>
        </w:tc>
      </w:tr>
      <w:tr w:rsidR="000F2591" w:rsidRPr="00CA0F43" w14:paraId="4A0FD6D1" w14:textId="77777777" w:rsidTr="00951F60">
        <w:tc>
          <w:tcPr>
            <w:tcW w:w="1550" w:type="dxa"/>
            <w:tcBorders>
              <w:top w:val="single" w:sz="4" w:space="0" w:color="auto"/>
              <w:left w:val="single" w:sz="4" w:space="0" w:color="auto"/>
              <w:bottom w:val="single" w:sz="4" w:space="0" w:color="auto"/>
              <w:right w:val="single" w:sz="4" w:space="0" w:color="auto"/>
            </w:tcBorders>
            <w:hideMark/>
          </w:tcPr>
          <w:p w14:paraId="35A15ED6" w14:textId="77777777" w:rsidR="000F2591" w:rsidRPr="00CA0F43" w:rsidRDefault="000F2591" w:rsidP="00951F60">
            <w:pPr>
              <w:jc w:val="both"/>
            </w:pPr>
            <w:r w:rsidRPr="00CA0F43">
              <w:t>77-79</w:t>
            </w:r>
          </w:p>
        </w:tc>
        <w:tc>
          <w:tcPr>
            <w:tcW w:w="1550" w:type="dxa"/>
            <w:tcBorders>
              <w:top w:val="single" w:sz="4" w:space="0" w:color="auto"/>
              <w:left w:val="single" w:sz="4" w:space="0" w:color="auto"/>
              <w:bottom w:val="single" w:sz="4" w:space="0" w:color="auto"/>
              <w:right w:val="single" w:sz="4" w:space="0" w:color="auto"/>
            </w:tcBorders>
            <w:hideMark/>
          </w:tcPr>
          <w:p w14:paraId="0AC004C6" w14:textId="77777777" w:rsidR="000F2591" w:rsidRPr="00CA0F43" w:rsidRDefault="000F2591" w:rsidP="00951F60">
            <w:pPr>
              <w:jc w:val="both"/>
            </w:pPr>
            <w:r w:rsidRPr="00CA0F43">
              <w:t>B+</w:t>
            </w:r>
          </w:p>
        </w:tc>
        <w:tc>
          <w:tcPr>
            <w:tcW w:w="1550" w:type="dxa"/>
            <w:tcBorders>
              <w:top w:val="single" w:sz="4" w:space="0" w:color="auto"/>
              <w:left w:val="single" w:sz="4" w:space="0" w:color="auto"/>
              <w:bottom w:val="single" w:sz="4" w:space="0" w:color="auto"/>
              <w:right w:val="double" w:sz="4" w:space="0" w:color="auto"/>
            </w:tcBorders>
            <w:hideMark/>
          </w:tcPr>
          <w:p w14:paraId="0383C8EB" w14:textId="77777777" w:rsidR="000F2591" w:rsidRPr="00CA0F43" w:rsidRDefault="000F2591" w:rsidP="00951F60">
            <w:pPr>
              <w:jc w:val="both"/>
            </w:pPr>
            <w:r w:rsidRPr="00CA0F43">
              <w:t>9</w:t>
            </w:r>
          </w:p>
        </w:tc>
        <w:tc>
          <w:tcPr>
            <w:tcW w:w="1550" w:type="dxa"/>
            <w:tcBorders>
              <w:top w:val="single" w:sz="4" w:space="0" w:color="auto"/>
              <w:left w:val="double" w:sz="4" w:space="0" w:color="auto"/>
              <w:bottom w:val="single" w:sz="4" w:space="0" w:color="auto"/>
              <w:right w:val="single" w:sz="4" w:space="0" w:color="auto"/>
            </w:tcBorders>
            <w:hideMark/>
          </w:tcPr>
          <w:p w14:paraId="71BFA08E" w14:textId="77777777" w:rsidR="000F2591" w:rsidRPr="00CA0F43" w:rsidRDefault="000F2591" w:rsidP="00951F60">
            <w:pPr>
              <w:jc w:val="both"/>
            </w:pPr>
            <w:r w:rsidRPr="00CA0F43">
              <w:t>57-59</w:t>
            </w:r>
          </w:p>
        </w:tc>
        <w:tc>
          <w:tcPr>
            <w:tcW w:w="1550" w:type="dxa"/>
            <w:tcBorders>
              <w:top w:val="single" w:sz="4" w:space="0" w:color="auto"/>
              <w:left w:val="single" w:sz="4" w:space="0" w:color="auto"/>
              <w:bottom w:val="single" w:sz="4" w:space="0" w:color="auto"/>
              <w:right w:val="single" w:sz="4" w:space="0" w:color="auto"/>
            </w:tcBorders>
            <w:hideMark/>
          </w:tcPr>
          <w:p w14:paraId="5F7F68D6" w14:textId="77777777" w:rsidR="000F2591" w:rsidRPr="00CA0F43" w:rsidRDefault="000F2591" w:rsidP="00951F60">
            <w:pPr>
              <w:jc w:val="both"/>
            </w:pPr>
            <w:r w:rsidRPr="00CA0F43">
              <w:t>D+</w:t>
            </w:r>
          </w:p>
        </w:tc>
        <w:tc>
          <w:tcPr>
            <w:tcW w:w="1551" w:type="dxa"/>
            <w:tcBorders>
              <w:top w:val="single" w:sz="4" w:space="0" w:color="auto"/>
              <w:left w:val="single" w:sz="4" w:space="0" w:color="auto"/>
              <w:bottom w:val="single" w:sz="4" w:space="0" w:color="auto"/>
              <w:right w:val="single" w:sz="4" w:space="0" w:color="auto"/>
            </w:tcBorders>
            <w:hideMark/>
          </w:tcPr>
          <w:p w14:paraId="35E5C052" w14:textId="77777777" w:rsidR="000F2591" w:rsidRPr="00CA0F43" w:rsidRDefault="000F2591" w:rsidP="00951F60">
            <w:pPr>
              <w:jc w:val="both"/>
            </w:pPr>
            <w:r w:rsidRPr="00CA0F43">
              <w:t>3</w:t>
            </w:r>
          </w:p>
        </w:tc>
      </w:tr>
      <w:tr w:rsidR="000F2591" w:rsidRPr="00CA0F43" w14:paraId="4A86E6A2" w14:textId="77777777" w:rsidTr="00951F60">
        <w:tc>
          <w:tcPr>
            <w:tcW w:w="1550" w:type="dxa"/>
            <w:tcBorders>
              <w:top w:val="single" w:sz="4" w:space="0" w:color="auto"/>
              <w:left w:val="single" w:sz="4" w:space="0" w:color="auto"/>
              <w:bottom w:val="single" w:sz="4" w:space="0" w:color="auto"/>
              <w:right w:val="single" w:sz="4" w:space="0" w:color="auto"/>
            </w:tcBorders>
            <w:hideMark/>
          </w:tcPr>
          <w:p w14:paraId="5CB0DF46" w14:textId="77777777" w:rsidR="000F2591" w:rsidRPr="00CA0F43" w:rsidRDefault="000F2591" w:rsidP="00951F60">
            <w:pPr>
              <w:jc w:val="both"/>
            </w:pPr>
            <w:r w:rsidRPr="00CA0F43">
              <w:t>73-76</w:t>
            </w:r>
          </w:p>
        </w:tc>
        <w:tc>
          <w:tcPr>
            <w:tcW w:w="1550" w:type="dxa"/>
            <w:tcBorders>
              <w:top w:val="single" w:sz="4" w:space="0" w:color="auto"/>
              <w:left w:val="single" w:sz="4" w:space="0" w:color="auto"/>
              <w:bottom w:val="single" w:sz="4" w:space="0" w:color="auto"/>
              <w:right w:val="single" w:sz="4" w:space="0" w:color="auto"/>
            </w:tcBorders>
            <w:hideMark/>
          </w:tcPr>
          <w:p w14:paraId="087267FC" w14:textId="77777777" w:rsidR="000F2591" w:rsidRPr="00CA0F43" w:rsidRDefault="000F2591" w:rsidP="00951F60">
            <w:pPr>
              <w:jc w:val="both"/>
            </w:pPr>
            <w:r w:rsidRPr="00CA0F43">
              <w:t>B</w:t>
            </w:r>
          </w:p>
        </w:tc>
        <w:tc>
          <w:tcPr>
            <w:tcW w:w="1550" w:type="dxa"/>
            <w:tcBorders>
              <w:top w:val="single" w:sz="4" w:space="0" w:color="auto"/>
              <w:left w:val="single" w:sz="4" w:space="0" w:color="auto"/>
              <w:bottom w:val="single" w:sz="4" w:space="0" w:color="auto"/>
              <w:right w:val="double" w:sz="4" w:space="0" w:color="auto"/>
            </w:tcBorders>
            <w:hideMark/>
          </w:tcPr>
          <w:p w14:paraId="280BE313" w14:textId="77777777" w:rsidR="000F2591" w:rsidRPr="00CA0F43" w:rsidRDefault="000F2591" w:rsidP="00951F60">
            <w:pPr>
              <w:jc w:val="both"/>
            </w:pPr>
            <w:r w:rsidRPr="00CA0F43">
              <w:t>8</w:t>
            </w:r>
          </w:p>
        </w:tc>
        <w:tc>
          <w:tcPr>
            <w:tcW w:w="1550" w:type="dxa"/>
            <w:tcBorders>
              <w:top w:val="single" w:sz="4" w:space="0" w:color="auto"/>
              <w:left w:val="double" w:sz="4" w:space="0" w:color="auto"/>
              <w:bottom w:val="single" w:sz="4" w:space="0" w:color="auto"/>
              <w:right w:val="single" w:sz="4" w:space="0" w:color="auto"/>
            </w:tcBorders>
            <w:hideMark/>
          </w:tcPr>
          <w:p w14:paraId="6B13100A" w14:textId="77777777" w:rsidR="000F2591" w:rsidRPr="00CA0F43" w:rsidRDefault="000F2591" w:rsidP="00951F60">
            <w:pPr>
              <w:jc w:val="both"/>
            </w:pPr>
            <w:r w:rsidRPr="00CA0F43">
              <w:t>53-56</w:t>
            </w:r>
          </w:p>
        </w:tc>
        <w:tc>
          <w:tcPr>
            <w:tcW w:w="1550" w:type="dxa"/>
            <w:tcBorders>
              <w:top w:val="single" w:sz="4" w:space="0" w:color="auto"/>
              <w:left w:val="single" w:sz="4" w:space="0" w:color="auto"/>
              <w:bottom w:val="single" w:sz="4" w:space="0" w:color="auto"/>
              <w:right w:val="single" w:sz="4" w:space="0" w:color="auto"/>
            </w:tcBorders>
            <w:hideMark/>
          </w:tcPr>
          <w:p w14:paraId="555B3C0E" w14:textId="77777777" w:rsidR="000F2591" w:rsidRPr="00CA0F43" w:rsidRDefault="000F2591" w:rsidP="00951F60">
            <w:pPr>
              <w:jc w:val="both"/>
            </w:pPr>
            <w:r w:rsidRPr="00CA0F43">
              <w:t>D</w:t>
            </w:r>
          </w:p>
        </w:tc>
        <w:tc>
          <w:tcPr>
            <w:tcW w:w="1551" w:type="dxa"/>
            <w:tcBorders>
              <w:top w:val="single" w:sz="4" w:space="0" w:color="auto"/>
              <w:left w:val="single" w:sz="4" w:space="0" w:color="auto"/>
              <w:bottom w:val="single" w:sz="4" w:space="0" w:color="auto"/>
              <w:right w:val="single" w:sz="4" w:space="0" w:color="auto"/>
            </w:tcBorders>
            <w:hideMark/>
          </w:tcPr>
          <w:p w14:paraId="281BB8A2" w14:textId="77777777" w:rsidR="000F2591" w:rsidRPr="00CA0F43" w:rsidRDefault="000F2591" w:rsidP="00951F60">
            <w:pPr>
              <w:jc w:val="both"/>
            </w:pPr>
            <w:r w:rsidRPr="00CA0F43">
              <w:t>2</w:t>
            </w:r>
          </w:p>
        </w:tc>
      </w:tr>
      <w:tr w:rsidR="000F2591" w:rsidRPr="00CA0F43" w14:paraId="257F6876" w14:textId="77777777" w:rsidTr="00951F60">
        <w:tc>
          <w:tcPr>
            <w:tcW w:w="1550" w:type="dxa"/>
            <w:tcBorders>
              <w:top w:val="single" w:sz="4" w:space="0" w:color="auto"/>
              <w:left w:val="single" w:sz="4" w:space="0" w:color="auto"/>
              <w:bottom w:val="single" w:sz="4" w:space="0" w:color="auto"/>
              <w:right w:val="single" w:sz="4" w:space="0" w:color="auto"/>
            </w:tcBorders>
            <w:hideMark/>
          </w:tcPr>
          <w:p w14:paraId="344AAF24" w14:textId="77777777" w:rsidR="000F2591" w:rsidRPr="00CA0F43" w:rsidRDefault="000F2591" w:rsidP="00951F60">
            <w:pPr>
              <w:jc w:val="both"/>
            </w:pPr>
            <w:r w:rsidRPr="00CA0F43">
              <w:t>70-72</w:t>
            </w:r>
          </w:p>
        </w:tc>
        <w:tc>
          <w:tcPr>
            <w:tcW w:w="1550" w:type="dxa"/>
            <w:tcBorders>
              <w:top w:val="single" w:sz="4" w:space="0" w:color="auto"/>
              <w:left w:val="single" w:sz="4" w:space="0" w:color="auto"/>
              <w:bottom w:val="single" w:sz="4" w:space="0" w:color="auto"/>
              <w:right w:val="single" w:sz="4" w:space="0" w:color="auto"/>
            </w:tcBorders>
            <w:hideMark/>
          </w:tcPr>
          <w:p w14:paraId="302DCD33" w14:textId="77777777" w:rsidR="000F2591" w:rsidRPr="00CA0F43" w:rsidRDefault="000F2591" w:rsidP="00951F60">
            <w:pPr>
              <w:jc w:val="both"/>
            </w:pPr>
            <w:r w:rsidRPr="00CA0F43">
              <w:t>B-</w:t>
            </w:r>
          </w:p>
        </w:tc>
        <w:tc>
          <w:tcPr>
            <w:tcW w:w="1550" w:type="dxa"/>
            <w:tcBorders>
              <w:top w:val="single" w:sz="4" w:space="0" w:color="auto"/>
              <w:left w:val="single" w:sz="4" w:space="0" w:color="auto"/>
              <w:bottom w:val="single" w:sz="4" w:space="0" w:color="auto"/>
              <w:right w:val="double" w:sz="4" w:space="0" w:color="auto"/>
            </w:tcBorders>
            <w:hideMark/>
          </w:tcPr>
          <w:p w14:paraId="6825DE30" w14:textId="77777777" w:rsidR="000F2591" w:rsidRPr="00CA0F43" w:rsidRDefault="000F2591" w:rsidP="00951F60">
            <w:pPr>
              <w:jc w:val="both"/>
            </w:pPr>
            <w:r w:rsidRPr="00CA0F43">
              <w:t>7</w:t>
            </w:r>
          </w:p>
        </w:tc>
        <w:tc>
          <w:tcPr>
            <w:tcW w:w="1550" w:type="dxa"/>
            <w:tcBorders>
              <w:top w:val="single" w:sz="4" w:space="0" w:color="auto"/>
              <w:left w:val="double" w:sz="4" w:space="0" w:color="auto"/>
              <w:bottom w:val="single" w:sz="4" w:space="0" w:color="auto"/>
              <w:right w:val="single" w:sz="4" w:space="0" w:color="auto"/>
            </w:tcBorders>
            <w:hideMark/>
          </w:tcPr>
          <w:p w14:paraId="0FC9CE47" w14:textId="77777777" w:rsidR="000F2591" w:rsidRPr="00CA0F43" w:rsidRDefault="000F2591" w:rsidP="00951F60">
            <w:pPr>
              <w:jc w:val="both"/>
            </w:pPr>
            <w:r w:rsidRPr="00CA0F43">
              <w:t>50-52</w:t>
            </w:r>
          </w:p>
        </w:tc>
        <w:tc>
          <w:tcPr>
            <w:tcW w:w="1550" w:type="dxa"/>
            <w:tcBorders>
              <w:top w:val="single" w:sz="4" w:space="0" w:color="auto"/>
              <w:left w:val="single" w:sz="4" w:space="0" w:color="auto"/>
              <w:bottom w:val="single" w:sz="4" w:space="0" w:color="auto"/>
              <w:right w:val="single" w:sz="4" w:space="0" w:color="auto"/>
            </w:tcBorders>
            <w:hideMark/>
          </w:tcPr>
          <w:p w14:paraId="4BFB306A" w14:textId="77777777" w:rsidR="000F2591" w:rsidRPr="00CA0F43" w:rsidRDefault="000F2591" w:rsidP="00951F60">
            <w:pPr>
              <w:jc w:val="both"/>
            </w:pPr>
            <w:r w:rsidRPr="00CA0F43">
              <w:t>D-</w:t>
            </w:r>
          </w:p>
        </w:tc>
        <w:tc>
          <w:tcPr>
            <w:tcW w:w="1551" w:type="dxa"/>
            <w:tcBorders>
              <w:top w:val="single" w:sz="4" w:space="0" w:color="auto"/>
              <w:left w:val="single" w:sz="4" w:space="0" w:color="auto"/>
              <w:bottom w:val="single" w:sz="4" w:space="0" w:color="auto"/>
              <w:right w:val="single" w:sz="4" w:space="0" w:color="auto"/>
            </w:tcBorders>
            <w:hideMark/>
          </w:tcPr>
          <w:p w14:paraId="7E7D3C4E" w14:textId="77777777" w:rsidR="000F2591" w:rsidRPr="00CA0F43" w:rsidRDefault="000F2591" w:rsidP="00951F60">
            <w:pPr>
              <w:jc w:val="both"/>
            </w:pPr>
            <w:r w:rsidRPr="00CA0F43">
              <w:t>1</w:t>
            </w:r>
          </w:p>
        </w:tc>
      </w:tr>
    </w:tbl>
    <w:p w14:paraId="23D72E8A" w14:textId="77777777" w:rsidR="000F2591" w:rsidRPr="00CA0F43" w:rsidRDefault="000F2591" w:rsidP="000F2591">
      <w:pPr>
        <w:rPr>
          <w:lang w:val="en-GB"/>
        </w:rPr>
      </w:pPr>
    </w:p>
    <w:p w14:paraId="11213C67" w14:textId="77777777" w:rsidR="000F2591" w:rsidRPr="00CA0F43" w:rsidRDefault="000F2591" w:rsidP="000F2591">
      <w:pPr>
        <w:rPr>
          <w:lang w:val="en-GB"/>
        </w:rPr>
      </w:pPr>
    </w:p>
    <w:p w14:paraId="4316EDD8" w14:textId="77777777" w:rsidR="000F2591" w:rsidRDefault="000F2591" w:rsidP="000F2591">
      <w:pPr>
        <w:rPr>
          <w:b/>
          <w:lang w:val="en-GB"/>
        </w:rPr>
      </w:pPr>
      <w:r>
        <w:rPr>
          <w:b/>
          <w:lang w:val="en-GB"/>
        </w:rPr>
        <w:t>Approval of final grades</w:t>
      </w:r>
    </w:p>
    <w:p w14:paraId="61AF5AAC" w14:textId="77777777" w:rsidR="000F2591" w:rsidRPr="00CA0F43" w:rsidRDefault="000F2591" w:rsidP="000F2591">
      <w:pPr>
        <w:rPr>
          <w:b/>
          <w:bCs/>
          <w:lang w:val="en-GB"/>
        </w:rPr>
      </w:pPr>
      <w:r w:rsidRPr="00CA0F43">
        <w:t>Standing in a course is determined by the course instructor subject to the approval of the Faculty Dean. This means that grades submitted by an instructor may be subject to revision. No grades are final until they have been approved by the Dean.</w:t>
      </w:r>
    </w:p>
    <w:p w14:paraId="1F366535" w14:textId="77777777" w:rsidR="000F2591" w:rsidRPr="00CA0F43" w:rsidRDefault="000F2591" w:rsidP="000F2591">
      <w:pPr>
        <w:rPr>
          <w:b/>
          <w:bCs/>
          <w:lang w:val="en-GB"/>
        </w:rPr>
      </w:pPr>
    </w:p>
    <w:p w14:paraId="04D56B3D" w14:textId="77777777" w:rsidR="000F2591" w:rsidRDefault="000F2591" w:rsidP="000F2591">
      <w:pPr>
        <w:rPr>
          <w:b/>
          <w:bCs/>
          <w:lang w:val="en-GB"/>
        </w:rPr>
      </w:pPr>
      <w:r>
        <w:rPr>
          <w:b/>
          <w:bCs/>
          <w:lang w:val="en-GB"/>
        </w:rPr>
        <w:t>Carleton E-mail Accounts</w:t>
      </w:r>
    </w:p>
    <w:p w14:paraId="0A7FB37E" w14:textId="4EE3AFE3" w:rsidR="000F2591" w:rsidRPr="00CA0F43" w:rsidRDefault="000F2591" w:rsidP="000F2591">
      <w:pPr>
        <w:rPr>
          <w:lang w:val="en-GB"/>
        </w:rPr>
      </w:pPr>
      <w:r w:rsidRPr="00CA0F43">
        <w:rPr>
          <w:lang w:val="en-GB"/>
        </w:rPr>
        <w:lastRenderedPageBreak/>
        <w:t xml:space="preserve">All email communication to students from the Department of Political Science will be via official Carleton university e-mail accounts and/or </w:t>
      </w:r>
      <w:r w:rsidR="00DD6AEE">
        <w:rPr>
          <w:lang w:val="en-GB"/>
        </w:rPr>
        <w:t>Brightspace</w:t>
      </w:r>
      <w:r w:rsidRPr="00CA0F43">
        <w:rPr>
          <w:lang w:val="en-GB"/>
        </w:rPr>
        <w:t xml:space="preserve">  As important course and University information is distributed this way, it is the student’s responsibility to monitor their Carleton and </w:t>
      </w:r>
      <w:r w:rsidR="00DD6AEE">
        <w:rPr>
          <w:lang w:val="en-GB"/>
        </w:rPr>
        <w:t xml:space="preserve">Brightspace </w:t>
      </w:r>
      <w:r w:rsidRPr="00CA0F43">
        <w:rPr>
          <w:lang w:val="en-GB"/>
        </w:rPr>
        <w:t xml:space="preserve">accounts. </w:t>
      </w:r>
    </w:p>
    <w:p w14:paraId="6015A251" w14:textId="77777777" w:rsidR="004D0F82" w:rsidRDefault="004D0F82" w:rsidP="00382C27">
      <w:pPr>
        <w:pBdr>
          <w:bottom w:val="single" w:sz="4" w:space="1" w:color="auto"/>
        </w:pBdr>
      </w:pPr>
    </w:p>
    <w:sectPr w:rsidR="004D0F82" w:rsidSect="004D0F82">
      <w:footerReference w:type="even" r:id="rId21"/>
      <w:footerReference w:type="defaul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8F3C7" w14:textId="77777777" w:rsidR="00C57882" w:rsidRDefault="00C57882" w:rsidP="00D91761">
      <w:r>
        <w:separator/>
      </w:r>
    </w:p>
  </w:endnote>
  <w:endnote w:type="continuationSeparator" w:id="0">
    <w:p w14:paraId="1C1C8C2F" w14:textId="77777777" w:rsidR="00C57882" w:rsidRDefault="00C57882" w:rsidP="00D9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TimesNewRomanPSMT">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B6428" w14:textId="77777777" w:rsidR="00EA42D9" w:rsidRDefault="00EA42D9" w:rsidP="00BF2C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FE409A" w14:textId="77777777" w:rsidR="00EA42D9" w:rsidRDefault="00EA42D9" w:rsidP="00D917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C34F1" w14:textId="4F8EE5E3" w:rsidR="00EA42D9" w:rsidRDefault="00EA42D9" w:rsidP="00BF2C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4CB0">
      <w:rPr>
        <w:rStyle w:val="PageNumber"/>
        <w:noProof/>
      </w:rPr>
      <w:t>1</w:t>
    </w:r>
    <w:r>
      <w:rPr>
        <w:rStyle w:val="PageNumber"/>
      </w:rPr>
      <w:fldChar w:fldCharType="end"/>
    </w:r>
  </w:p>
  <w:p w14:paraId="6597E847" w14:textId="77777777" w:rsidR="00EA42D9" w:rsidRDefault="00EA42D9" w:rsidP="00D917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3D0C5" w14:textId="77777777" w:rsidR="00C57882" w:rsidRDefault="00C57882" w:rsidP="00D91761">
      <w:r>
        <w:separator/>
      </w:r>
    </w:p>
  </w:footnote>
  <w:footnote w:type="continuationSeparator" w:id="0">
    <w:p w14:paraId="3D40A552" w14:textId="77777777" w:rsidR="00C57882" w:rsidRDefault="00C57882" w:rsidP="00D91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C4266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6548CF"/>
    <w:multiLevelType w:val="hybridMultilevel"/>
    <w:tmpl w:val="E5D26C44"/>
    <w:lvl w:ilvl="0" w:tplc="CF00C33E">
      <w:start w:val="1"/>
      <w:numFmt w:val="bullet"/>
      <w:lvlText w:val=""/>
      <w:lvlJc w:val="left"/>
      <w:pPr>
        <w:tabs>
          <w:tab w:val="num" w:pos="2160"/>
        </w:tabs>
        <w:ind w:left="2160" w:hanging="360"/>
      </w:pPr>
      <w:rPr>
        <w:rFonts w:ascii="Symbol" w:hAnsi="Symbol" w:hint="default"/>
        <w:color w:val="auto"/>
        <w:sz w:val="16"/>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BA0E7F"/>
    <w:multiLevelType w:val="hybridMultilevel"/>
    <w:tmpl w:val="7CD0D8B4"/>
    <w:lvl w:ilvl="0" w:tplc="1ECCEF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021B5"/>
    <w:multiLevelType w:val="hybridMultilevel"/>
    <w:tmpl w:val="967E0922"/>
    <w:lvl w:ilvl="0" w:tplc="CF00C33E">
      <w:start w:val="1"/>
      <w:numFmt w:val="bullet"/>
      <w:lvlText w:val=""/>
      <w:lvlJc w:val="left"/>
      <w:pPr>
        <w:tabs>
          <w:tab w:val="num" w:pos="2160"/>
        </w:tabs>
        <w:ind w:left="2160" w:hanging="360"/>
      </w:pPr>
      <w:rPr>
        <w:rFonts w:ascii="Symbol" w:hAnsi="Symbol" w:hint="default"/>
        <w:color w:val="auto"/>
        <w:sz w:val="16"/>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3477BB"/>
    <w:multiLevelType w:val="hybridMultilevel"/>
    <w:tmpl w:val="6AC6C5FC"/>
    <w:lvl w:ilvl="0" w:tplc="09D4641E">
      <w:start w:val="300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DA5D28"/>
    <w:multiLevelType w:val="hybridMultilevel"/>
    <w:tmpl w:val="303E0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B1C66"/>
    <w:multiLevelType w:val="hybridMultilevel"/>
    <w:tmpl w:val="7362DFD4"/>
    <w:lvl w:ilvl="0" w:tplc="F5CAFF5E">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A4"/>
    <w:rsid w:val="00001F9F"/>
    <w:rsid w:val="000042C3"/>
    <w:rsid w:val="00010309"/>
    <w:rsid w:val="00010586"/>
    <w:rsid w:val="000121AD"/>
    <w:rsid w:val="00051831"/>
    <w:rsid w:val="00056CC9"/>
    <w:rsid w:val="00063682"/>
    <w:rsid w:val="000A2DC0"/>
    <w:rsid w:val="000A53A1"/>
    <w:rsid w:val="000A63C8"/>
    <w:rsid w:val="000D536C"/>
    <w:rsid w:val="000D5FEC"/>
    <w:rsid w:val="000E01A0"/>
    <w:rsid w:val="000E0711"/>
    <w:rsid w:val="000E10AD"/>
    <w:rsid w:val="000F2591"/>
    <w:rsid w:val="001015A5"/>
    <w:rsid w:val="00105B93"/>
    <w:rsid w:val="001063C2"/>
    <w:rsid w:val="0012428B"/>
    <w:rsid w:val="00137807"/>
    <w:rsid w:val="00146FBD"/>
    <w:rsid w:val="001507E7"/>
    <w:rsid w:val="00151B83"/>
    <w:rsid w:val="00151BC5"/>
    <w:rsid w:val="00154413"/>
    <w:rsid w:val="001812FD"/>
    <w:rsid w:val="001A05E6"/>
    <w:rsid w:val="001A1506"/>
    <w:rsid w:val="001A4B15"/>
    <w:rsid w:val="001B7255"/>
    <w:rsid w:val="001C08E7"/>
    <w:rsid w:val="001C5FBF"/>
    <w:rsid w:val="001C6CFE"/>
    <w:rsid w:val="001D08FC"/>
    <w:rsid w:val="001D2A65"/>
    <w:rsid w:val="001D2FAD"/>
    <w:rsid w:val="001E3790"/>
    <w:rsid w:val="001E7ED3"/>
    <w:rsid w:val="001F68B5"/>
    <w:rsid w:val="0020109D"/>
    <w:rsid w:val="00201BD9"/>
    <w:rsid w:val="0020579F"/>
    <w:rsid w:val="002127E9"/>
    <w:rsid w:val="00221970"/>
    <w:rsid w:val="00232BEA"/>
    <w:rsid w:val="00234C53"/>
    <w:rsid w:val="0023641F"/>
    <w:rsid w:val="00237F1E"/>
    <w:rsid w:val="00242E7B"/>
    <w:rsid w:val="00253033"/>
    <w:rsid w:val="002948D0"/>
    <w:rsid w:val="002959CF"/>
    <w:rsid w:val="00295AB6"/>
    <w:rsid w:val="002A3F9B"/>
    <w:rsid w:val="002A4857"/>
    <w:rsid w:val="002A6024"/>
    <w:rsid w:val="002B27E3"/>
    <w:rsid w:val="002B64B4"/>
    <w:rsid w:val="002C134F"/>
    <w:rsid w:val="002C2088"/>
    <w:rsid w:val="002C4AF0"/>
    <w:rsid w:val="002D7C95"/>
    <w:rsid w:val="002E2A3C"/>
    <w:rsid w:val="002E59AA"/>
    <w:rsid w:val="002E7D3B"/>
    <w:rsid w:val="002F6E2B"/>
    <w:rsid w:val="00300D32"/>
    <w:rsid w:val="003338FB"/>
    <w:rsid w:val="003444F3"/>
    <w:rsid w:val="00346DB7"/>
    <w:rsid w:val="00374E6E"/>
    <w:rsid w:val="00376AC6"/>
    <w:rsid w:val="00382C27"/>
    <w:rsid w:val="00383163"/>
    <w:rsid w:val="00397808"/>
    <w:rsid w:val="003A2773"/>
    <w:rsid w:val="003A368B"/>
    <w:rsid w:val="003E76DE"/>
    <w:rsid w:val="003F0360"/>
    <w:rsid w:val="004050E6"/>
    <w:rsid w:val="00414E21"/>
    <w:rsid w:val="0041513E"/>
    <w:rsid w:val="0041681B"/>
    <w:rsid w:val="00424835"/>
    <w:rsid w:val="0043672C"/>
    <w:rsid w:val="00441FA4"/>
    <w:rsid w:val="004509A6"/>
    <w:rsid w:val="0045346C"/>
    <w:rsid w:val="004622FB"/>
    <w:rsid w:val="00465313"/>
    <w:rsid w:val="00470978"/>
    <w:rsid w:val="0047533E"/>
    <w:rsid w:val="004776A3"/>
    <w:rsid w:val="004807AA"/>
    <w:rsid w:val="00481C06"/>
    <w:rsid w:val="004834AD"/>
    <w:rsid w:val="004A6AF6"/>
    <w:rsid w:val="004B5873"/>
    <w:rsid w:val="004C0D65"/>
    <w:rsid w:val="004D0F82"/>
    <w:rsid w:val="004E2D49"/>
    <w:rsid w:val="004E78BE"/>
    <w:rsid w:val="005544B3"/>
    <w:rsid w:val="00560145"/>
    <w:rsid w:val="00572D21"/>
    <w:rsid w:val="005751B5"/>
    <w:rsid w:val="00583752"/>
    <w:rsid w:val="005849E3"/>
    <w:rsid w:val="00584FB3"/>
    <w:rsid w:val="005928DB"/>
    <w:rsid w:val="005B292A"/>
    <w:rsid w:val="005D670E"/>
    <w:rsid w:val="005E1D8F"/>
    <w:rsid w:val="006043A2"/>
    <w:rsid w:val="00605118"/>
    <w:rsid w:val="00605400"/>
    <w:rsid w:val="006071CC"/>
    <w:rsid w:val="0062537A"/>
    <w:rsid w:val="006358E6"/>
    <w:rsid w:val="0064192D"/>
    <w:rsid w:val="00646A08"/>
    <w:rsid w:val="006475E3"/>
    <w:rsid w:val="006569EA"/>
    <w:rsid w:val="006579A8"/>
    <w:rsid w:val="0067140A"/>
    <w:rsid w:val="006715D8"/>
    <w:rsid w:val="00685BD8"/>
    <w:rsid w:val="00686E71"/>
    <w:rsid w:val="00690F1B"/>
    <w:rsid w:val="006967EE"/>
    <w:rsid w:val="006A1C79"/>
    <w:rsid w:val="006C361B"/>
    <w:rsid w:val="006D53E2"/>
    <w:rsid w:val="006D5507"/>
    <w:rsid w:val="006E1B14"/>
    <w:rsid w:val="006E48A6"/>
    <w:rsid w:val="006F2305"/>
    <w:rsid w:val="0070249C"/>
    <w:rsid w:val="007064E9"/>
    <w:rsid w:val="00722109"/>
    <w:rsid w:val="007245F6"/>
    <w:rsid w:val="0072741B"/>
    <w:rsid w:val="0073248D"/>
    <w:rsid w:val="0073400E"/>
    <w:rsid w:val="00741C47"/>
    <w:rsid w:val="00747A4B"/>
    <w:rsid w:val="00756026"/>
    <w:rsid w:val="007578E5"/>
    <w:rsid w:val="00760718"/>
    <w:rsid w:val="0076220D"/>
    <w:rsid w:val="007709AB"/>
    <w:rsid w:val="00775FDE"/>
    <w:rsid w:val="00776600"/>
    <w:rsid w:val="00780232"/>
    <w:rsid w:val="00780E1C"/>
    <w:rsid w:val="007A0D39"/>
    <w:rsid w:val="007A36A9"/>
    <w:rsid w:val="007A78EF"/>
    <w:rsid w:val="007B02E5"/>
    <w:rsid w:val="007B4A17"/>
    <w:rsid w:val="007B6E64"/>
    <w:rsid w:val="007B7076"/>
    <w:rsid w:val="007C481F"/>
    <w:rsid w:val="007D1D6D"/>
    <w:rsid w:val="007D3E9A"/>
    <w:rsid w:val="007D7D8B"/>
    <w:rsid w:val="00806017"/>
    <w:rsid w:val="00810599"/>
    <w:rsid w:val="00822D8E"/>
    <w:rsid w:val="00836D78"/>
    <w:rsid w:val="00837705"/>
    <w:rsid w:val="00837978"/>
    <w:rsid w:val="008424B6"/>
    <w:rsid w:val="00847366"/>
    <w:rsid w:val="00851446"/>
    <w:rsid w:val="00870BAC"/>
    <w:rsid w:val="00883589"/>
    <w:rsid w:val="008B6B2B"/>
    <w:rsid w:val="008C020C"/>
    <w:rsid w:val="008E7782"/>
    <w:rsid w:val="008F2B27"/>
    <w:rsid w:val="008F4263"/>
    <w:rsid w:val="008F701D"/>
    <w:rsid w:val="008F75CC"/>
    <w:rsid w:val="00910F47"/>
    <w:rsid w:val="009203B0"/>
    <w:rsid w:val="00921E51"/>
    <w:rsid w:val="009333CE"/>
    <w:rsid w:val="00933A1F"/>
    <w:rsid w:val="009341BC"/>
    <w:rsid w:val="00940C3F"/>
    <w:rsid w:val="00946D97"/>
    <w:rsid w:val="00951F60"/>
    <w:rsid w:val="009555B0"/>
    <w:rsid w:val="0096442C"/>
    <w:rsid w:val="00973106"/>
    <w:rsid w:val="00992B79"/>
    <w:rsid w:val="0099328C"/>
    <w:rsid w:val="009A6888"/>
    <w:rsid w:val="009C0F7F"/>
    <w:rsid w:val="009C55EC"/>
    <w:rsid w:val="009D35BE"/>
    <w:rsid w:val="009F2ECE"/>
    <w:rsid w:val="009F47C2"/>
    <w:rsid w:val="00A12BB7"/>
    <w:rsid w:val="00A14895"/>
    <w:rsid w:val="00A21F58"/>
    <w:rsid w:val="00A23DCA"/>
    <w:rsid w:val="00A24BFB"/>
    <w:rsid w:val="00A31AB3"/>
    <w:rsid w:val="00A33F3C"/>
    <w:rsid w:val="00A44AEB"/>
    <w:rsid w:val="00A4559F"/>
    <w:rsid w:val="00A567BD"/>
    <w:rsid w:val="00A70F17"/>
    <w:rsid w:val="00A82B27"/>
    <w:rsid w:val="00A97439"/>
    <w:rsid w:val="00A9749A"/>
    <w:rsid w:val="00AA0D78"/>
    <w:rsid w:val="00AA2717"/>
    <w:rsid w:val="00AA3805"/>
    <w:rsid w:val="00AA615F"/>
    <w:rsid w:val="00AB02BC"/>
    <w:rsid w:val="00AC4CB0"/>
    <w:rsid w:val="00AC6FED"/>
    <w:rsid w:val="00AC796D"/>
    <w:rsid w:val="00AD2D42"/>
    <w:rsid w:val="00AE27AE"/>
    <w:rsid w:val="00AE45E3"/>
    <w:rsid w:val="00AF2709"/>
    <w:rsid w:val="00B23DA3"/>
    <w:rsid w:val="00B30210"/>
    <w:rsid w:val="00B43A86"/>
    <w:rsid w:val="00B512DC"/>
    <w:rsid w:val="00B52869"/>
    <w:rsid w:val="00B572DB"/>
    <w:rsid w:val="00B73445"/>
    <w:rsid w:val="00B827CF"/>
    <w:rsid w:val="00B90272"/>
    <w:rsid w:val="00B90E9D"/>
    <w:rsid w:val="00B96CC8"/>
    <w:rsid w:val="00BA0E02"/>
    <w:rsid w:val="00BA0E7C"/>
    <w:rsid w:val="00BA3D73"/>
    <w:rsid w:val="00BB50E6"/>
    <w:rsid w:val="00BC23D3"/>
    <w:rsid w:val="00BC5164"/>
    <w:rsid w:val="00BC756A"/>
    <w:rsid w:val="00BD2C66"/>
    <w:rsid w:val="00BF0881"/>
    <w:rsid w:val="00BF2C98"/>
    <w:rsid w:val="00C10136"/>
    <w:rsid w:val="00C13709"/>
    <w:rsid w:val="00C23FE9"/>
    <w:rsid w:val="00C352D8"/>
    <w:rsid w:val="00C420FB"/>
    <w:rsid w:val="00C445CE"/>
    <w:rsid w:val="00C45B0E"/>
    <w:rsid w:val="00C53C0A"/>
    <w:rsid w:val="00C5787F"/>
    <w:rsid w:val="00C57882"/>
    <w:rsid w:val="00C611B2"/>
    <w:rsid w:val="00C62FAA"/>
    <w:rsid w:val="00C74198"/>
    <w:rsid w:val="00CC0234"/>
    <w:rsid w:val="00CC054D"/>
    <w:rsid w:val="00CC2B85"/>
    <w:rsid w:val="00CC6645"/>
    <w:rsid w:val="00CD28ED"/>
    <w:rsid w:val="00CE5436"/>
    <w:rsid w:val="00CF1E04"/>
    <w:rsid w:val="00CF2158"/>
    <w:rsid w:val="00CF2873"/>
    <w:rsid w:val="00CF2E24"/>
    <w:rsid w:val="00D03228"/>
    <w:rsid w:val="00D07E3E"/>
    <w:rsid w:val="00D25366"/>
    <w:rsid w:val="00D46044"/>
    <w:rsid w:val="00D46F7C"/>
    <w:rsid w:val="00D6024B"/>
    <w:rsid w:val="00D649A2"/>
    <w:rsid w:val="00D709AC"/>
    <w:rsid w:val="00D85441"/>
    <w:rsid w:val="00D91761"/>
    <w:rsid w:val="00D97EA3"/>
    <w:rsid w:val="00DA260E"/>
    <w:rsid w:val="00DA60D7"/>
    <w:rsid w:val="00DC089D"/>
    <w:rsid w:val="00DC2E6C"/>
    <w:rsid w:val="00DD5238"/>
    <w:rsid w:val="00DD6AEE"/>
    <w:rsid w:val="00DF0464"/>
    <w:rsid w:val="00DF43FA"/>
    <w:rsid w:val="00DF6258"/>
    <w:rsid w:val="00E02F7D"/>
    <w:rsid w:val="00E117BA"/>
    <w:rsid w:val="00E21613"/>
    <w:rsid w:val="00E24EBC"/>
    <w:rsid w:val="00E25817"/>
    <w:rsid w:val="00E26AF5"/>
    <w:rsid w:val="00E27591"/>
    <w:rsid w:val="00E33914"/>
    <w:rsid w:val="00E45442"/>
    <w:rsid w:val="00E532FB"/>
    <w:rsid w:val="00E6452F"/>
    <w:rsid w:val="00E65B15"/>
    <w:rsid w:val="00E77CA8"/>
    <w:rsid w:val="00E96840"/>
    <w:rsid w:val="00E97A75"/>
    <w:rsid w:val="00EA42D9"/>
    <w:rsid w:val="00EC0C84"/>
    <w:rsid w:val="00EE10DA"/>
    <w:rsid w:val="00EF1C57"/>
    <w:rsid w:val="00EF3B6E"/>
    <w:rsid w:val="00EF53D2"/>
    <w:rsid w:val="00F0010B"/>
    <w:rsid w:val="00F013D7"/>
    <w:rsid w:val="00F0642B"/>
    <w:rsid w:val="00F23F8B"/>
    <w:rsid w:val="00F25F25"/>
    <w:rsid w:val="00F36BD8"/>
    <w:rsid w:val="00F47A44"/>
    <w:rsid w:val="00F6011C"/>
    <w:rsid w:val="00F7598F"/>
    <w:rsid w:val="00F80AA6"/>
    <w:rsid w:val="00F902AD"/>
    <w:rsid w:val="00F91DF8"/>
    <w:rsid w:val="00F9288B"/>
    <w:rsid w:val="00FA7FE9"/>
    <w:rsid w:val="00FB20BA"/>
    <w:rsid w:val="00FC2F16"/>
    <w:rsid w:val="00FD3FCC"/>
    <w:rsid w:val="00FF403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070AB16"/>
  <w15:docId w15:val="{86E718AB-BDA3-2E46-BDC5-1E7A6BB0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111"/>
    <w:rPr>
      <w:sz w:val="24"/>
      <w:szCs w:val="24"/>
      <w:lang w:val="en-US"/>
    </w:rPr>
  </w:style>
  <w:style w:type="paragraph" w:styleId="Heading1">
    <w:name w:val="heading 1"/>
    <w:basedOn w:val="Normal"/>
    <w:link w:val="Heading1Char"/>
    <w:uiPriority w:val="9"/>
    <w:qFormat/>
    <w:rsid w:val="00151BC5"/>
    <w:pPr>
      <w:spacing w:before="100" w:beforeAutospacing="1" w:after="100" w:afterAutospacing="1"/>
      <w:outlineLvl w:val="0"/>
    </w:pPr>
    <w:rPr>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1C1365"/>
    <w:rPr>
      <w:color w:val="0000FF"/>
      <w:u w:val="single"/>
    </w:rPr>
  </w:style>
  <w:style w:type="character" w:styleId="Hyperlink">
    <w:name w:val="Hyperlink"/>
    <w:uiPriority w:val="99"/>
    <w:rsid w:val="00DA33D2"/>
    <w:rPr>
      <w:color w:val="0000FF"/>
      <w:u w:val="single"/>
    </w:rPr>
  </w:style>
  <w:style w:type="paragraph" w:styleId="NormalWeb">
    <w:name w:val="Normal (Web)"/>
    <w:basedOn w:val="Normal"/>
    <w:uiPriority w:val="99"/>
    <w:unhideWhenUsed/>
    <w:rsid w:val="004509A6"/>
    <w:pPr>
      <w:spacing w:before="100" w:beforeAutospacing="1" w:after="100" w:afterAutospacing="1"/>
    </w:pPr>
    <w:rPr>
      <w:rFonts w:ascii="Times" w:hAnsi="Times"/>
      <w:sz w:val="20"/>
      <w:szCs w:val="20"/>
    </w:rPr>
  </w:style>
  <w:style w:type="character" w:styleId="FollowedHyperlink">
    <w:name w:val="FollowedHyperlink"/>
    <w:uiPriority w:val="99"/>
    <w:semiHidden/>
    <w:unhideWhenUsed/>
    <w:rsid w:val="00D97EA3"/>
    <w:rPr>
      <w:color w:val="800080"/>
      <w:u w:val="single"/>
    </w:rPr>
  </w:style>
  <w:style w:type="paragraph" w:styleId="Footer">
    <w:name w:val="footer"/>
    <w:basedOn w:val="Normal"/>
    <w:link w:val="FooterChar"/>
    <w:uiPriority w:val="99"/>
    <w:unhideWhenUsed/>
    <w:rsid w:val="00D91761"/>
    <w:pPr>
      <w:tabs>
        <w:tab w:val="center" w:pos="4320"/>
        <w:tab w:val="right" w:pos="8640"/>
      </w:tabs>
    </w:pPr>
  </w:style>
  <w:style w:type="character" w:customStyle="1" w:styleId="FooterChar">
    <w:name w:val="Footer Char"/>
    <w:link w:val="Footer"/>
    <w:uiPriority w:val="99"/>
    <w:rsid w:val="00D91761"/>
    <w:rPr>
      <w:sz w:val="24"/>
      <w:szCs w:val="24"/>
    </w:rPr>
  </w:style>
  <w:style w:type="character" w:styleId="PageNumber">
    <w:name w:val="page number"/>
    <w:uiPriority w:val="99"/>
    <w:semiHidden/>
    <w:unhideWhenUsed/>
    <w:rsid w:val="00D91761"/>
  </w:style>
  <w:style w:type="paragraph" w:styleId="ListParagraph">
    <w:name w:val="List Paragraph"/>
    <w:basedOn w:val="Normal"/>
    <w:uiPriority w:val="34"/>
    <w:qFormat/>
    <w:rsid w:val="00BA0E7C"/>
    <w:pPr>
      <w:ind w:left="720"/>
    </w:pPr>
  </w:style>
  <w:style w:type="paragraph" w:styleId="NoSpacing">
    <w:name w:val="No Spacing"/>
    <w:uiPriority w:val="1"/>
    <w:qFormat/>
    <w:rsid w:val="0020579F"/>
    <w:rPr>
      <w:sz w:val="24"/>
      <w:szCs w:val="24"/>
      <w:lang w:val="en-US"/>
    </w:rPr>
  </w:style>
  <w:style w:type="character" w:customStyle="1" w:styleId="apple-converted-space">
    <w:name w:val="apple-converted-space"/>
    <w:basedOn w:val="DefaultParagraphFont"/>
    <w:rsid w:val="00E26AF5"/>
  </w:style>
  <w:style w:type="character" w:customStyle="1" w:styleId="markedcontent">
    <w:name w:val="markedcontent"/>
    <w:basedOn w:val="DefaultParagraphFont"/>
    <w:rsid w:val="00151BC5"/>
  </w:style>
  <w:style w:type="character" w:customStyle="1" w:styleId="Heading1Char">
    <w:name w:val="Heading 1 Char"/>
    <w:basedOn w:val="DefaultParagraphFont"/>
    <w:link w:val="Heading1"/>
    <w:uiPriority w:val="9"/>
    <w:rsid w:val="00151BC5"/>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738504">
      <w:bodyDiv w:val="1"/>
      <w:marLeft w:val="0"/>
      <w:marRight w:val="0"/>
      <w:marTop w:val="0"/>
      <w:marBottom w:val="0"/>
      <w:divBdr>
        <w:top w:val="none" w:sz="0" w:space="0" w:color="auto"/>
        <w:left w:val="none" w:sz="0" w:space="0" w:color="auto"/>
        <w:bottom w:val="none" w:sz="0" w:space="0" w:color="auto"/>
        <w:right w:val="none" w:sz="0" w:space="0" w:color="auto"/>
      </w:divBdr>
    </w:div>
    <w:div w:id="735593934">
      <w:bodyDiv w:val="1"/>
      <w:marLeft w:val="0"/>
      <w:marRight w:val="0"/>
      <w:marTop w:val="0"/>
      <w:marBottom w:val="0"/>
      <w:divBdr>
        <w:top w:val="none" w:sz="0" w:space="0" w:color="auto"/>
        <w:left w:val="none" w:sz="0" w:space="0" w:color="auto"/>
        <w:bottom w:val="none" w:sz="0" w:space="0" w:color="auto"/>
        <w:right w:val="none" w:sz="0" w:space="0" w:color="auto"/>
      </w:divBdr>
    </w:div>
    <w:div w:id="833300946">
      <w:bodyDiv w:val="1"/>
      <w:marLeft w:val="0"/>
      <w:marRight w:val="0"/>
      <w:marTop w:val="0"/>
      <w:marBottom w:val="0"/>
      <w:divBdr>
        <w:top w:val="none" w:sz="0" w:space="0" w:color="auto"/>
        <w:left w:val="none" w:sz="0" w:space="0" w:color="auto"/>
        <w:bottom w:val="none" w:sz="0" w:space="0" w:color="auto"/>
        <w:right w:val="none" w:sz="0" w:space="0" w:color="auto"/>
      </w:divBdr>
    </w:div>
    <w:div w:id="1576931947">
      <w:bodyDiv w:val="1"/>
      <w:marLeft w:val="0"/>
      <w:marRight w:val="0"/>
      <w:marTop w:val="0"/>
      <w:marBottom w:val="0"/>
      <w:divBdr>
        <w:top w:val="none" w:sz="0" w:space="0" w:color="auto"/>
        <w:left w:val="none" w:sz="0" w:space="0" w:color="auto"/>
        <w:bottom w:val="none" w:sz="0" w:space="0" w:color="auto"/>
        <w:right w:val="none" w:sz="0" w:space="0" w:color="auto"/>
      </w:divBdr>
      <w:divsChild>
        <w:div w:id="839471466">
          <w:marLeft w:val="0"/>
          <w:marRight w:val="0"/>
          <w:marTop w:val="0"/>
          <w:marBottom w:val="0"/>
          <w:divBdr>
            <w:top w:val="none" w:sz="0" w:space="0" w:color="auto"/>
            <w:left w:val="none" w:sz="0" w:space="0" w:color="auto"/>
            <w:bottom w:val="none" w:sz="0" w:space="0" w:color="auto"/>
            <w:right w:val="none" w:sz="0" w:space="0" w:color="auto"/>
          </w:divBdr>
          <w:divsChild>
            <w:div w:id="2080593977">
              <w:marLeft w:val="0"/>
              <w:marRight w:val="0"/>
              <w:marTop w:val="0"/>
              <w:marBottom w:val="0"/>
              <w:divBdr>
                <w:top w:val="none" w:sz="0" w:space="0" w:color="auto"/>
                <w:left w:val="none" w:sz="0" w:space="0" w:color="auto"/>
                <w:bottom w:val="none" w:sz="0" w:space="0" w:color="auto"/>
                <w:right w:val="none" w:sz="0" w:space="0" w:color="auto"/>
              </w:divBdr>
              <w:divsChild>
                <w:div w:id="5400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rleton.ca/equity/wp-content/uploads/Student-Guide-to-Academic-Accommodation.pdf" TargetMode="External"/><Relationship Id="rId13" Type="http://schemas.openxmlformats.org/officeDocument/2006/relationships/hyperlink" Target="http://students.carleton.ca/course-outline" TargetMode="External"/><Relationship Id="rId18" Type="http://schemas.openxmlformats.org/officeDocument/2006/relationships/hyperlink" Target="https://carleton.ca/covid19/faq/"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carleton.ca/equity/wp-content/uploads/Student-Guide-to-Academic-Accommodation.pdf" TargetMode="External"/><Relationship Id="rId12" Type="http://schemas.openxmlformats.org/officeDocument/2006/relationships/hyperlink" Target="https://carleton.ca/senate/wp-content/uploads/Accommodation-for-Student-Activities-1.pdf" TargetMode="External"/><Relationship Id="rId17" Type="http://schemas.openxmlformats.org/officeDocument/2006/relationships/hyperlink" Target="https://carleton.ca/covid19/" TargetMode="External"/><Relationship Id="rId2" Type="http://schemas.openxmlformats.org/officeDocument/2006/relationships/styles" Target="styles.xml"/><Relationship Id="rId16" Type="http://schemas.openxmlformats.org/officeDocument/2006/relationships/hyperlink" Target="http://carleton.ca/covid19" TargetMode="External"/><Relationship Id="rId20" Type="http://schemas.openxmlformats.org/officeDocument/2006/relationships/hyperlink" Target="https://carleton.ca/studentaffairs/student-rights-and-responsibilit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rleton.ca/sexual-violence-suppor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arleton.ca/covid19/covid-19-symptom-reporting/" TargetMode="External"/><Relationship Id="rId23" Type="http://schemas.openxmlformats.org/officeDocument/2006/relationships/fontTable" Target="fontTable.xml"/><Relationship Id="rId10" Type="http://schemas.openxmlformats.org/officeDocument/2006/relationships/hyperlink" Target="http://carleton.ca/pmc" TargetMode="External"/><Relationship Id="rId19" Type="http://schemas.openxmlformats.org/officeDocument/2006/relationships/hyperlink" Target="mailto:covidinfo@carleton.ca" TargetMode="External"/><Relationship Id="rId4" Type="http://schemas.openxmlformats.org/officeDocument/2006/relationships/webSettings" Target="webSettings.xml"/><Relationship Id="rId9" Type="http://schemas.openxmlformats.org/officeDocument/2006/relationships/hyperlink" Target="mailto:pmc@carleton.ca" TargetMode="External"/><Relationship Id="rId14" Type="http://schemas.openxmlformats.org/officeDocument/2006/relationships/hyperlink" Target="https://carleton.ca/covid19/screeni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Course Schedule:</vt:lpstr>
    </vt:vector>
  </TitlesOfParts>
  <Company>Carleton University</Company>
  <LinksUpToDate>false</LinksUpToDate>
  <CharactersWithSpaces>17437</CharactersWithSpaces>
  <SharedDoc>false</SharedDoc>
  <HLinks>
    <vt:vector size="42" baseType="variant">
      <vt:variant>
        <vt:i4>2490479</vt:i4>
      </vt:variant>
      <vt:variant>
        <vt:i4>18</vt:i4>
      </vt:variant>
      <vt:variant>
        <vt:i4>0</vt:i4>
      </vt:variant>
      <vt:variant>
        <vt:i4>5</vt:i4>
      </vt:variant>
      <vt:variant>
        <vt:lpwstr>http://students.carleton.ca/course-outline</vt:lpwstr>
      </vt:variant>
      <vt:variant>
        <vt:lpwstr/>
      </vt:variant>
      <vt:variant>
        <vt:i4>196677</vt:i4>
      </vt:variant>
      <vt:variant>
        <vt:i4>15</vt:i4>
      </vt:variant>
      <vt:variant>
        <vt:i4>0</vt:i4>
      </vt:variant>
      <vt:variant>
        <vt:i4>5</vt:i4>
      </vt:variant>
      <vt:variant>
        <vt:lpwstr>https://carleton.ca/senate/wp-content/uploads/Accommodation-for-Student-Activities-1.pdf</vt:lpwstr>
      </vt:variant>
      <vt:variant>
        <vt:lpwstr/>
      </vt:variant>
      <vt:variant>
        <vt:i4>3014763</vt:i4>
      </vt:variant>
      <vt:variant>
        <vt:i4>12</vt:i4>
      </vt:variant>
      <vt:variant>
        <vt:i4>0</vt:i4>
      </vt:variant>
      <vt:variant>
        <vt:i4>5</vt:i4>
      </vt:variant>
      <vt:variant>
        <vt:lpwstr>http://carleton.ca/sexual-violence-support</vt:lpwstr>
      </vt:variant>
      <vt:variant>
        <vt:lpwstr/>
      </vt:variant>
      <vt:variant>
        <vt:i4>7077951</vt:i4>
      </vt:variant>
      <vt:variant>
        <vt:i4>9</vt:i4>
      </vt:variant>
      <vt:variant>
        <vt:i4>0</vt:i4>
      </vt:variant>
      <vt:variant>
        <vt:i4>5</vt:i4>
      </vt:variant>
      <vt:variant>
        <vt:lpwstr>http://carleton.ca/pmc</vt:lpwstr>
      </vt:variant>
      <vt:variant>
        <vt:lpwstr/>
      </vt:variant>
      <vt:variant>
        <vt:i4>2424851</vt:i4>
      </vt:variant>
      <vt:variant>
        <vt:i4>6</vt:i4>
      </vt:variant>
      <vt:variant>
        <vt:i4>0</vt:i4>
      </vt:variant>
      <vt:variant>
        <vt:i4>5</vt:i4>
      </vt:variant>
      <vt:variant>
        <vt:lpwstr>mailto:pmc@carleton.ca</vt:lpwstr>
      </vt:variant>
      <vt:variant>
        <vt:lpwstr/>
      </vt:variant>
      <vt:variant>
        <vt:i4>983058</vt:i4>
      </vt:variant>
      <vt:variant>
        <vt:i4>3</vt:i4>
      </vt:variant>
      <vt:variant>
        <vt:i4>0</vt:i4>
      </vt:variant>
      <vt:variant>
        <vt:i4>5</vt:i4>
      </vt:variant>
      <vt:variant>
        <vt:lpwstr>http://carleton.ca/equity/wp-content/uploads/Student-Guide-to-Academic-Accommodation.pdf</vt:lpwstr>
      </vt:variant>
      <vt:variant>
        <vt:lpwstr/>
      </vt:variant>
      <vt:variant>
        <vt:i4>983058</vt:i4>
      </vt:variant>
      <vt:variant>
        <vt:i4>0</vt:i4>
      </vt:variant>
      <vt:variant>
        <vt:i4>0</vt:i4>
      </vt:variant>
      <vt:variant>
        <vt:i4>5</vt:i4>
      </vt:variant>
      <vt:variant>
        <vt:lpwstr>http://carleton.ca/equity/wp-content/uploads/Student-Guide-to-Academic-Accommodation.pdf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Schedule:</dc:title>
  <dc:subject/>
  <dc:creator>Marc Hanvelt</dc:creator>
  <cp:keywords/>
  <dc:description/>
  <cp:lastModifiedBy>Shannon Sullivan</cp:lastModifiedBy>
  <cp:revision>2</cp:revision>
  <cp:lastPrinted>2015-09-01T14:12:00Z</cp:lastPrinted>
  <dcterms:created xsi:type="dcterms:W3CDTF">2021-09-09T15:31:00Z</dcterms:created>
  <dcterms:modified xsi:type="dcterms:W3CDTF">2021-09-09T15:31:00Z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