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E0DF" w14:textId="77777777" w:rsidR="00367BD0" w:rsidRPr="00367BD0" w:rsidRDefault="00367BD0" w:rsidP="00367BD0">
      <w:pPr>
        <w:shd w:val="clear" w:color="auto" w:fill="FFFFFF"/>
        <w:spacing w:line="240" w:lineRule="auto"/>
        <w:outlineLvl w:val="1"/>
        <w:rPr>
          <w:rFonts w:ascii="Arial" w:eastAsia="Times New Roman" w:hAnsi="Arial" w:cs="Arial"/>
          <w:b/>
          <w:bCs/>
          <w:color w:val="313131"/>
          <w:sz w:val="36"/>
          <w:szCs w:val="36"/>
          <w:lang w:eastAsia="en-CA"/>
        </w:rPr>
      </w:pPr>
      <w:r w:rsidRPr="00367BD0">
        <w:rPr>
          <w:rFonts w:ascii="Arial" w:eastAsia="Times New Roman" w:hAnsi="Arial" w:cs="Arial"/>
          <w:b/>
          <w:bCs/>
          <w:color w:val="313131"/>
          <w:sz w:val="36"/>
          <w:szCs w:val="36"/>
          <w:lang w:eastAsia="en-CA"/>
        </w:rPr>
        <w:t>CHEM 3503: Inorganic Chemistry I</w:t>
      </w:r>
    </w:p>
    <w:p w14:paraId="51C15235" w14:textId="7BB8489C"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Pr>
          <w:rFonts w:ascii="Arial" w:eastAsia="Times New Roman" w:hAnsi="Arial" w:cs="Arial"/>
          <w:color w:val="313131"/>
          <w:sz w:val="27"/>
          <w:szCs w:val="27"/>
          <w:u w:val="single"/>
          <w:lang w:eastAsia="en-CA"/>
        </w:rPr>
        <w:t>Link</w:t>
      </w:r>
    </w:p>
    <w:p w14:paraId="1E20DD6E" w14:textId="77777777" w:rsidR="00367BD0" w:rsidRPr="00367BD0" w:rsidRDefault="00367BD0" w:rsidP="00367BD0">
      <w:pPr>
        <w:shd w:val="clear" w:color="auto" w:fill="FFFFFF"/>
        <w:spacing w:before="225" w:line="240" w:lineRule="auto"/>
        <w:outlineLvl w:val="2"/>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(https://carleton.ca/barrylab/chem-3503/)</w:t>
      </w:r>
    </w:p>
    <w:p w14:paraId="216F5BBF"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Course Description</w:t>
      </w:r>
    </w:p>
    <w:p w14:paraId="481F617D"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Symmetry, identification of Raman and infrared active vibrations, symmetry-adapted molecular orbital theory of polyatomic molecules, electron-deficient bonding, bonding in coordination complexes, solid-state bonding, ionic lattices. Laboratory will introduce the student to a range of synthetic techniques and physical methods of characterization.</w:t>
      </w:r>
    </w:p>
    <w:p w14:paraId="76EBD91A"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Prerequisite</w:t>
      </w:r>
    </w:p>
    <w:p w14:paraId="50F4B720"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CHEM 2501</w:t>
      </w:r>
    </w:p>
    <w:p w14:paraId="57222A0E"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Preclusion</w:t>
      </w:r>
    </w:p>
    <w:p w14:paraId="54B43659"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CHEM 3507 (3503)</w:t>
      </w:r>
    </w:p>
    <w:p w14:paraId="2095D751" w14:textId="77777777" w:rsidR="00367BD0" w:rsidRPr="00367BD0" w:rsidRDefault="00367BD0" w:rsidP="00367BD0">
      <w:pPr>
        <w:shd w:val="clear" w:color="auto" w:fill="FFFFFF"/>
        <w:spacing w:before="225" w:line="240" w:lineRule="auto"/>
        <w:outlineLvl w:val="2"/>
        <w:rPr>
          <w:rFonts w:ascii="Arial" w:eastAsia="Times New Roman" w:hAnsi="Arial" w:cs="Arial"/>
          <w:sz w:val="27"/>
          <w:szCs w:val="27"/>
          <w:u w:val="single"/>
          <w:lang w:eastAsia="en-CA"/>
        </w:rPr>
      </w:pPr>
      <w:r w:rsidRPr="00367BD0">
        <w:rPr>
          <w:rFonts w:ascii="Arial" w:eastAsia="Times New Roman" w:hAnsi="Arial" w:cs="Arial"/>
          <w:sz w:val="27"/>
          <w:szCs w:val="27"/>
          <w:u w:val="single"/>
          <w:lang w:eastAsia="en-CA"/>
        </w:rPr>
        <w:t>Lectures</w:t>
      </w:r>
    </w:p>
    <w:p w14:paraId="6F25ACED" w14:textId="61936860" w:rsidR="00272332" w:rsidRPr="00272332" w:rsidRDefault="00272332" w:rsidP="00272332">
      <w:pPr>
        <w:shd w:val="clear" w:color="auto" w:fill="FFFFFF"/>
        <w:spacing w:before="225" w:line="240" w:lineRule="auto"/>
        <w:outlineLvl w:val="2"/>
        <w:rPr>
          <w:rFonts w:ascii="Arial" w:eastAsia="Times New Roman" w:hAnsi="Arial" w:cs="Arial"/>
          <w:color w:val="191919"/>
          <w:sz w:val="24"/>
          <w:szCs w:val="24"/>
          <w:lang w:eastAsia="en-CA"/>
        </w:rPr>
      </w:pPr>
      <w:r w:rsidRPr="00272332">
        <w:rPr>
          <w:rFonts w:ascii="Arial" w:eastAsia="Times New Roman" w:hAnsi="Arial" w:cs="Arial"/>
          <w:color w:val="191919"/>
          <w:sz w:val="24"/>
          <w:szCs w:val="24"/>
          <w:lang w:eastAsia="en-CA"/>
        </w:rPr>
        <w:t>Tuesday and Thursday</w:t>
      </w:r>
      <w:r>
        <w:rPr>
          <w:rFonts w:ascii="Arial" w:eastAsia="Times New Roman" w:hAnsi="Arial" w:cs="Arial"/>
          <w:color w:val="191919"/>
          <w:sz w:val="24"/>
          <w:szCs w:val="24"/>
          <w:lang w:eastAsia="en-CA"/>
        </w:rPr>
        <w:br/>
      </w:r>
      <w:r w:rsidRPr="00272332">
        <w:rPr>
          <w:rFonts w:ascii="Arial" w:eastAsia="Times New Roman" w:hAnsi="Arial" w:cs="Arial"/>
          <w:color w:val="191919"/>
          <w:sz w:val="24"/>
          <w:szCs w:val="24"/>
          <w:lang w:eastAsia="en-CA"/>
        </w:rPr>
        <w:t>4:05 pm – 5:25 pm</w:t>
      </w:r>
      <w:r>
        <w:rPr>
          <w:rFonts w:ascii="Arial" w:eastAsia="Times New Roman" w:hAnsi="Arial" w:cs="Arial"/>
          <w:color w:val="191919"/>
          <w:sz w:val="24"/>
          <w:szCs w:val="24"/>
          <w:lang w:eastAsia="en-CA"/>
        </w:rPr>
        <w:br/>
      </w:r>
      <w:r w:rsidRPr="00272332">
        <w:rPr>
          <w:rFonts w:ascii="Arial" w:eastAsia="Times New Roman" w:hAnsi="Arial" w:cs="Arial"/>
          <w:color w:val="191919"/>
          <w:sz w:val="24"/>
          <w:szCs w:val="24"/>
          <w:lang w:eastAsia="en-CA"/>
        </w:rPr>
        <w:t>online delivery</w:t>
      </w:r>
    </w:p>
    <w:p w14:paraId="0D257FC1" w14:textId="77777777" w:rsidR="00272332" w:rsidRDefault="00272332" w:rsidP="00272332">
      <w:pPr>
        <w:shd w:val="clear" w:color="auto" w:fill="FFFFFF"/>
        <w:spacing w:before="225" w:line="240" w:lineRule="auto"/>
        <w:outlineLvl w:val="2"/>
        <w:rPr>
          <w:rFonts w:ascii="Arial" w:eastAsia="Times New Roman" w:hAnsi="Arial" w:cs="Arial"/>
          <w:color w:val="191919"/>
          <w:sz w:val="24"/>
          <w:szCs w:val="24"/>
          <w:lang w:eastAsia="en-CA"/>
        </w:rPr>
      </w:pPr>
      <w:r w:rsidRPr="00272332">
        <w:rPr>
          <w:rFonts w:ascii="Arial" w:eastAsia="Times New Roman" w:hAnsi="Arial" w:cs="Arial"/>
          <w:color w:val="191919"/>
          <w:sz w:val="24"/>
          <w:szCs w:val="24"/>
          <w:lang w:eastAsia="en-CA"/>
        </w:rPr>
        <w:t>The lectures will be offered synchronously (i.e., I will give them live, and you can attend and ask questions!) and they will also be available asynchronously (i.e., recorded so that anybody who cannot attend the live lecture can still watch them). I will be using Brightspace, and I will incorporate some self-testing and review questions to help break up the lecture time.</w:t>
      </w:r>
    </w:p>
    <w:p w14:paraId="12CEDB33" w14:textId="1750ADBA" w:rsidR="00367BD0" w:rsidRPr="00367BD0" w:rsidRDefault="00367BD0" w:rsidP="00272332">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Tutorial</w:t>
      </w:r>
    </w:p>
    <w:p w14:paraId="46B3F94A" w14:textId="5685E7EC" w:rsidR="00272332" w:rsidRPr="00272332" w:rsidRDefault="00272332" w:rsidP="00272332">
      <w:pPr>
        <w:shd w:val="clear" w:color="auto" w:fill="FFFFFF"/>
        <w:spacing w:before="225" w:line="240" w:lineRule="auto"/>
        <w:outlineLvl w:val="2"/>
        <w:rPr>
          <w:rFonts w:ascii="Arial" w:eastAsia="Times New Roman" w:hAnsi="Arial" w:cs="Arial"/>
          <w:color w:val="191919"/>
          <w:sz w:val="24"/>
          <w:szCs w:val="24"/>
          <w:lang w:eastAsia="en-CA"/>
        </w:rPr>
      </w:pPr>
      <w:r w:rsidRPr="00272332">
        <w:rPr>
          <w:rFonts w:ascii="Arial" w:eastAsia="Times New Roman" w:hAnsi="Arial" w:cs="Arial"/>
          <w:color w:val="191919"/>
          <w:sz w:val="24"/>
          <w:szCs w:val="24"/>
          <w:lang w:eastAsia="en-CA"/>
        </w:rPr>
        <w:t>Thursday</w:t>
      </w:r>
      <w:r>
        <w:rPr>
          <w:rFonts w:ascii="Arial" w:eastAsia="Times New Roman" w:hAnsi="Arial" w:cs="Arial"/>
          <w:color w:val="191919"/>
          <w:sz w:val="24"/>
          <w:szCs w:val="24"/>
          <w:lang w:eastAsia="en-CA"/>
        </w:rPr>
        <w:br/>
      </w:r>
      <w:r w:rsidRPr="00272332">
        <w:rPr>
          <w:rFonts w:ascii="Arial" w:eastAsia="Times New Roman" w:hAnsi="Arial" w:cs="Arial"/>
          <w:color w:val="191919"/>
          <w:sz w:val="24"/>
          <w:szCs w:val="24"/>
          <w:lang w:eastAsia="en-CA"/>
        </w:rPr>
        <w:t>1:35 pm – 2:25 pm</w:t>
      </w:r>
      <w:r>
        <w:rPr>
          <w:rFonts w:ascii="Arial" w:eastAsia="Times New Roman" w:hAnsi="Arial" w:cs="Arial"/>
          <w:color w:val="191919"/>
          <w:sz w:val="24"/>
          <w:szCs w:val="24"/>
          <w:lang w:eastAsia="en-CA"/>
        </w:rPr>
        <w:br/>
      </w:r>
      <w:r w:rsidRPr="00272332">
        <w:rPr>
          <w:rFonts w:ascii="Arial" w:eastAsia="Times New Roman" w:hAnsi="Arial" w:cs="Arial"/>
          <w:color w:val="191919"/>
          <w:sz w:val="24"/>
          <w:szCs w:val="24"/>
          <w:lang w:eastAsia="en-CA"/>
        </w:rPr>
        <w:t>online delivery</w:t>
      </w:r>
    </w:p>
    <w:p w14:paraId="53EC45F1" w14:textId="77777777" w:rsidR="00272332" w:rsidRDefault="00272332" w:rsidP="00272332">
      <w:pPr>
        <w:shd w:val="clear" w:color="auto" w:fill="FFFFFF"/>
        <w:spacing w:before="225" w:line="240" w:lineRule="auto"/>
        <w:outlineLvl w:val="2"/>
        <w:rPr>
          <w:rFonts w:ascii="Arial" w:eastAsia="Times New Roman" w:hAnsi="Arial" w:cs="Arial"/>
          <w:color w:val="191919"/>
          <w:sz w:val="24"/>
          <w:szCs w:val="24"/>
          <w:lang w:eastAsia="en-CA"/>
        </w:rPr>
      </w:pPr>
      <w:r w:rsidRPr="00272332">
        <w:rPr>
          <w:rFonts w:ascii="Arial" w:eastAsia="Times New Roman" w:hAnsi="Arial" w:cs="Arial"/>
          <w:color w:val="191919"/>
          <w:sz w:val="24"/>
          <w:szCs w:val="24"/>
          <w:lang w:eastAsia="en-CA"/>
        </w:rPr>
        <w:t>The tutorial will be offered synchronously as well as recorded, like the lectures. I will take up the previous week’s assignment in the tutorial, as well as answer any questions that you have. Please email your questions in advance so I can offer a considered (and coherent) answer.</w:t>
      </w:r>
    </w:p>
    <w:p w14:paraId="66B77D62" w14:textId="29D7B94B" w:rsidR="00367BD0" w:rsidRPr="00367BD0" w:rsidRDefault="00367BD0" w:rsidP="00272332">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Laboratory</w:t>
      </w:r>
    </w:p>
    <w:p w14:paraId="20B0E5E5" w14:textId="075AFFDA" w:rsidR="00367BD0" w:rsidRDefault="00272332" w:rsidP="00367BD0">
      <w:pPr>
        <w:spacing w:line="240" w:lineRule="auto"/>
        <w:rPr>
          <w:rFonts w:ascii="Arial" w:eastAsia="Times New Roman" w:hAnsi="Arial" w:cs="Arial"/>
          <w:color w:val="313131"/>
          <w:sz w:val="27"/>
          <w:szCs w:val="27"/>
          <w:u w:val="single"/>
          <w:lang w:eastAsia="en-CA"/>
        </w:rPr>
      </w:pPr>
      <w:r w:rsidRPr="00272332">
        <w:rPr>
          <w:rFonts w:ascii="Arial" w:eastAsia="Times New Roman" w:hAnsi="Arial" w:cs="Arial"/>
          <w:color w:val="191919"/>
          <w:sz w:val="24"/>
          <w:szCs w:val="24"/>
          <w:lang w:eastAsia="en-CA"/>
        </w:rPr>
        <w:t>The lab is run by Daniel Sun, and he has an extensive website about it on Brightspace.</w:t>
      </w:r>
      <w:r w:rsidR="00367BD0">
        <w:rPr>
          <w:rFonts w:ascii="Arial" w:eastAsia="Times New Roman" w:hAnsi="Arial" w:cs="Arial"/>
          <w:color w:val="313131"/>
          <w:sz w:val="27"/>
          <w:szCs w:val="27"/>
          <w:u w:val="single"/>
          <w:lang w:eastAsia="en-CA"/>
        </w:rPr>
        <w:br w:type="page"/>
      </w:r>
    </w:p>
    <w:p w14:paraId="6FC8116E" w14:textId="055B7555"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lastRenderedPageBreak/>
        <w:t>Exams</w:t>
      </w:r>
    </w:p>
    <w:p w14:paraId="69519228"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In-Term: tba</w:t>
      </w:r>
      <w:r w:rsidRPr="00367BD0">
        <w:rPr>
          <w:rFonts w:ascii="Arial" w:eastAsia="Times New Roman" w:hAnsi="Arial" w:cs="Arial"/>
          <w:color w:val="191919"/>
          <w:sz w:val="24"/>
          <w:szCs w:val="24"/>
          <w:lang w:eastAsia="en-CA"/>
        </w:rPr>
        <w:br/>
        <w:t>Final: tba</w:t>
      </w:r>
    </w:p>
    <w:p w14:paraId="796109A1"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Grading Scheme</w:t>
      </w:r>
    </w:p>
    <w:p w14:paraId="1ABB646B"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The laboratory is worth 30% of your final mark. The other 70% is split up as follows:</w:t>
      </w:r>
    </w:p>
    <w:p w14:paraId="22082B53"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Assignments 14%</w:t>
      </w:r>
      <w:r w:rsidRPr="00367BD0">
        <w:rPr>
          <w:rFonts w:ascii="Arial" w:eastAsia="Times New Roman" w:hAnsi="Arial" w:cs="Arial"/>
          <w:color w:val="191919"/>
          <w:sz w:val="24"/>
          <w:szCs w:val="24"/>
          <w:lang w:eastAsia="en-CA"/>
        </w:rPr>
        <w:br/>
        <w:t>In-term exam 21%</w:t>
      </w:r>
      <w:r w:rsidRPr="00367BD0">
        <w:rPr>
          <w:rFonts w:ascii="Arial" w:eastAsia="Times New Roman" w:hAnsi="Arial" w:cs="Arial"/>
          <w:color w:val="191919"/>
          <w:sz w:val="24"/>
          <w:szCs w:val="24"/>
          <w:lang w:eastAsia="en-CA"/>
        </w:rPr>
        <w:br/>
        <w:t>Final exam 35%</w:t>
      </w:r>
    </w:p>
    <w:p w14:paraId="2E72C973"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Text</w:t>
      </w:r>
    </w:p>
    <w:p w14:paraId="04A70065"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 xml:space="preserve">Gary L. </w:t>
      </w:r>
      <w:proofErr w:type="spellStart"/>
      <w:r w:rsidRPr="00367BD0">
        <w:rPr>
          <w:rFonts w:ascii="Arial" w:eastAsia="Times New Roman" w:hAnsi="Arial" w:cs="Arial"/>
          <w:color w:val="191919"/>
          <w:sz w:val="24"/>
          <w:szCs w:val="24"/>
          <w:lang w:eastAsia="en-CA"/>
        </w:rPr>
        <w:t>Miessler</w:t>
      </w:r>
      <w:proofErr w:type="spellEnd"/>
      <w:r w:rsidRPr="00367BD0">
        <w:rPr>
          <w:rFonts w:ascii="Arial" w:eastAsia="Times New Roman" w:hAnsi="Arial" w:cs="Arial"/>
          <w:color w:val="191919"/>
          <w:sz w:val="24"/>
          <w:szCs w:val="24"/>
          <w:lang w:eastAsia="en-CA"/>
        </w:rPr>
        <w:t>, Paul J. Fischer, Donald A. Tarr, </w:t>
      </w:r>
      <w:r w:rsidRPr="00367BD0">
        <w:rPr>
          <w:rFonts w:ascii="Arial" w:eastAsia="Times New Roman" w:hAnsi="Arial" w:cs="Arial"/>
          <w:i/>
          <w:iCs/>
          <w:color w:val="191919"/>
          <w:sz w:val="24"/>
          <w:szCs w:val="24"/>
          <w:lang w:eastAsia="en-CA"/>
        </w:rPr>
        <w:t>Inorganic Chemistry, 5th edition, </w:t>
      </w:r>
      <w:r w:rsidRPr="00367BD0">
        <w:rPr>
          <w:rFonts w:ascii="Arial" w:eastAsia="Times New Roman" w:hAnsi="Arial" w:cs="Arial"/>
          <w:color w:val="191919"/>
          <w:sz w:val="24"/>
          <w:szCs w:val="24"/>
          <w:lang w:eastAsia="en-CA"/>
        </w:rPr>
        <w:t>Pearson, ISBN: 978-0321812001</w:t>
      </w:r>
    </w:p>
    <w:p w14:paraId="15C6DE56"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Topics</w:t>
      </w:r>
    </w:p>
    <w:p w14:paraId="094C5333" w14:textId="77777777" w:rsidR="00367BD0" w:rsidRPr="00367BD0" w:rsidRDefault="00367BD0" w:rsidP="00367BD0">
      <w:pPr>
        <w:numPr>
          <w:ilvl w:val="0"/>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Inorganic Chemistry</w:t>
      </w:r>
    </w:p>
    <w:p w14:paraId="502089B8"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Coordination and nomenclature</w:t>
      </w:r>
    </w:p>
    <w:p w14:paraId="0B50288C"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Isomers of complex geometries</w:t>
      </w:r>
    </w:p>
    <w:p w14:paraId="1D302807"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Electron counting and the 18 and 16 electron rules</w:t>
      </w:r>
    </w:p>
    <w:p w14:paraId="5B7C4B9D"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Thermodynamics of complex formation: formation constants, enthalpy, and entropy</w:t>
      </w:r>
    </w:p>
    <w:p w14:paraId="4A6DB348"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Steric effects and ligand basicity (</w:t>
      </w:r>
      <w:proofErr w:type="spellStart"/>
      <w:r w:rsidRPr="00367BD0">
        <w:rPr>
          <w:rFonts w:ascii="Arial" w:eastAsia="Times New Roman" w:hAnsi="Arial" w:cs="Arial"/>
          <w:color w:val="191919"/>
          <w:sz w:val="24"/>
          <w:szCs w:val="24"/>
          <w:lang w:eastAsia="en-CA"/>
        </w:rPr>
        <w:t>pKa</w:t>
      </w:r>
      <w:proofErr w:type="spellEnd"/>
      <w:r w:rsidRPr="00367BD0">
        <w:rPr>
          <w:rFonts w:ascii="Arial" w:eastAsia="Times New Roman" w:hAnsi="Arial" w:cs="Arial"/>
          <w:color w:val="191919"/>
          <w:sz w:val="24"/>
          <w:szCs w:val="24"/>
          <w:lang w:eastAsia="en-CA"/>
        </w:rPr>
        <w:t>)</w:t>
      </w:r>
    </w:p>
    <w:p w14:paraId="6D83A48D"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Hard-Soft Acid-Base Theory</w:t>
      </w:r>
    </w:p>
    <w:p w14:paraId="6E4C956E" w14:textId="49160DE2" w:rsid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The chelate effect</w:t>
      </w:r>
    </w:p>
    <w:p w14:paraId="6E1F8013" w14:textId="77777777" w:rsidR="00272332" w:rsidRPr="00367BD0" w:rsidRDefault="00272332" w:rsidP="00272332">
      <w:pPr>
        <w:shd w:val="clear" w:color="auto" w:fill="FFFFFF"/>
        <w:spacing w:before="100" w:beforeAutospacing="1" w:line="240" w:lineRule="auto"/>
        <w:rPr>
          <w:rFonts w:ascii="Arial" w:eastAsia="Times New Roman" w:hAnsi="Arial" w:cs="Arial"/>
          <w:color w:val="191919"/>
          <w:sz w:val="24"/>
          <w:szCs w:val="24"/>
          <w:lang w:eastAsia="en-CA"/>
        </w:rPr>
      </w:pPr>
    </w:p>
    <w:p w14:paraId="0B0D7F7F" w14:textId="77777777" w:rsidR="00367BD0" w:rsidRPr="00367BD0" w:rsidRDefault="00367BD0" w:rsidP="00367BD0">
      <w:pPr>
        <w:numPr>
          <w:ilvl w:val="0"/>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Coordination Chemistry</w:t>
      </w:r>
    </w:p>
    <w:p w14:paraId="1FE0D938"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Crystal field theory and crystal field stabilization energy</w:t>
      </w:r>
    </w:p>
    <w:p w14:paraId="0FFA0806" w14:textId="49814519" w:rsid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Strong field and weak field ligands; low spin and high spin electron configurations</w:t>
      </w:r>
    </w:p>
    <w:p w14:paraId="7F44B502" w14:textId="77777777" w:rsidR="00272332" w:rsidRPr="00367BD0" w:rsidRDefault="00272332" w:rsidP="00272332">
      <w:pPr>
        <w:shd w:val="clear" w:color="auto" w:fill="FFFFFF"/>
        <w:spacing w:before="100" w:beforeAutospacing="1" w:line="240" w:lineRule="auto"/>
        <w:rPr>
          <w:rFonts w:ascii="Arial" w:eastAsia="Times New Roman" w:hAnsi="Arial" w:cs="Arial"/>
          <w:color w:val="191919"/>
          <w:sz w:val="24"/>
          <w:szCs w:val="24"/>
          <w:lang w:eastAsia="en-CA"/>
        </w:rPr>
      </w:pPr>
    </w:p>
    <w:p w14:paraId="06127705" w14:textId="77777777" w:rsidR="00367BD0" w:rsidRPr="00367BD0" w:rsidRDefault="00367BD0" w:rsidP="00367BD0">
      <w:pPr>
        <w:numPr>
          <w:ilvl w:val="0"/>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Symmetry and Group Theory</w:t>
      </w:r>
    </w:p>
    <w:p w14:paraId="0D6CAE12"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Symmetry elements</w:t>
      </w:r>
    </w:p>
    <w:p w14:paraId="1D5EA54F"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symmetry point groups of molecules</w:t>
      </w:r>
    </w:p>
    <w:p w14:paraId="52F88716"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Character tables, symmetry labels</w:t>
      </w:r>
    </w:p>
    <w:p w14:paraId="23634A75" w14:textId="09E10145" w:rsid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lastRenderedPageBreak/>
        <w:t xml:space="preserve">Chemical applications: chirality, </w:t>
      </w:r>
      <w:proofErr w:type="gramStart"/>
      <w:r w:rsidRPr="00367BD0">
        <w:rPr>
          <w:rFonts w:ascii="Arial" w:eastAsia="Times New Roman" w:hAnsi="Arial" w:cs="Arial"/>
          <w:color w:val="191919"/>
          <w:sz w:val="24"/>
          <w:szCs w:val="24"/>
          <w:lang w:eastAsia="en-CA"/>
        </w:rPr>
        <w:t>IR</w:t>
      </w:r>
      <w:proofErr w:type="gramEnd"/>
      <w:r w:rsidRPr="00367BD0">
        <w:rPr>
          <w:rFonts w:ascii="Arial" w:eastAsia="Times New Roman" w:hAnsi="Arial" w:cs="Arial"/>
          <w:color w:val="191919"/>
          <w:sz w:val="24"/>
          <w:szCs w:val="24"/>
          <w:lang w:eastAsia="en-CA"/>
        </w:rPr>
        <w:t xml:space="preserve"> and Raman spectroscopy</w:t>
      </w:r>
    </w:p>
    <w:p w14:paraId="17FA6B24" w14:textId="77777777" w:rsidR="00272332" w:rsidRPr="00367BD0" w:rsidRDefault="00272332" w:rsidP="00272332">
      <w:pPr>
        <w:shd w:val="clear" w:color="auto" w:fill="FFFFFF"/>
        <w:spacing w:before="100" w:beforeAutospacing="1" w:line="240" w:lineRule="auto"/>
        <w:rPr>
          <w:rFonts w:ascii="Arial" w:eastAsia="Times New Roman" w:hAnsi="Arial" w:cs="Arial"/>
          <w:color w:val="191919"/>
          <w:sz w:val="24"/>
          <w:szCs w:val="24"/>
          <w:lang w:eastAsia="en-CA"/>
        </w:rPr>
      </w:pPr>
    </w:p>
    <w:p w14:paraId="332C40D3" w14:textId="77777777" w:rsidR="00367BD0" w:rsidRPr="00367BD0" w:rsidRDefault="00367BD0" w:rsidP="00367BD0">
      <w:pPr>
        <w:numPr>
          <w:ilvl w:val="0"/>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Molecular Orbitals</w:t>
      </w:r>
    </w:p>
    <w:p w14:paraId="43BF9BB8"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Fragment molecular orbital theory</w:t>
      </w:r>
    </w:p>
    <w:p w14:paraId="28C5BD1C"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Molecular Orbital (MO) theory and non-directed symmetry adapted LCAOs</w:t>
      </w:r>
    </w:p>
    <w:p w14:paraId="44F497CA"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application to organic and main group compounds</w:t>
      </w:r>
    </w:p>
    <w:p w14:paraId="766FF832"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Symmetry labelled molecular orbital schemes</w:t>
      </w:r>
    </w:p>
    <w:p w14:paraId="409191DF"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Molecular orbital theory of transition metal complexes, symmetry labelled MO schemes, effect of a ligand’s pi-acceptor or pi-donor properties on d-orbital splitting</w:t>
      </w:r>
    </w:p>
    <w:p w14:paraId="2B95EDA8" w14:textId="7CED0AF5" w:rsid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proofErr w:type="spellStart"/>
      <w:r w:rsidRPr="00367BD0">
        <w:rPr>
          <w:rFonts w:ascii="Arial" w:eastAsia="Times New Roman" w:hAnsi="Arial" w:cs="Arial"/>
          <w:color w:val="191919"/>
          <w:sz w:val="24"/>
          <w:szCs w:val="24"/>
          <w:lang w:eastAsia="en-CA"/>
        </w:rPr>
        <w:t>Paramagnetism</w:t>
      </w:r>
      <w:proofErr w:type="spellEnd"/>
      <w:r w:rsidRPr="00367BD0">
        <w:rPr>
          <w:rFonts w:ascii="Arial" w:eastAsia="Times New Roman" w:hAnsi="Arial" w:cs="Arial"/>
          <w:color w:val="191919"/>
          <w:sz w:val="24"/>
          <w:szCs w:val="24"/>
          <w:lang w:eastAsia="en-CA"/>
        </w:rPr>
        <w:t xml:space="preserve"> and magnetic moment, and the determination of the number of unpaired electrons</w:t>
      </w:r>
    </w:p>
    <w:p w14:paraId="2CCA52C4" w14:textId="77777777" w:rsidR="00272332" w:rsidRPr="00367BD0" w:rsidRDefault="00272332" w:rsidP="00272332">
      <w:pPr>
        <w:shd w:val="clear" w:color="auto" w:fill="FFFFFF"/>
        <w:spacing w:before="100" w:beforeAutospacing="1" w:line="240" w:lineRule="auto"/>
        <w:rPr>
          <w:rFonts w:ascii="Arial" w:eastAsia="Times New Roman" w:hAnsi="Arial" w:cs="Arial"/>
          <w:color w:val="191919"/>
          <w:sz w:val="24"/>
          <w:szCs w:val="24"/>
          <w:lang w:eastAsia="en-CA"/>
        </w:rPr>
      </w:pPr>
    </w:p>
    <w:p w14:paraId="31CB111C" w14:textId="77777777" w:rsidR="00367BD0" w:rsidRPr="00367BD0" w:rsidRDefault="00367BD0" w:rsidP="00367BD0">
      <w:pPr>
        <w:numPr>
          <w:ilvl w:val="0"/>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Electronic Spectra</w:t>
      </w:r>
    </w:p>
    <w:p w14:paraId="565C3929"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Russell-Saunders coupling terms, ligand field terms, correlation diagrams</w:t>
      </w:r>
    </w:p>
    <w:p w14:paraId="2B09B981"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Assignment of d-d transitions using Tanabe-Sugano diagrams</w:t>
      </w:r>
    </w:p>
    <w:p w14:paraId="2F1E5B03"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Determination of d-orbital splitting energies</w:t>
      </w:r>
    </w:p>
    <w:p w14:paraId="3A965111" w14:textId="77777777" w:rsidR="00367BD0" w:rsidRPr="00367BD0" w:rsidRDefault="00367BD0" w:rsidP="00367BD0">
      <w:pPr>
        <w:numPr>
          <w:ilvl w:val="1"/>
          <w:numId w:val="1"/>
        </w:numPr>
        <w:shd w:val="clear" w:color="auto" w:fill="FFFFFF"/>
        <w:spacing w:before="100" w:beforeAutospacing="1" w:line="240" w:lineRule="auto"/>
        <w:ind w:left="0"/>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Repulsion terms and the nephelauxetic effect</w:t>
      </w:r>
    </w:p>
    <w:p w14:paraId="33B0BDE3"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Survivors of Sexual Violence</w:t>
      </w:r>
    </w:p>
    <w:p w14:paraId="1E717699"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 xml:space="preserve">As a community, Carleton University is committed to maintaining a positive learning, </w:t>
      </w:r>
      <w:proofErr w:type="gramStart"/>
      <w:r w:rsidRPr="00367BD0">
        <w:rPr>
          <w:rFonts w:ascii="Arial" w:eastAsia="Times New Roman" w:hAnsi="Arial" w:cs="Arial"/>
          <w:color w:val="191919"/>
          <w:sz w:val="24"/>
          <w:szCs w:val="24"/>
          <w:lang w:eastAsia="en-CA"/>
        </w:rPr>
        <w:t>working</w:t>
      </w:r>
      <w:proofErr w:type="gramEnd"/>
      <w:r w:rsidRPr="00367BD0">
        <w:rPr>
          <w:rFonts w:ascii="Arial" w:eastAsia="Times New Roman" w:hAnsi="Arial" w:cs="Arial"/>
          <w:color w:val="191919"/>
          <w:sz w:val="24"/>
          <w:szCs w:val="24"/>
          <w:lang w:eastAsia="en-CA"/>
        </w:rPr>
        <w:t xml:space="preserve">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5" w:tgtFrame="_blank" w:history="1">
        <w:r w:rsidRPr="00367BD0">
          <w:rPr>
            <w:rFonts w:ascii="Arial" w:eastAsia="Times New Roman" w:hAnsi="Arial" w:cs="Arial"/>
            <w:color w:val="CF112D"/>
            <w:sz w:val="24"/>
            <w:szCs w:val="24"/>
            <w:u w:val="single"/>
            <w:lang w:eastAsia="en-CA"/>
          </w:rPr>
          <w:t>carleton.ca/sexual-violence-support</w:t>
        </w:r>
      </w:hyperlink>
    </w:p>
    <w:p w14:paraId="01DF89DA"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Requests for Academic Accommodation</w:t>
      </w:r>
    </w:p>
    <w:p w14:paraId="77B8217F"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You may need special arrangements to meet your academic obligations during the term. Please contact your instructor with any requests for academic accommodation (pregnancy, religion, disability, etc.) during the first two weeks of class, or as soon as possible after the need for accommodation is known to exist.</w:t>
      </w:r>
    </w:p>
    <w:p w14:paraId="6DE9F2E8"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For an accommodation request, the processes can be found here:</w:t>
      </w:r>
      <w:r w:rsidRPr="00367BD0">
        <w:rPr>
          <w:rFonts w:ascii="Arial" w:eastAsia="Times New Roman" w:hAnsi="Arial" w:cs="Arial"/>
          <w:color w:val="191919"/>
          <w:sz w:val="24"/>
          <w:szCs w:val="24"/>
          <w:lang w:eastAsia="en-CA"/>
        </w:rPr>
        <w:br/>
      </w:r>
      <w:hyperlink r:id="rId6" w:tgtFrame="_blank" w:history="1">
        <w:r w:rsidRPr="00367BD0">
          <w:rPr>
            <w:rFonts w:ascii="Arial" w:eastAsia="Times New Roman" w:hAnsi="Arial" w:cs="Arial"/>
            <w:color w:val="CF112D"/>
            <w:sz w:val="24"/>
            <w:szCs w:val="24"/>
            <w:u w:val="single"/>
            <w:lang w:eastAsia="en-CA"/>
          </w:rPr>
          <w:t>carleton.ca/equity/wp-content/uploads/Student-Guide-to-Academic-Accommodation.pdf</w:t>
        </w:r>
      </w:hyperlink>
    </w:p>
    <w:p w14:paraId="4318A318"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lastRenderedPageBreak/>
        <w:t>Academic Accommodations for Students with Disabilities</w:t>
      </w:r>
      <w:r w:rsidRPr="00367BD0">
        <w:rPr>
          <w:rFonts w:ascii="Arial" w:eastAsia="Times New Roman" w:hAnsi="Arial" w:cs="Arial"/>
          <w:b/>
          <w:bCs/>
          <w:color w:val="191919"/>
          <w:sz w:val="24"/>
          <w:szCs w:val="24"/>
          <w:lang w:eastAsia="en-CA"/>
        </w:rPr>
        <w:br/>
      </w:r>
      <w:r w:rsidRPr="00367BD0">
        <w:rPr>
          <w:rFonts w:ascii="Arial" w:eastAsia="Times New Roman" w:hAnsi="Arial" w:cs="Arial"/>
          <w:color w:val="191919"/>
          <w:sz w:val="24"/>
          <w:szCs w:val="24"/>
          <w:lang w:eastAsia="en-CA"/>
        </w:rPr>
        <w:t xml:space="preserve">If you have a documented disability requiring academic accommodations in this course, please contact the Paul </w:t>
      </w:r>
      <w:proofErr w:type="spellStart"/>
      <w:r w:rsidRPr="00367BD0">
        <w:rPr>
          <w:rFonts w:ascii="Arial" w:eastAsia="Times New Roman" w:hAnsi="Arial" w:cs="Arial"/>
          <w:color w:val="191919"/>
          <w:sz w:val="24"/>
          <w:szCs w:val="24"/>
          <w:lang w:eastAsia="en-CA"/>
        </w:rPr>
        <w:t>Menton</w:t>
      </w:r>
      <w:proofErr w:type="spellEnd"/>
      <w:r w:rsidRPr="00367BD0">
        <w:rPr>
          <w:rFonts w:ascii="Arial" w:eastAsia="Times New Roman" w:hAnsi="Arial" w:cs="Arial"/>
          <w:color w:val="191919"/>
          <w:sz w:val="24"/>
          <w:szCs w:val="24"/>
          <w:lang w:eastAsia="en-CA"/>
        </w:rPr>
        <w:t xml:space="preserve"> Centre for Students with Disabilities (PMC) at 613-520-6608 or </w:t>
      </w:r>
      <w:hyperlink r:id="rId7" w:history="1">
        <w:r w:rsidRPr="00367BD0">
          <w:rPr>
            <w:rFonts w:ascii="Arial" w:eastAsia="Times New Roman" w:hAnsi="Arial" w:cs="Arial"/>
            <w:color w:val="CF112D"/>
            <w:sz w:val="24"/>
            <w:szCs w:val="24"/>
            <w:u w:val="single"/>
            <w:lang w:eastAsia="en-CA"/>
          </w:rPr>
          <w:t>pmc@carleton.ca</w:t>
        </w:r>
      </w:hyperlink>
      <w:r w:rsidRPr="00367BD0">
        <w:rPr>
          <w:rFonts w:ascii="Arial" w:eastAsia="Times New Roman" w:hAnsi="Arial" w:cs="Arial"/>
          <w:color w:val="191919"/>
          <w:sz w:val="24"/>
          <w:szCs w:val="24"/>
          <w:lang w:eastAsia="en-CA"/>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an accommodation from PMC, meet with your instructor as soon as possible to ensure accommodation arrangements are made. </w:t>
      </w:r>
      <w:hyperlink r:id="rId8" w:tgtFrame="_blank" w:history="1">
        <w:r w:rsidRPr="00367BD0">
          <w:rPr>
            <w:rFonts w:ascii="Arial" w:eastAsia="Times New Roman" w:hAnsi="Arial" w:cs="Arial"/>
            <w:color w:val="CF112D"/>
            <w:sz w:val="24"/>
            <w:szCs w:val="24"/>
            <w:u w:val="single"/>
            <w:lang w:eastAsia="en-CA"/>
          </w:rPr>
          <w:t>carleton.ca/</w:t>
        </w:r>
        <w:proofErr w:type="spellStart"/>
        <w:r w:rsidRPr="00367BD0">
          <w:rPr>
            <w:rFonts w:ascii="Arial" w:eastAsia="Times New Roman" w:hAnsi="Arial" w:cs="Arial"/>
            <w:color w:val="CF112D"/>
            <w:sz w:val="24"/>
            <w:szCs w:val="24"/>
            <w:u w:val="single"/>
            <w:lang w:eastAsia="en-CA"/>
          </w:rPr>
          <w:t>pmc</w:t>
        </w:r>
        <w:proofErr w:type="spellEnd"/>
      </w:hyperlink>
    </w:p>
    <w:p w14:paraId="2335B074"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b/>
          <w:bCs/>
          <w:color w:val="191919"/>
          <w:sz w:val="24"/>
          <w:szCs w:val="24"/>
          <w:lang w:eastAsia="en-CA"/>
        </w:rPr>
        <w:t>Accommodation for Student Activities</w:t>
      </w:r>
      <w:r w:rsidRPr="00367BD0">
        <w:rPr>
          <w:rFonts w:ascii="Arial" w:eastAsia="Times New Roman" w:hAnsi="Arial" w:cs="Arial"/>
          <w:b/>
          <w:bCs/>
          <w:color w:val="191919"/>
          <w:sz w:val="24"/>
          <w:szCs w:val="24"/>
          <w:lang w:eastAsia="en-CA"/>
        </w:rPr>
        <w:br/>
      </w:r>
      <w:r w:rsidRPr="00367BD0">
        <w:rPr>
          <w:rFonts w:ascii="Arial" w:eastAsia="Times New Roman" w:hAnsi="Arial" w:cs="Arial"/>
          <w:color w:val="191919"/>
          <w:sz w:val="24"/>
          <w:szCs w:val="24"/>
          <w:lang w:eastAsia="en-CA"/>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9" w:tgtFrame="_blank" w:history="1">
        <w:r w:rsidRPr="00367BD0">
          <w:rPr>
            <w:rFonts w:ascii="Arial" w:eastAsia="Times New Roman" w:hAnsi="Arial" w:cs="Arial"/>
            <w:color w:val="CF112D"/>
            <w:sz w:val="24"/>
            <w:szCs w:val="24"/>
            <w:u w:val="single"/>
            <w:lang w:eastAsia="en-CA"/>
          </w:rPr>
          <w:t>https://carleton.ca/senate/wp-content/uploads/Accommodation-for-Student-Activities-1.pdf</w:t>
        </w:r>
      </w:hyperlink>
    </w:p>
    <w:p w14:paraId="5DBF18B9"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For more information on academic accommodation, please contact the departmental administrator or visit: </w:t>
      </w:r>
      <w:hyperlink r:id="rId10" w:tgtFrame="_blank" w:history="1">
        <w:r w:rsidRPr="00367BD0">
          <w:rPr>
            <w:rFonts w:ascii="Arial" w:eastAsia="Times New Roman" w:hAnsi="Arial" w:cs="Arial"/>
            <w:color w:val="CF112D"/>
            <w:sz w:val="24"/>
            <w:szCs w:val="24"/>
            <w:u w:val="single"/>
            <w:lang w:eastAsia="en-CA"/>
          </w:rPr>
          <w:t>students.carleton.ca/course-outline</w:t>
        </w:r>
      </w:hyperlink>
    </w:p>
    <w:p w14:paraId="07244F19" w14:textId="77777777" w:rsidR="00367BD0" w:rsidRPr="00367BD0" w:rsidRDefault="00367BD0" w:rsidP="00367BD0">
      <w:pPr>
        <w:shd w:val="clear" w:color="auto" w:fill="FFFFFF"/>
        <w:spacing w:before="225" w:line="240" w:lineRule="auto"/>
        <w:outlineLvl w:val="2"/>
        <w:rPr>
          <w:rFonts w:ascii="Arial" w:eastAsia="Times New Roman" w:hAnsi="Arial" w:cs="Arial"/>
          <w:color w:val="313131"/>
          <w:sz w:val="27"/>
          <w:szCs w:val="27"/>
          <w:u w:val="single"/>
          <w:lang w:eastAsia="en-CA"/>
        </w:rPr>
      </w:pPr>
      <w:r w:rsidRPr="00367BD0">
        <w:rPr>
          <w:rFonts w:ascii="Arial" w:eastAsia="Times New Roman" w:hAnsi="Arial" w:cs="Arial"/>
          <w:color w:val="313131"/>
          <w:sz w:val="27"/>
          <w:szCs w:val="27"/>
          <w:u w:val="single"/>
          <w:lang w:eastAsia="en-CA"/>
        </w:rPr>
        <w:t>Caveat</w:t>
      </w:r>
    </w:p>
    <w:p w14:paraId="16FB160D" w14:textId="77777777" w:rsidR="00367BD0" w:rsidRPr="00367BD0" w:rsidRDefault="00367BD0" w:rsidP="00367BD0">
      <w:pPr>
        <w:shd w:val="clear" w:color="auto" w:fill="FFFFFF"/>
        <w:spacing w:line="240" w:lineRule="auto"/>
        <w:rPr>
          <w:rFonts w:ascii="Arial" w:eastAsia="Times New Roman" w:hAnsi="Arial" w:cs="Arial"/>
          <w:color w:val="191919"/>
          <w:sz w:val="24"/>
          <w:szCs w:val="24"/>
          <w:lang w:eastAsia="en-CA"/>
        </w:rPr>
      </w:pPr>
      <w:r w:rsidRPr="00367BD0">
        <w:rPr>
          <w:rFonts w:ascii="Arial" w:eastAsia="Times New Roman" w:hAnsi="Arial" w:cs="Arial"/>
          <w:color w:val="191919"/>
          <w:sz w:val="24"/>
          <w:szCs w:val="24"/>
          <w:lang w:eastAsia="en-CA"/>
        </w:rPr>
        <w:t xml:space="preserve">Obviously, I reserve the right to </w:t>
      </w:r>
      <w:proofErr w:type="gramStart"/>
      <w:r w:rsidRPr="00367BD0">
        <w:rPr>
          <w:rFonts w:ascii="Arial" w:eastAsia="Times New Roman" w:hAnsi="Arial" w:cs="Arial"/>
          <w:color w:val="191919"/>
          <w:sz w:val="24"/>
          <w:szCs w:val="24"/>
          <w:lang w:eastAsia="en-CA"/>
        </w:rPr>
        <w:t>make adjustments</w:t>
      </w:r>
      <w:proofErr w:type="gramEnd"/>
      <w:r w:rsidRPr="00367BD0">
        <w:rPr>
          <w:rFonts w:ascii="Arial" w:eastAsia="Times New Roman" w:hAnsi="Arial" w:cs="Arial"/>
          <w:color w:val="191919"/>
          <w:sz w:val="24"/>
          <w:szCs w:val="24"/>
          <w:lang w:eastAsia="en-CA"/>
        </w:rPr>
        <w:t xml:space="preserve"> or changes throughout the semester. Remember that you are responsible to learn about these changes, which will be posted on this website.</w:t>
      </w:r>
    </w:p>
    <w:p w14:paraId="0C73004B" w14:textId="77777777" w:rsidR="004F21AC" w:rsidRPr="00367BD0" w:rsidRDefault="004F21AC" w:rsidP="00367BD0">
      <w:pPr>
        <w:spacing w:line="240" w:lineRule="auto"/>
        <w:rPr>
          <w:rFonts w:ascii="Arial" w:hAnsi="Arial" w:cs="Arial"/>
        </w:rPr>
      </w:pPr>
    </w:p>
    <w:sectPr w:rsidR="004F21AC" w:rsidRPr="00367B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08B8"/>
    <w:multiLevelType w:val="multilevel"/>
    <w:tmpl w:val="65ECA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D0"/>
    <w:rsid w:val="00272332"/>
    <w:rsid w:val="00367BD0"/>
    <w:rsid w:val="004F21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5DA7"/>
  <w15:chartTrackingRefBased/>
  <w15:docId w15:val="{C21B0045-A8FB-4E1E-8A9A-5F765FDE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D0"/>
  </w:style>
  <w:style w:type="paragraph" w:styleId="Heading2">
    <w:name w:val="heading 2"/>
    <w:basedOn w:val="Normal"/>
    <w:link w:val="Heading2Char"/>
    <w:uiPriority w:val="9"/>
    <w:qFormat/>
    <w:rsid w:val="00367BD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367BD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BD0"/>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367BD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367BD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67BD0"/>
    <w:rPr>
      <w:color w:val="0000FF"/>
      <w:u w:val="single"/>
    </w:rPr>
  </w:style>
  <w:style w:type="character" w:styleId="Emphasis">
    <w:name w:val="Emphasis"/>
    <w:basedOn w:val="DefaultParagraphFont"/>
    <w:uiPriority w:val="20"/>
    <w:qFormat/>
    <w:rsid w:val="00367BD0"/>
    <w:rPr>
      <w:i/>
      <w:iCs/>
    </w:rPr>
  </w:style>
  <w:style w:type="character" w:styleId="Strong">
    <w:name w:val="Strong"/>
    <w:basedOn w:val="DefaultParagraphFont"/>
    <w:uiPriority w:val="22"/>
    <w:qFormat/>
    <w:rsid w:val="00367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79134">
      <w:bodyDiv w:val="1"/>
      <w:marLeft w:val="0"/>
      <w:marRight w:val="0"/>
      <w:marTop w:val="0"/>
      <w:marBottom w:val="0"/>
      <w:divBdr>
        <w:top w:val="none" w:sz="0" w:space="0" w:color="auto"/>
        <w:left w:val="none" w:sz="0" w:space="0" w:color="auto"/>
        <w:bottom w:val="none" w:sz="0" w:space="0" w:color="auto"/>
        <w:right w:val="none" w:sz="0" w:space="0" w:color="auto"/>
      </w:divBdr>
    </w:div>
    <w:div w:id="13539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leton.ca/pmc" TargetMode="External"/><Relationship Id="rId3" Type="http://schemas.openxmlformats.org/officeDocument/2006/relationships/settings" Target="settings.xml"/><Relationship Id="rId7" Type="http://schemas.openxmlformats.org/officeDocument/2006/relationships/hyperlink" Target="mailto:pmc@carlet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leton.ca/equity/wp-content/uploads/Student-Guide-to-Academic-Accommodation.pdf" TargetMode="External"/><Relationship Id="rId11" Type="http://schemas.openxmlformats.org/officeDocument/2006/relationships/fontTable" Target="fontTable.xml"/><Relationship Id="rId5" Type="http://schemas.openxmlformats.org/officeDocument/2006/relationships/hyperlink" Target="http://carleton.ca/sexual-violence-support" TargetMode="External"/><Relationship Id="rId10" Type="http://schemas.openxmlformats.org/officeDocument/2006/relationships/hyperlink" Target="http://students.carleton.ca/course-outline" TargetMode="External"/><Relationship Id="rId4" Type="http://schemas.openxmlformats.org/officeDocument/2006/relationships/webSettings" Target="webSettings.xml"/><Relationship Id="rId9"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Barry</dc:creator>
  <cp:keywords/>
  <dc:description/>
  <cp:lastModifiedBy>Sean Barry</cp:lastModifiedBy>
  <cp:revision>2</cp:revision>
  <dcterms:created xsi:type="dcterms:W3CDTF">2021-08-30T18:23:00Z</dcterms:created>
  <dcterms:modified xsi:type="dcterms:W3CDTF">2021-08-30T18:23:00Z</dcterms:modified>
</cp:coreProperties>
</file>