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E9E0" w14:textId="77777777" w:rsidR="002E0D9B" w:rsidRPr="00526848" w:rsidRDefault="002E0D9B" w:rsidP="00526848"/>
    <w:p w14:paraId="40EB3F32" w14:textId="77777777" w:rsidR="002E0D9B" w:rsidRPr="00526848" w:rsidRDefault="00A6569C" w:rsidP="00526848">
      <w:pPr>
        <w:rPr>
          <w:b/>
          <w:bCs/>
        </w:rPr>
      </w:pPr>
      <w:r w:rsidRPr="00526848">
        <w:rPr>
          <w:b/>
          <w:bCs/>
        </w:rPr>
        <w:t>About the Position</w:t>
      </w:r>
    </w:p>
    <w:p w14:paraId="1BE42EB8" w14:textId="77777777" w:rsidR="00526848" w:rsidRDefault="00526848" w:rsidP="00526848"/>
    <w:p w14:paraId="1BE0FC3F" w14:textId="77777777" w:rsidR="00526848" w:rsidRDefault="00526848" w:rsidP="00526848">
      <w:pPr>
        <w:rPr>
          <w:rFonts w:asciiTheme="minorHAnsi" w:eastAsiaTheme="minorHAnsi" w:hAnsiTheme="minorHAnsi" w:cstheme="minorBidi"/>
          <w:b/>
        </w:rPr>
      </w:pPr>
      <w:r>
        <w:rPr>
          <w:b/>
        </w:rPr>
        <w:t xml:space="preserve">Field of Specialization: </w:t>
      </w:r>
      <w:r w:rsidRPr="00526848">
        <w:t>Economics of Sustainable Global Prosperity</w:t>
      </w:r>
      <w:r>
        <w:rPr>
          <w:b/>
        </w:rPr>
        <w:tab/>
      </w:r>
    </w:p>
    <w:p w14:paraId="2139C798" w14:textId="77777777" w:rsidR="00526848" w:rsidRDefault="00526848" w:rsidP="00526848">
      <w:pPr>
        <w:rPr>
          <w:b/>
        </w:rPr>
      </w:pPr>
      <w:r>
        <w:rPr>
          <w:b/>
        </w:rPr>
        <w:t>Academic Unit:</w:t>
      </w:r>
      <w:r>
        <w:rPr>
          <w:b/>
        </w:rPr>
        <w:tab/>
      </w:r>
      <w:r w:rsidRPr="00526848">
        <w:t>Economics</w:t>
      </w:r>
    </w:p>
    <w:p w14:paraId="40AAC95E" w14:textId="77777777" w:rsidR="00526848" w:rsidRDefault="00526848" w:rsidP="00526848">
      <w:pPr>
        <w:rPr>
          <w:b/>
        </w:rPr>
      </w:pPr>
      <w:r>
        <w:rPr>
          <w:b/>
        </w:rPr>
        <w:t xml:space="preserve">Category of Appointment: </w:t>
      </w:r>
      <w:r w:rsidRPr="00526848">
        <w:t>Preliminary (tenure-track)</w:t>
      </w:r>
    </w:p>
    <w:p w14:paraId="72FBE8FF" w14:textId="77777777" w:rsidR="00526848" w:rsidRPr="00973A6B" w:rsidRDefault="00526848" w:rsidP="00526848">
      <w:r>
        <w:rPr>
          <w:b/>
        </w:rPr>
        <w:t>Rank/Position Title:</w:t>
      </w:r>
      <w:r w:rsidR="00973A6B">
        <w:rPr>
          <w:b/>
        </w:rPr>
        <w:t xml:space="preserve"> </w:t>
      </w:r>
      <w:r w:rsidR="00973A6B" w:rsidRPr="00526848">
        <w:t>Assistant or Associate Professor and Canada Research Chair, Tier II</w:t>
      </w:r>
    </w:p>
    <w:p w14:paraId="45267446" w14:textId="77777777" w:rsidR="00973A6B" w:rsidRPr="00526848" w:rsidRDefault="00526848" w:rsidP="00973A6B">
      <w:r>
        <w:rPr>
          <w:b/>
        </w:rPr>
        <w:t>Start Date:</w:t>
      </w:r>
      <w:r w:rsidR="00973A6B" w:rsidRPr="00973A6B">
        <w:t xml:space="preserve"> </w:t>
      </w:r>
      <w:r w:rsidR="00973A6B" w:rsidRPr="00526848">
        <w:t>July 1, 2024 or as soon as possible after that date, subject to approval</w:t>
      </w:r>
    </w:p>
    <w:p w14:paraId="6F478229" w14:textId="77777777" w:rsidR="00526848" w:rsidRDefault="00973A6B" w:rsidP="00973A6B">
      <w:pPr>
        <w:rPr>
          <w:b/>
        </w:rPr>
      </w:pPr>
      <w:r w:rsidRPr="00526848">
        <w:t>of the CRC program (see below)</w:t>
      </w:r>
    </w:p>
    <w:p w14:paraId="25594BD8" w14:textId="77777777" w:rsidR="00973A6B" w:rsidRPr="00526848" w:rsidRDefault="00526848" w:rsidP="00973A6B">
      <w:r>
        <w:rPr>
          <w:b/>
        </w:rPr>
        <w:t>Closing Date:</w:t>
      </w:r>
      <w:r w:rsidR="00973A6B">
        <w:rPr>
          <w:b/>
        </w:rPr>
        <w:t xml:space="preserve"> </w:t>
      </w:r>
      <w:r w:rsidR="00973A6B" w:rsidRPr="00526848">
        <w:t>Consideration of applications will begin November 30th, 2023</w:t>
      </w:r>
    </w:p>
    <w:p w14:paraId="6DBF5523" w14:textId="77777777" w:rsidR="00526848" w:rsidRDefault="00526848" w:rsidP="00526848"/>
    <w:p w14:paraId="60321E58" w14:textId="77777777" w:rsidR="002E0D9B" w:rsidRPr="00526848" w:rsidRDefault="00A6569C" w:rsidP="00526848">
      <w:r w:rsidRPr="00526848">
        <w:t>The Department of Economics invites applications from qualified candidates for a Tier II CRC Chair appointment in Economics of Sustainable Global Prosperity at the rank of Assistant Professor or Associate Professor beginning July 1, 2024 or as soon as possible after that date, subject to approval of the CRC program (see below). An appointment with tenure is possible, depending on qualifications of the successful candidate.</w:t>
      </w:r>
    </w:p>
    <w:p w14:paraId="7DC2EEE8" w14:textId="77777777" w:rsidR="002E0D9B" w:rsidRPr="00526848" w:rsidRDefault="002E0D9B" w:rsidP="00526848"/>
    <w:p w14:paraId="3A542B6C" w14:textId="77777777" w:rsidR="000340B6" w:rsidRDefault="00A6569C" w:rsidP="00526848">
      <w:r w:rsidRPr="00526848">
        <w:t>The Department seeks an exceptional emerging scholar whose work centres on sustainable global prosperity questions. We are particularly interested in scholars whose research examines one or more of the following areas:</w:t>
      </w:r>
    </w:p>
    <w:p w14:paraId="4A12B2DD" w14:textId="77777777" w:rsidR="002E0D9B" w:rsidRPr="00526848" w:rsidRDefault="00A6569C" w:rsidP="000340B6">
      <w:pPr>
        <w:pStyle w:val="ListParagraph"/>
        <w:numPr>
          <w:ilvl w:val="0"/>
          <w:numId w:val="3"/>
        </w:numPr>
      </w:pPr>
      <w:r w:rsidRPr="00526848">
        <w:t>Understanding the drivers underlying the dynamics of sustainable global prosperity using new methodologies and databases</w:t>
      </w:r>
    </w:p>
    <w:p w14:paraId="4A649FF3" w14:textId="77777777" w:rsidR="002E0D9B" w:rsidRPr="00526848" w:rsidRDefault="00A6569C" w:rsidP="000340B6">
      <w:pPr>
        <w:pStyle w:val="ListParagraph"/>
        <w:numPr>
          <w:ilvl w:val="0"/>
          <w:numId w:val="3"/>
        </w:numPr>
      </w:pPr>
      <w:r w:rsidRPr="00526848">
        <w:t>New approaches to measurement and empirical assessment in the context of sustainable global prosperity</w:t>
      </w:r>
    </w:p>
    <w:p w14:paraId="11591B0D" w14:textId="77777777" w:rsidR="002E0D9B" w:rsidRPr="00526848" w:rsidRDefault="00A6569C" w:rsidP="000340B6">
      <w:pPr>
        <w:pStyle w:val="ListParagraph"/>
        <w:numPr>
          <w:ilvl w:val="0"/>
          <w:numId w:val="3"/>
        </w:numPr>
      </w:pPr>
      <w:r w:rsidRPr="00526848">
        <w:t>Intersection of sustainable global prosperity with diverse areas of economics such as income and wealth inequality, economic growth, institutions, environment, development, international economics, trade, access to education and health-promoting domains.</w:t>
      </w:r>
    </w:p>
    <w:p w14:paraId="226F792C" w14:textId="77777777" w:rsidR="002E0D9B" w:rsidRPr="00526848" w:rsidRDefault="00A6569C" w:rsidP="000340B6">
      <w:pPr>
        <w:pStyle w:val="ListParagraph"/>
        <w:numPr>
          <w:ilvl w:val="0"/>
          <w:numId w:val="3"/>
        </w:numPr>
      </w:pPr>
      <w:r w:rsidRPr="00526848">
        <w:t>Research involving administrative databases and policy analysis to advance frontier knowledge on sustainable global prosperity.</w:t>
      </w:r>
    </w:p>
    <w:p w14:paraId="29885059" w14:textId="77777777" w:rsidR="002E0D9B" w:rsidRPr="00526848" w:rsidRDefault="002E0D9B" w:rsidP="00526848"/>
    <w:p w14:paraId="7CA718F6" w14:textId="77777777" w:rsidR="000340B6" w:rsidRDefault="000340B6" w:rsidP="000340B6">
      <w:bookmarkStart w:id="0" w:name="_Hlk73813210"/>
      <w:r w:rsidRPr="00D65F83">
        <w:t xml:space="preserve">Tier 2 Chairs are intended for exceptional emerging scholars (i.e., candidates must have been an active researcher in their field for fewer than 10 years at the time of nomination). Applicants who are more than 10 years from having earned their highest degree (and where career breaks exist, such as maternity, parental or extended sick leave, clinical training, etc.) may have their eligibility for a Tier 2 Chair assessed through the program’s Tier 2 justification process. For more details, please see the Canada Research Chairs Secretariat at </w:t>
      </w:r>
      <w:hyperlink r:id="rId7" w:history="1">
        <w:r w:rsidRPr="00D65F83">
          <w:rPr>
            <w:rStyle w:val="Hyperlink"/>
          </w:rPr>
          <w:t>https://www.chairs-chaires.gc.ca/</w:t>
        </w:r>
      </w:hyperlink>
      <w:r w:rsidRPr="00D65F83">
        <w:t xml:space="preserve"> and</w:t>
      </w:r>
      <w:bookmarkStart w:id="1" w:name="_Hlk73813255"/>
      <w:bookmarkEnd w:id="0"/>
      <w:r w:rsidRPr="00D65F83">
        <w:t xml:space="preserve"> the Carleton Office for Research Initiatives and Services at </w:t>
      </w:r>
      <w:hyperlink r:id="rId8" w:history="1">
        <w:r w:rsidRPr="00D65F83">
          <w:rPr>
            <w:rStyle w:val="Hyperlink"/>
          </w:rPr>
          <w:t>https://carleton.ca/coris/</w:t>
        </w:r>
      </w:hyperlink>
      <w:bookmarkEnd w:id="1"/>
      <w:r w:rsidRPr="00D65F83">
        <w:t>.</w:t>
      </w:r>
    </w:p>
    <w:p w14:paraId="3175A322" w14:textId="77777777" w:rsidR="000340B6" w:rsidRPr="000340B6" w:rsidRDefault="000340B6" w:rsidP="00526848">
      <w:pPr>
        <w:rPr>
          <w:strike/>
        </w:rPr>
      </w:pPr>
    </w:p>
    <w:p w14:paraId="09001C4E" w14:textId="77777777" w:rsidR="002E0D9B" w:rsidRPr="00526848" w:rsidRDefault="00A6569C" w:rsidP="00526848">
      <w:r w:rsidRPr="00AC2370">
        <w:t>The successful candidate will need to work with the Faculty of Public Affairs to prepare the application for the Tier II CRC Chair. The academic appointment is conditional on the approval of the application by the CRC Program.</w:t>
      </w:r>
    </w:p>
    <w:p w14:paraId="644AA4B7" w14:textId="77777777" w:rsidR="002E0D9B" w:rsidRPr="00526848" w:rsidRDefault="002E0D9B" w:rsidP="00526848"/>
    <w:p w14:paraId="1E9DEC28" w14:textId="77777777" w:rsidR="002E0D9B" w:rsidRPr="00BB34FD" w:rsidRDefault="00A6569C" w:rsidP="00526848">
      <w:pPr>
        <w:rPr>
          <w:b/>
          <w:bCs/>
        </w:rPr>
      </w:pPr>
      <w:r w:rsidRPr="00BB34FD">
        <w:rPr>
          <w:b/>
          <w:bCs/>
        </w:rPr>
        <w:t>About the Academic Unit:</w:t>
      </w:r>
    </w:p>
    <w:p w14:paraId="2B796EAF" w14:textId="77777777" w:rsidR="002E0D9B" w:rsidRPr="00526848" w:rsidRDefault="00A6569C" w:rsidP="00526848">
      <w:r w:rsidRPr="00526848">
        <w:t>The successful candidate for the CRC in Economics of Sustainable Global Prosperity will be housed in the Department of Economics at Carleton University. The Department offers undergraduate programs, an</w:t>
      </w:r>
      <w:r w:rsidR="00AC2370">
        <w:t xml:space="preserve"> </w:t>
      </w:r>
      <w:r w:rsidRPr="00526848">
        <w:t>M.A. in Economics, and (in partnership with the University of Ottawa) a Ph.D. in Economics through the</w:t>
      </w:r>
      <w:r w:rsidR="00BB34FD">
        <w:t xml:space="preserve"> </w:t>
      </w:r>
      <w:r w:rsidRPr="00526848">
        <w:t xml:space="preserve">Ottawa Carleton Graduate School of Economics which includes eight sub-fields in Economics. Further information is available at </w:t>
      </w:r>
      <w:hyperlink r:id="rId9">
        <w:r w:rsidRPr="00526848">
          <w:rPr>
            <w:rStyle w:val="Hyperlink"/>
          </w:rPr>
          <w:t>https://carleton.ca/economics/.</w:t>
        </w:r>
      </w:hyperlink>
    </w:p>
    <w:p w14:paraId="6C97F33B" w14:textId="77777777" w:rsidR="002E0D9B" w:rsidRPr="00526848" w:rsidRDefault="002E0D9B" w:rsidP="00526848"/>
    <w:p w14:paraId="1C5B1F76" w14:textId="77777777" w:rsidR="002E0D9B" w:rsidRPr="00BB34FD" w:rsidRDefault="00A6569C" w:rsidP="00526848">
      <w:pPr>
        <w:rPr>
          <w:b/>
          <w:bCs/>
        </w:rPr>
      </w:pPr>
      <w:r w:rsidRPr="00BB34FD">
        <w:rPr>
          <w:b/>
          <w:bCs/>
        </w:rPr>
        <w:t>Qualifications:</w:t>
      </w:r>
    </w:p>
    <w:p w14:paraId="6ED2C39D" w14:textId="77777777" w:rsidR="002E0D9B" w:rsidRPr="00526848" w:rsidRDefault="00A6569C" w:rsidP="00526848">
      <w:r w:rsidRPr="00526848">
        <w:lastRenderedPageBreak/>
        <w:t>This position requires:</w:t>
      </w:r>
    </w:p>
    <w:p w14:paraId="26A73E65" w14:textId="77777777" w:rsidR="002E0D9B" w:rsidRPr="00526848" w:rsidRDefault="00A6569C" w:rsidP="00BB34FD">
      <w:pPr>
        <w:pStyle w:val="ListParagraph"/>
        <w:numPr>
          <w:ilvl w:val="0"/>
          <w:numId w:val="4"/>
        </w:numPr>
      </w:pPr>
      <w:r w:rsidRPr="00526848">
        <w:t>A track record of high-quality, scholarly, empirical research relevant to the economics of sustainable global prosperity</w:t>
      </w:r>
      <w:r w:rsidR="00BB34FD">
        <w:t>;</w:t>
      </w:r>
    </w:p>
    <w:p w14:paraId="791172F1" w14:textId="77777777" w:rsidR="002E0D9B" w:rsidRPr="00D65F83" w:rsidRDefault="00A6569C" w:rsidP="00BB34FD">
      <w:pPr>
        <w:pStyle w:val="ListParagraph"/>
        <w:numPr>
          <w:ilvl w:val="0"/>
          <w:numId w:val="4"/>
        </w:numPr>
      </w:pPr>
      <w:r w:rsidRPr="00D65F83">
        <w:t>A PhD in economics or a closely related field</w:t>
      </w:r>
      <w:r w:rsidR="00BB34FD" w:rsidRPr="00D65F83">
        <w:t xml:space="preserve"> (Carleton requirement)</w:t>
      </w:r>
      <w:r w:rsidRPr="00D65F83">
        <w:t>;</w:t>
      </w:r>
    </w:p>
    <w:p w14:paraId="2D7387FB" w14:textId="77777777" w:rsidR="002E0D9B" w:rsidRPr="00526848" w:rsidRDefault="00A6569C" w:rsidP="00BB34FD">
      <w:pPr>
        <w:pStyle w:val="ListParagraph"/>
        <w:numPr>
          <w:ilvl w:val="0"/>
          <w:numId w:val="4"/>
        </w:numPr>
      </w:pPr>
      <w:r w:rsidRPr="00526848">
        <w:t>Capacity to attract external research funding;</w:t>
      </w:r>
    </w:p>
    <w:p w14:paraId="4434688C" w14:textId="77777777" w:rsidR="002E0D9B" w:rsidRPr="00526848" w:rsidRDefault="00A6569C" w:rsidP="00BB34FD">
      <w:pPr>
        <w:pStyle w:val="ListParagraph"/>
        <w:numPr>
          <w:ilvl w:val="0"/>
          <w:numId w:val="4"/>
        </w:numPr>
      </w:pPr>
      <w:r w:rsidRPr="00526848">
        <w:t>Capacity to attract, supervise, and mentor graduate students;</w:t>
      </w:r>
    </w:p>
    <w:p w14:paraId="299B9DD3" w14:textId="77777777" w:rsidR="002E0D9B" w:rsidRPr="00526848" w:rsidRDefault="00A6569C" w:rsidP="00BB34FD">
      <w:pPr>
        <w:pStyle w:val="ListParagraph"/>
        <w:numPr>
          <w:ilvl w:val="0"/>
          <w:numId w:val="4"/>
        </w:numPr>
      </w:pPr>
      <w:r w:rsidRPr="00526848">
        <w:t>Capacity to attract, develop and build relationships with other researchers;</w:t>
      </w:r>
    </w:p>
    <w:p w14:paraId="52026EC2" w14:textId="77777777" w:rsidR="002E0D9B" w:rsidRPr="00526848" w:rsidRDefault="00A6569C" w:rsidP="00BB34FD">
      <w:pPr>
        <w:pStyle w:val="ListParagraph"/>
        <w:numPr>
          <w:ilvl w:val="0"/>
          <w:numId w:val="4"/>
        </w:numPr>
      </w:pPr>
      <w:r w:rsidRPr="00526848">
        <w:t>Strong potential for outstanding teaching contributions; and</w:t>
      </w:r>
    </w:p>
    <w:p w14:paraId="425FF0C7" w14:textId="77777777" w:rsidR="002E0D9B" w:rsidRPr="00526848" w:rsidRDefault="00A6569C" w:rsidP="00BB34FD">
      <w:pPr>
        <w:pStyle w:val="ListParagraph"/>
        <w:numPr>
          <w:ilvl w:val="0"/>
          <w:numId w:val="4"/>
        </w:numPr>
      </w:pPr>
      <w:r w:rsidRPr="00526848">
        <w:t>Willingness to interact with the interdisciplinary research community at Carleton University.</w:t>
      </w:r>
    </w:p>
    <w:p w14:paraId="75A4D623" w14:textId="77777777" w:rsidR="002E0D9B" w:rsidRPr="00526848" w:rsidRDefault="002E0D9B" w:rsidP="00526848"/>
    <w:p w14:paraId="4FB7E05E" w14:textId="77777777" w:rsidR="002E0D9B" w:rsidRPr="00BB34FD" w:rsidRDefault="00A6569C" w:rsidP="00526848">
      <w:pPr>
        <w:rPr>
          <w:b/>
          <w:bCs/>
        </w:rPr>
      </w:pPr>
      <w:r w:rsidRPr="00BB34FD">
        <w:rPr>
          <w:b/>
          <w:bCs/>
        </w:rPr>
        <w:t>Application Instructions:</w:t>
      </w:r>
    </w:p>
    <w:p w14:paraId="5C276677" w14:textId="320D74D6" w:rsidR="002E0D9B" w:rsidRDefault="00A6569C" w:rsidP="00526848">
      <w:pPr>
        <w:rPr>
          <w:strike/>
        </w:rPr>
      </w:pPr>
      <w:r w:rsidRPr="00526848">
        <w:t xml:space="preserve">Applicants should apply via </w:t>
      </w:r>
      <w:hyperlink r:id="rId10">
        <w:r w:rsidRPr="00526848">
          <w:rPr>
            <w:rStyle w:val="Hyperlink"/>
          </w:rPr>
          <w:t>https://econjobmarket.org/</w:t>
        </w:r>
      </w:hyperlink>
      <w:r w:rsidRPr="00526848">
        <w:t xml:space="preserve">. Applications must include a cover letter, a curriculum vitae, a job market paper, a statement of teaching interests and experience, and samples of research papers. Applicants should also arrange to have three referees upload letters to </w:t>
      </w:r>
      <w:hyperlink r:id="rId11">
        <w:r w:rsidRPr="00526848">
          <w:rPr>
            <w:rStyle w:val="Hyperlink"/>
          </w:rPr>
          <w:t>https://econjobmarket.org/.</w:t>
        </w:r>
      </w:hyperlink>
      <w:r w:rsidRPr="00526848">
        <w:t xml:space="preserve"> </w:t>
      </w:r>
      <w:r w:rsidRPr="00D65F83">
        <w:t>Please</w:t>
      </w:r>
      <w:r w:rsidR="00BB34FD" w:rsidRPr="00D65F83">
        <w:t xml:space="preserve"> </w:t>
      </w:r>
      <w:r w:rsidR="00BB34FD" w:rsidRPr="00D65F83">
        <w:rPr>
          <w:iCs/>
          <w:color w:val="000000"/>
        </w:rPr>
        <w:t>include a statement that reflects your perspectives on and/or experience dealing with issues of equity, diversity, and inclusion in your teaching, service, or scholarly activities</w:t>
      </w:r>
    </w:p>
    <w:p w14:paraId="6E92C7C8" w14:textId="77777777" w:rsidR="00BB34FD" w:rsidRDefault="00BB34FD" w:rsidP="00526848">
      <w:pPr>
        <w:rPr>
          <w:strike/>
        </w:rPr>
      </w:pPr>
    </w:p>
    <w:p w14:paraId="10073AB8" w14:textId="77777777" w:rsidR="00BB34FD" w:rsidRPr="00D65F83" w:rsidRDefault="00BB34FD" w:rsidP="00BB34FD">
      <w:pPr>
        <w:rPr>
          <w:rFonts w:asciiTheme="minorHAnsi" w:eastAsiaTheme="minorHAnsi" w:hAnsiTheme="minorHAnsi" w:cstheme="minorBidi"/>
        </w:rPr>
      </w:pPr>
      <w:r w:rsidRPr="00D65F83">
        <w:t>Please indicate in your application if you are currently legally eligible to work in Canada.</w:t>
      </w:r>
    </w:p>
    <w:p w14:paraId="00647073" w14:textId="77777777" w:rsidR="00BB34FD" w:rsidRPr="00D65F83" w:rsidRDefault="00BB34FD" w:rsidP="00BB34FD"/>
    <w:p w14:paraId="283AA9D2" w14:textId="77777777" w:rsidR="00A6569C" w:rsidRPr="00D65F83" w:rsidRDefault="00A6569C" w:rsidP="00A6569C">
      <w:r w:rsidRPr="00D65F83">
        <w:t xml:space="preserve">To help us develop our equity programs, a confidential equity and diversity self-identification survey will be sent to all applicants separately. </w:t>
      </w:r>
    </w:p>
    <w:p w14:paraId="6D91A00D" w14:textId="77777777" w:rsidR="00A6569C" w:rsidRPr="00D65F83" w:rsidRDefault="00A6569C" w:rsidP="00A6569C"/>
    <w:p w14:paraId="06B5F4E2" w14:textId="77777777" w:rsidR="00A6569C" w:rsidRDefault="00A6569C" w:rsidP="00A6569C">
      <w:pPr>
        <w:rPr>
          <w:rFonts w:asciiTheme="minorHAnsi" w:eastAsiaTheme="minorHAnsi" w:hAnsiTheme="minorHAnsi" w:cstheme="minorBidi"/>
        </w:rPr>
      </w:pPr>
      <w:r w:rsidRPr="00D65F83">
        <w:t xml:space="preserve">We invite all applicants to provide an optional Career Interruption Statement outlining any career interruptions </w:t>
      </w:r>
      <w:hyperlink r:id="rId12" w:history="1">
        <w:r w:rsidRPr="00D65F83">
          <w:rPr>
            <w:rStyle w:val="Hyperlink"/>
          </w:rPr>
          <w:t>https://carleton.ca/deputyprovost/?p=1784</w:t>
        </w:r>
      </w:hyperlink>
      <w:r w:rsidRPr="00D65F83">
        <w:t>.</w:t>
      </w:r>
    </w:p>
    <w:p w14:paraId="0D8033C8" w14:textId="77777777" w:rsidR="00A6569C" w:rsidRDefault="00A6569C" w:rsidP="00A6569C">
      <w:pPr>
        <w:rPr>
          <w:rFonts w:asciiTheme="minorHAnsi" w:eastAsiaTheme="minorHAnsi" w:hAnsiTheme="minorHAnsi" w:cstheme="minorBidi"/>
        </w:rPr>
      </w:pPr>
    </w:p>
    <w:p w14:paraId="0A4F438B" w14:textId="77777777" w:rsidR="00BB34FD" w:rsidRPr="00526848" w:rsidRDefault="00BB34FD" w:rsidP="00526848"/>
    <w:p w14:paraId="64D28024" w14:textId="77777777" w:rsidR="002E0D9B" w:rsidRDefault="00A6569C" w:rsidP="00526848">
      <w:pPr>
        <w:rPr>
          <w:b/>
          <w:bCs/>
        </w:rPr>
      </w:pPr>
      <w:r w:rsidRPr="00A6569C">
        <w:rPr>
          <w:b/>
          <w:bCs/>
        </w:rPr>
        <w:t>About Carleton University:</w:t>
      </w:r>
    </w:p>
    <w:p w14:paraId="7A8AC821" w14:textId="77777777" w:rsidR="00A6569C" w:rsidRDefault="00A6569C" w:rsidP="00526848">
      <w:pPr>
        <w:rPr>
          <w:b/>
          <w:bCs/>
        </w:rPr>
      </w:pPr>
    </w:p>
    <w:p w14:paraId="392C9F23" w14:textId="726D8D41" w:rsidR="00A6569C" w:rsidRDefault="00A6569C" w:rsidP="00A6569C">
      <w:pPr>
        <w:rPr>
          <w:rFonts w:asciiTheme="minorHAnsi" w:eastAsiaTheme="minorHAnsi" w:hAnsiTheme="minorHAnsi" w:cstheme="minorBidi"/>
        </w:rPr>
      </w:pPr>
      <w:r w:rsidRPr="00D65F83">
        <w:t xml:space="preserve">Located in Ottawa, Carleton is an innovative </w:t>
      </w:r>
      <w:r w:rsidR="008145EE" w:rsidRPr="00D65F83">
        <w:t xml:space="preserve">research and </w:t>
      </w:r>
      <w:r w:rsidRPr="00D65F83">
        <w:t xml:space="preserve">teaching institution with a tradition of leading change. Internationally recognized academics, staff, and researchers engage more than 31,000 students in over 100 programs of study. Carleton has long been known for promoting research excellence and connectedness and is involved in partnerships around the globe. With strong leadership, it enjoys a healthy financial position and our proximity to government and cultural institutions, media, and a thriving knowledge economy make Carleton and Ottawa a great place to work, learn, and live. Our picturesque campus is fully accessible and, along with award-winning student services, Carleton’s Paul Menton Centre for Students with Disabilities has been heralded as the gold standard for disability support services in Canada. Learn more about </w:t>
      </w:r>
      <w:hyperlink r:id="rId13" w:history="1">
        <w:r w:rsidRPr="00D65F83">
          <w:rPr>
            <w:rStyle w:val="Hyperlink"/>
          </w:rPr>
          <w:t>our university and the city of Ottawa</w:t>
        </w:r>
      </w:hyperlink>
      <w:r w:rsidRPr="00D65F83">
        <w:t xml:space="preserve"> at </w:t>
      </w:r>
      <w:hyperlink r:id="rId14" w:history="1">
        <w:r w:rsidRPr="00D65F83">
          <w:rPr>
            <w:rStyle w:val="Hyperlink"/>
          </w:rPr>
          <w:t>https://carleton.ca/deputyprovost/jobs/</w:t>
        </w:r>
      </w:hyperlink>
      <w:r w:rsidRPr="00D65F83">
        <w:t>.</w:t>
      </w:r>
      <w:r>
        <w:t xml:space="preserve"> </w:t>
      </w:r>
    </w:p>
    <w:p w14:paraId="7FE1D302" w14:textId="77777777" w:rsidR="00A6569C" w:rsidRDefault="00A6569C" w:rsidP="00A6569C"/>
    <w:p w14:paraId="1568F701" w14:textId="77777777" w:rsidR="00A6569C" w:rsidRPr="00D65F83" w:rsidRDefault="00A6569C" w:rsidP="00A6569C">
      <w:r w:rsidRPr="00D65F83">
        <w:t xml:space="preserve">We are strongly committed to equity, diversity, and inclusion in the nomination and appointment process. </w:t>
      </w:r>
    </w:p>
    <w:p w14:paraId="76D89DD4" w14:textId="77777777" w:rsidR="00A6569C" w:rsidRPr="00D65F83" w:rsidRDefault="00A6569C" w:rsidP="00A6569C"/>
    <w:p w14:paraId="6F2BBE41" w14:textId="77777777" w:rsidR="00A6569C" w:rsidRPr="00D65F83" w:rsidRDefault="00A6569C" w:rsidP="00A6569C">
      <w:r w:rsidRPr="00D65F83">
        <w:t>Carleton University is committed to fostering diversity within its community as a source of excellence, cultural enrichment, and social strength. We welcome those who would contribute to the further diversification of our university including, but not limited to: women and gender minorities; racialized individuals; Indigenous Peoples; persons with disabilities; and persons of any sexual orientation and/or expression.</w:t>
      </w:r>
      <w:bookmarkStart w:id="2" w:name="_Hlk141341131"/>
      <w:r w:rsidRPr="00D65F83">
        <w:t xml:space="preserve"> Furthermore, Carleton understands that career paths vary and interruptions will not prejudice the assessment process. We invite you to review our revitalized Indigenous strategy, </w:t>
      </w:r>
      <w:hyperlink r:id="rId15" w:history="1">
        <w:r w:rsidRPr="00D65F83">
          <w:rPr>
            <w:rStyle w:val="Hyperlink"/>
          </w:rPr>
          <w:t>Kinàmàgawin</w:t>
        </w:r>
      </w:hyperlink>
      <w:r w:rsidRPr="00D65F83">
        <w:t xml:space="preserve"> at </w:t>
      </w:r>
      <w:hyperlink r:id="rId16" w:history="1">
        <w:r w:rsidRPr="00D65F83">
          <w:rPr>
            <w:rStyle w:val="Hyperlink"/>
          </w:rPr>
          <w:t>https://carleton.ca/indigenousinitiatives/cu-files/kinamagawin/</w:t>
        </w:r>
      </w:hyperlink>
      <w:r w:rsidRPr="00D65F83">
        <w:t xml:space="preserve"> and visit our </w:t>
      </w:r>
      <w:hyperlink r:id="rId17" w:history="1">
        <w:r w:rsidRPr="00D65F83">
          <w:rPr>
            <w:rStyle w:val="Hyperlink"/>
          </w:rPr>
          <w:t xml:space="preserve">Department of Equity and </w:t>
        </w:r>
        <w:r w:rsidRPr="00D65F83">
          <w:rPr>
            <w:rStyle w:val="Hyperlink"/>
          </w:rPr>
          <w:lastRenderedPageBreak/>
          <w:t>Inclusive Communities</w:t>
        </w:r>
      </w:hyperlink>
      <w:r w:rsidRPr="00D65F83">
        <w:t xml:space="preserve"> at </w:t>
      </w:r>
      <w:hyperlink r:id="rId18" w:history="1">
        <w:r w:rsidRPr="00D65F83">
          <w:rPr>
            <w:rStyle w:val="Hyperlink"/>
          </w:rPr>
          <w:t>http://carleton.ca/equity</w:t>
        </w:r>
      </w:hyperlink>
      <w:r w:rsidRPr="00D65F83">
        <w:t xml:space="preserve"> for information about our commitment to leadership in the areas of equity, diversity, and inclusion.</w:t>
      </w:r>
    </w:p>
    <w:p w14:paraId="7C2EC7B5" w14:textId="77777777" w:rsidR="00A6569C" w:rsidRPr="00D65F83" w:rsidRDefault="00A6569C" w:rsidP="00A6569C"/>
    <w:p w14:paraId="29B073F3" w14:textId="77777777" w:rsidR="00A6569C" w:rsidRDefault="00A6569C" w:rsidP="00A6569C">
      <w:r w:rsidRPr="00D65F83">
        <w:t>Accessibility is a university strategic priority and applicants selected for an interview who require accommodations are invited to contact the Chair as soon as possible to ensure that appropriate arrangements may be made.</w:t>
      </w:r>
      <w:r>
        <w:t xml:space="preserve"> </w:t>
      </w:r>
    </w:p>
    <w:p w14:paraId="715CFB3B" w14:textId="77777777" w:rsidR="00A6569C" w:rsidRDefault="00A6569C" w:rsidP="00A6569C"/>
    <w:p w14:paraId="08260A61" w14:textId="49480744" w:rsidR="00526848" w:rsidRPr="00D65F83" w:rsidRDefault="00A6569C" w:rsidP="00526848">
      <w:pPr>
        <w:rPr>
          <w:i/>
        </w:rPr>
      </w:pPr>
      <w:r>
        <w:rPr>
          <w:i/>
        </w:rPr>
        <w:t>All qualified candidates are encouraged to apply; however, Canadians and permanent residents will be given priority. All positions are subject to budgetary approval</w:t>
      </w:r>
      <w:bookmarkEnd w:id="2"/>
      <w:r>
        <w:rPr>
          <w:i/>
        </w:rPr>
        <w:t>.</w:t>
      </w:r>
    </w:p>
    <w:sectPr w:rsidR="00526848" w:rsidRPr="00D65F83">
      <w:footerReference w:type="default" r:id="rId19"/>
      <w:pgSz w:w="12240" w:h="15840"/>
      <w:pgMar w:top="1400" w:right="1300" w:bottom="940" w:left="13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9360" w14:textId="77777777" w:rsidR="00AB0975" w:rsidRDefault="00AB0975">
      <w:r>
        <w:separator/>
      </w:r>
    </w:p>
  </w:endnote>
  <w:endnote w:type="continuationSeparator" w:id="0">
    <w:p w14:paraId="45BCE3E9" w14:textId="77777777" w:rsidR="00AB0975" w:rsidRDefault="00AB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9F2D" w14:textId="77777777" w:rsidR="002E0D9B" w:rsidRDefault="00A6569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6CBB43" wp14:editId="6758FDF6">
              <wp:simplePos x="0" y="0"/>
              <wp:positionH relativeFrom="page">
                <wp:posOffset>6749415</wp:posOffset>
              </wp:positionH>
              <wp:positionV relativeFrom="page">
                <wp:posOffset>9446895</wp:posOffset>
              </wp:positionV>
              <wp:extent cx="160020" cy="165735"/>
              <wp:effectExtent l="0" t="0" r="0" b="0"/>
              <wp:wrapNone/>
              <wp:docPr id="57475645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B3B0" w14:textId="77777777" w:rsidR="002E0D9B" w:rsidRDefault="00A6569C">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DBC67" id="_x0000_t202" coordsize="21600,21600" o:spt="202" path="m,l,21600r21600,l21600,xe">
              <v:stroke joinstyle="miter"/>
              <v:path gradientshapeok="t" o:connecttype="rect"/>
            </v:shapetype>
            <v:shape id="docshape1" o:spid="_x0000_s1026" type="#_x0000_t202" style="position:absolute;margin-left:531.45pt;margin-top:743.8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" filled="f" stroked="f">
              <v:textbox inset="0,0,0,0">
                <w:txbxContent>
                  <w:p w:rsidR="002E0D9B" w:rsidRDefault="00A6569C">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22E1" w14:textId="77777777" w:rsidR="00AB0975" w:rsidRDefault="00AB0975">
      <w:r>
        <w:separator/>
      </w:r>
    </w:p>
  </w:footnote>
  <w:footnote w:type="continuationSeparator" w:id="0">
    <w:p w14:paraId="33A432D1" w14:textId="77777777" w:rsidR="00AB0975" w:rsidRDefault="00AB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184E"/>
    <w:multiLevelType w:val="hybridMultilevel"/>
    <w:tmpl w:val="91223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BC2F16"/>
    <w:multiLevelType w:val="hybridMultilevel"/>
    <w:tmpl w:val="3CA4EA50"/>
    <w:lvl w:ilvl="0" w:tplc="B302D2A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48A6C8C">
      <w:numFmt w:val="bullet"/>
      <w:lvlText w:val="•"/>
      <w:lvlJc w:val="left"/>
      <w:pPr>
        <w:ind w:left="1698" w:hanging="360"/>
      </w:pPr>
      <w:rPr>
        <w:rFonts w:hint="default"/>
        <w:lang w:val="en-US" w:eastAsia="en-US" w:bidi="ar-SA"/>
      </w:rPr>
    </w:lvl>
    <w:lvl w:ilvl="2" w:tplc="D41CE716">
      <w:numFmt w:val="bullet"/>
      <w:lvlText w:val="•"/>
      <w:lvlJc w:val="left"/>
      <w:pPr>
        <w:ind w:left="2576" w:hanging="360"/>
      </w:pPr>
      <w:rPr>
        <w:rFonts w:hint="default"/>
        <w:lang w:val="en-US" w:eastAsia="en-US" w:bidi="ar-SA"/>
      </w:rPr>
    </w:lvl>
    <w:lvl w:ilvl="3" w:tplc="D92C18DC">
      <w:numFmt w:val="bullet"/>
      <w:lvlText w:val="•"/>
      <w:lvlJc w:val="left"/>
      <w:pPr>
        <w:ind w:left="3454" w:hanging="360"/>
      </w:pPr>
      <w:rPr>
        <w:rFonts w:hint="default"/>
        <w:lang w:val="en-US" w:eastAsia="en-US" w:bidi="ar-SA"/>
      </w:rPr>
    </w:lvl>
    <w:lvl w:ilvl="4" w:tplc="F30CB7FC">
      <w:numFmt w:val="bullet"/>
      <w:lvlText w:val="•"/>
      <w:lvlJc w:val="left"/>
      <w:pPr>
        <w:ind w:left="4332" w:hanging="360"/>
      </w:pPr>
      <w:rPr>
        <w:rFonts w:hint="default"/>
        <w:lang w:val="en-US" w:eastAsia="en-US" w:bidi="ar-SA"/>
      </w:rPr>
    </w:lvl>
    <w:lvl w:ilvl="5" w:tplc="B91AA08A">
      <w:numFmt w:val="bullet"/>
      <w:lvlText w:val="•"/>
      <w:lvlJc w:val="left"/>
      <w:pPr>
        <w:ind w:left="5210" w:hanging="360"/>
      </w:pPr>
      <w:rPr>
        <w:rFonts w:hint="default"/>
        <w:lang w:val="en-US" w:eastAsia="en-US" w:bidi="ar-SA"/>
      </w:rPr>
    </w:lvl>
    <w:lvl w:ilvl="6" w:tplc="5BDEED82">
      <w:numFmt w:val="bullet"/>
      <w:lvlText w:val="•"/>
      <w:lvlJc w:val="left"/>
      <w:pPr>
        <w:ind w:left="6088" w:hanging="360"/>
      </w:pPr>
      <w:rPr>
        <w:rFonts w:hint="default"/>
        <w:lang w:val="en-US" w:eastAsia="en-US" w:bidi="ar-SA"/>
      </w:rPr>
    </w:lvl>
    <w:lvl w:ilvl="7" w:tplc="20F6CAD8">
      <w:numFmt w:val="bullet"/>
      <w:lvlText w:val="•"/>
      <w:lvlJc w:val="left"/>
      <w:pPr>
        <w:ind w:left="6966" w:hanging="360"/>
      </w:pPr>
      <w:rPr>
        <w:rFonts w:hint="default"/>
        <w:lang w:val="en-US" w:eastAsia="en-US" w:bidi="ar-SA"/>
      </w:rPr>
    </w:lvl>
    <w:lvl w:ilvl="8" w:tplc="6B925A16">
      <w:numFmt w:val="bullet"/>
      <w:lvlText w:val="•"/>
      <w:lvlJc w:val="left"/>
      <w:pPr>
        <w:ind w:left="7844" w:hanging="360"/>
      </w:pPr>
      <w:rPr>
        <w:rFonts w:hint="default"/>
        <w:lang w:val="en-US" w:eastAsia="en-US" w:bidi="ar-SA"/>
      </w:rPr>
    </w:lvl>
  </w:abstractNum>
  <w:abstractNum w:abstractNumId="2" w15:restartNumberingAfterBreak="0">
    <w:nsid w:val="531A4F8C"/>
    <w:multiLevelType w:val="hybridMultilevel"/>
    <w:tmpl w:val="EA0C8A90"/>
    <w:lvl w:ilvl="0" w:tplc="509AB23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B00CDE2">
      <w:numFmt w:val="bullet"/>
      <w:lvlText w:val="•"/>
      <w:lvlJc w:val="left"/>
      <w:pPr>
        <w:ind w:left="1698" w:hanging="360"/>
      </w:pPr>
      <w:rPr>
        <w:rFonts w:hint="default"/>
        <w:lang w:val="en-US" w:eastAsia="en-US" w:bidi="ar-SA"/>
      </w:rPr>
    </w:lvl>
    <w:lvl w:ilvl="2" w:tplc="DA9ABF1E">
      <w:numFmt w:val="bullet"/>
      <w:lvlText w:val="•"/>
      <w:lvlJc w:val="left"/>
      <w:pPr>
        <w:ind w:left="2576" w:hanging="360"/>
      </w:pPr>
      <w:rPr>
        <w:rFonts w:hint="default"/>
        <w:lang w:val="en-US" w:eastAsia="en-US" w:bidi="ar-SA"/>
      </w:rPr>
    </w:lvl>
    <w:lvl w:ilvl="3" w:tplc="71A2DAAC">
      <w:numFmt w:val="bullet"/>
      <w:lvlText w:val="•"/>
      <w:lvlJc w:val="left"/>
      <w:pPr>
        <w:ind w:left="3454" w:hanging="360"/>
      </w:pPr>
      <w:rPr>
        <w:rFonts w:hint="default"/>
        <w:lang w:val="en-US" w:eastAsia="en-US" w:bidi="ar-SA"/>
      </w:rPr>
    </w:lvl>
    <w:lvl w:ilvl="4" w:tplc="9E080854">
      <w:numFmt w:val="bullet"/>
      <w:lvlText w:val="•"/>
      <w:lvlJc w:val="left"/>
      <w:pPr>
        <w:ind w:left="4332" w:hanging="360"/>
      </w:pPr>
      <w:rPr>
        <w:rFonts w:hint="default"/>
        <w:lang w:val="en-US" w:eastAsia="en-US" w:bidi="ar-SA"/>
      </w:rPr>
    </w:lvl>
    <w:lvl w:ilvl="5" w:tplc="EE3025A8">
      <w:numFmt w:val="bullet"/>
      <w:lvlText w:val="•"/>
      <w:lvlJc w:val="left"/>
      <w:pPr>
        <w:ind w:left="5210" w:hanging="360"/>
      </w:pPr>
      <w:rPr>
        <w:rFonts w:hint="default"/>
        <w:lang w:val="en-US" w:eastAsia="en-US" w:bidi="ar-SA"/>
      </w:rPr>
    </w:lvl>
    <w:lvl w:ilvl="6" w:tplc="21504098">
      <w:numFmt w:val="bullet"/>
      <w:lvlText w:val="•"/>
      <w:lvlJc w:val="left"/>
      <w:pPr>
        <w:ind w:left="6088" w:hanging="360"/>
      </w:pPr>
      <w:rPr>
        <w:rFonts w:hint="default"/>
        <w:lang w:val="en-US" w:eastAsia="en-US" w:bidi="ar-SA"/>
      </w:rPr>
    </w:lvl>
    <w:lvl w:ilvl="7" w:tplc="6E12219E">
      <w:numFmt w:val="bullet"/>
      <w:lvlText w:val="•"/>
      <w:lvlJc w:val="left"/>
      <w:pPr>
        <w:ind w:left="6966" w:hanging="360"/>
      </w:pPr>
      <w:rPr>
        <w:rFonts w:hint="default"/>
        <w:lang w:val="en-US" w:eastAsia="en-US" w:bidi="ar-SA"/>
      </w:rPr>
    </w:lvl>
    <w:lvl w:ilvl="8" w:tplc="EBA6D788">
      <w:numFmt w:val="bullet"/>
      <w:lvlText w:val="•"/>
      <w:lvlJc w:val="left"/>
      <w:pPr>
        <w:ind w:left="7844" w:hanging="360"/>
      </w:pPr>
      <w:rPr>
        <w:rFonts w:hint="default"/>
        <w:lang w:val="en-US" w:eastAsia="en-US" w:bidi="ar-SA"/>
      </w:rPr>
    </w:lvl>
  </w:abstractNum>
  <w:abstractNum w:abstractNumId="3" w15:restartNumberingAfterBreak="0">
    <w:nsid w:val="72BA2AB8"/>
    <w:multiLevelType w:val="hybridMultilevel"/>
    <w:tmpl w:val="2E82B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5304710">
    <w:abstractNumId w:val="1"/>
  </w:num>
  <w:num w:numId="2" w16cid:durableId="524438613">
    <w:abstractNumId w:val="2"/>
  </w:num>
  <w:num w:numId="3" w16cid:durableId="11542850">
    <w:abstractNumId w:val="3"/>
  </w:num>
  <w:num w:numId="4" w16cid:durableId="86791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9B"/>
    <w:rsid w:val="000340B6"/>
    <w:rsid w:val="00150ACA"/>
    <w:rsid w:val="002E0D9B"/>
    <w:rsid w:val="0034201F"/>
    <w:rsid w:val="00423FE2"/>
    <w:rsid w:val="00526848"/>
    <w:rsid w:val="008145EE"/>
    <w:rsid w:val="00973A6B"/>
    <w:rsid w:val="00A6569C"/>
    <w:rsid w:val="00AB0975"/>
    <w:rsid w:val="00AC2370"/>
    <w:rsid w:val="00B15FDA"/>
    <w:rsid w:val="00B65D94"/>
    <w:rsid w:val="00BB34FD"/>
    <w:rsid w:val="00D65F8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D08C8"/>
  <w15:docId w15:val="{178800EC-1DAB-4033-98FC-C3DF03E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48" w:lineRule="exact"/>
      <w:ind w:left="4"/>
    </w:pPr>
  </w:style>
  <w:style w:type="character" w:styleId="Hyperlink">
    <w:name w:val="Hyperlink"/>
    <w:basedOn w:val="DefaultParagraphFont"/>
    <w:uiPriority w:val="99"/>
    <w:unhideWhenUsed/>
    <w:rsid w:val="00526848"/>
    <w:rPr>
      <w:color w:val="0000FF" w:themeColor="hyperlink"/>
      <w:u w:val="single"/>
    </w:rPr>
  </w:style>
  <w:style w:type="character" w:styleId="UnresolvedMention">
    <w:name w:val="Unresolved Mention"/>
    <w:basedOn w:val="DefaultParagraphFont"/>
    <w:uiPriority w:val="99"/>
    <w:semiHidden/>
    <w:unhideWhenUsed/>
    <w:rsid w:val="00A6569C"/>
    <w:rPr>
      <w:color w:val="605E5C"/>
      <w:shd w:val="clear" w:color="auto" w:fill="E1DFDD"/>
    </w:rPr>
  </w:style>
  <w:style w:type="paragraph" w:styleId="Revision">
    <w:name w:val="Revision"/>
    <w:hidden/>
    <w:uiPriority w:val="99"/>
    <w:semiHidden/>
    <w:rsid w:val="008145E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14">
      <w:bodyDiv w:val="1"/>
      <w:marLeft w:val="0"/>
      <w:marRight w:val="0"/>
      <w:marTop w:val="0"/>
      <w:marBottom w:val="0"/>
      <w:divBdr>
        <w:top w:val="none" w:sz="0" w:space="0" w:color="auto"/>
        <w:left w:val="none" w:sz="0" w:space="0" w:color="auto"/>
        <w:bottom w:val="none" w:sz="0" w:space="0" w:color="auto"/>
        <w:right w:val="none" w:sz="0" w:space="0" w:color="auto"/>
      </w:divBdr>
    </w:div>
    <w:div w:id="447436583">
      <w:bodyDiv w:val="1"/>
      <w:marLeft w:val="0"/>
      <w:marRight w:val="0"/>
      <w:marTop w:val="0"/>
      <w:marBottom w:val="0"/>
      <w:divBdr>
        <w:top w:val="none" w:sz="0" w:space="0" w:color="auto"/>
        <w:left w:val="none" w:sz="0" w:space="0" w:color="auto"/>
        <w:bottom w:val="none" w:sz="0" w:space="0" w:color="auto"/>
        <w:right w:val="none" w:sz="0" w:space="0" w:color="auto"/>
      </w:divBdr>
    </w:div>
    <w:div w:id="479613356">
      <w:bodyDiv w:val="1"/>
      <w:marLeft w:val="0"/>
      <w:marRight w:val="0"/>
      <w:marTop w:val="0"/>
      <w:marBottom w:val="0"/>
      <w:divBdr>
        <w:top w:val="none" w:sz="0" w:space="0" w:color="auto"/>
        <w:left w:val="none" w:sz="0" w:space="0" w:color="auto"/>
        <w:bottom w:val="none" w:sz="0" w:space="0" w:color="auto"/>
        <w:right w:val="none" w:sz="0" w:space="0" w:color="auto"/>
      </w:divBdr>
    </w:div>
    <w:div w:id="1280916517">
      <w:bodyDiv w:val="1"/>
      <w:marLeft w:val="0"/>
      <w:marRight w:val="0"/>
      <w:marTop w:val="0"/>
      <w:marBottom w:val="0"/>
      <w:divBdr>
        <w:top w:val="none" w:sz="0" w:space="0" w:color="auto"/>
        <w:left w:val="none" w:sz="0" w:space="0" w:color="auto"/>
        <w:bottom w:val="none" w:sz="0" w:space="0" w:color="auto"/>
        <w:right w:val="none" w:sz="0" w:space="0" w:color="auto"/>
      </w:divBdr>
    </w:div>
    <w:div w:id="1533378318">
      <w:bodyDiv w:val="1"/>
      <w:marLeft w:val="0"/>
      <w:marRight w:val="0"/>
      <w:marTop w:val="0"/>
      <w:marBottom w:val="0"/>
      <w:divBdr>
        <w:top w:val="none" w:sz="0" w:space="0" w:color="auto"/>
        <w:left w:val="none" w:sz="0" w:space="0" w:color="auto"/>
        <w:bottom w:val="none" w:sz="0" w:space="0" w:color="auto"/>
        <w:right w:val="none" w:sz="0" w:space="0" w:color="auto"/>
      </w:divBdr>
    </w:div>
    <w:div w:id="189847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1257</Words>
  <Characters>6314</Characters>
  <Application>Microsoft Office Word</Application>
  <DocSecurity>0</DocSecurity>
  <Lines>394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Norah Vollmer</dc:creator>
  <cp:lastModifiedBy>Angel Wagner</cp:lastModifiedBy>
  <cp:revision>3</cp:revision>
  <dcterms:created xsi:type="dcterms:W3CDTF">2023-09-11T18:42:00Z</dcterms:created>
  <dcterms:modified xsi:type="dcterms:W3CDTF">2023-09-11T19:11:00Z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for Microsoft 365</vt:lpwstr>
  </property>
  <property fmtid="{D5CDD505-2E9C-101B-9397-08002B2CF9AE}" pid="4" name="LastSaved">
    <vt:filetime>2023-09-06T00:00:00Z</vt:filetime>
  </property>
  <property fmtid="{D5CDD505-2E9C-101B-9397-08002B2CF9AE}" pid="5" name="Producer">
    <vt:lpwstr>Microsoft® Word for Microsoft 365</vt:lpwstr>
  </property>
  <property fmtid="{D5CDD505-2E9C-101B-9397-08002B2CF9AE}" pid="6" name="GrammarlyDocumentId">
    <vt:lpwstr>7a5907b513292c2b770c17efbef2e9bc0d92c9e3be68d69a7f1da47e28e7a2d1</vt:lpwstr>
  </property>
</Properties>
</file>