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BA345" w14:textId="77777777" w:rsidR="00856671" w:rsidRPr="00DC48E7" w:rsidRDefault="002B7858" w:rsidP="002B7858">
      <w:pPr>
        <w:jc w:val="center"/>
        <w:rPr>
          <w:lang w:val="en-AU"/>
        </w:rPr>
      </w:pPr>
      <w:r w:rsidRPr="00DC48E7">
        <w:rPr>
          <w:b/>
          <w:lang w:val="en-AU"/>
        </w:rPr>
        <w:t>EUROPEAN INTEGRATON AND EUROPEAN SECURITY</w:t>
      </w:r>
      <w:r w:rsidRPr="00DC48E7">
        <w:rPr>
          <w:lang w:val="en-AU"/>
        </w:rPr>
        <w:t xml:space="preserve"> </w:t>
      </w:r>
    </w:p>
    <w:p w14:paraId="78F36C19" w14:textId="77777777" w:rsidR="002B7858" w:rsidRPr="00DC48E7" w:rsidRDefault="002B7858" w:rsidP="002B7858">
      <w:pPr>
        <w:jc w:val="center"/>
        <w:rPr>
          <w:lang w:val="en-AU"/>
        </w:rPr>
      </w:pPr>
      <w:r w:rsidRPr="00DC48E7">
        <w:rPr>
          <w:lang w:val="en-AU"/>
        </w:rPr>
        <w:t>(draft outline</w:t>
      </w:r>
      <w:r w:rsidR="00F15123" w:rsidRPr="00DC48E7">
        <w:rPr>
          <w:lang w:val="en-AU"/>
        </w:rPr>
        <w:t xml:space="preserve"> – may be amended</w:t>
      </w:r>
      <w:r w:rsidRPr="00DC48E7">
        <w:rPr>
          <w:lang w:val="en-AU"/>
        </w:rPr>
        <w:t>)</w:t>
      </w:r>
    </w:p>
    <w:p w14:paraId="2D86F9B6" w14:textId="77777777" w:rsidR="002B7858" w:rsidRPr="00DC48E7" w:rsidRDefault="002B7858" w:rsidP="00F15123">
      <w:pPr>
        <w:jc w:val="center"/>
        <w:rPr>
          <w:lang w:val="en-AU"/>
        </w:rPr>
      </w:pPr>
      <w:r w:rsidRPr="00DC48E7">
        <w:rPr>
          <w:lang w:val="en-AU"/>
        </w:rPr>
        <w:t>EURR 4104</w:t>
      </w:r>
      <w:r w:rsidR="0066158C" w:rsidRPr="00DC48E7">
        <w:rPr>
          <w:lang w:val="en-AU"/>
        </w:rPr>
        <w:t>A</w:t>
      </w:r>
      <w:r w:rsidRPr="00DC48E7">
        <w:rPr>
          <w:lang w:val="en-AU"/>
        </w:rPr>
        <w:t>/5104</w:t>
      </w:r>
      <w:r w:rsidR="0066158C" w:rsidRPr="00DC48E7">
        <w:rPr>
          <w:lang w:val="en-AU"/>
        </w:rPr>
        <w:t>A</w:t>
      </w:r>
      <w:r w:rsidRPr="00DC48E7">
        <w:rPr>
          <w:lang w:val="en-AU"/>
        </w:rPr>
        <w:t>, PSCI4608</w:t>
      </w:r>
      <w:r w:rsidR="0066158C" w:rsidRPr="00DC48E7">
        <w:rPr>
          <w:lang w:val="en-AU"/>
        </w:rPr>
        <w:t>A</w:t>
      </w:r>
      <w:r w:rsidRPr="00DC48E7">
        <w:rPr>
          <w:lang w:val="en-AU"/>
        </w:rPr>
        <w:t>/5608</w:t>
      </w:r>
      <w:r w:rsidR="0066158C" w:rsidRPr="00DC48E7">
        <w:rPr>
          <w:lang w:val="en-AU"/>
        </w:rPr>
        <w:t>A</w:t>
      </w:r>
    </w:p>
    <w:p w14:paraId="2E26940F" w14:textId="15EDF6C2" w:rsidR="002B7858" w:rsidRPr="00DC48E7" w:rsidRDefault="00D35486" w:rsidP="002B7858">
      <w:pPr>
        <w:jc w:val="center"/>
        <w:rPr>
          <w:lang w:val="en-AU"/>
        </w:rPr>
      </w:pPr>
      <w:r w:rsidRPr="00DC48E7">
        <w:rPr>
          <w:lang w:val="en-AU"/>
        </w:rPr>
        <w:t>Winter Term 2021</w:t>
      </w:r>
      <w:r w:rsidR="002B7858" w:rsidRPr="00DC48E7">
        <w:rPr>
          <w:lang w:val="en-AU"/>
        </w:rPr>
        <w:t xml:space="preserve">, </w:t>
      </w:r>
      <w:r w:rsidR="00DC48E7" w:rsidRPr="00DC48E7">
        <w:rPr>
          <w:lang w:val="en-AU"/>
        </w:rPr>
        <w:t>Tuesdays</w:t>
      </w:r>
      <w:r w:rsidR="002B7858" w:rsidRPr="00DC48E7">
        <w:rPr>
          <w:lang w:val="en-AU"/>
        </w:rPr>
        <w:t xml:space="preserve"> </w:t>
      </w:r>
      <w:r w:rsidR="00F0521F">
        <w:rPr>
          <w:lang w:val="en-AU"/>
        </w:rPr>
        <w:t>18:05</w:t>
      </w:r>
      <w:r w:rsidR="00DC48E7" w:rsidRPr="00DC48E7">
        <w:rPr>
          <w:lang w:val="en-AU"/>
        </w:rPr>
        <w:t>-</w:t>
      </w:r>
      <w:r w:rsidR="00F0521F">
        <w:rPr>
          <w:lang w:val="en-AU"/>
        </w:rPr>
        <w:t>20:55</w:t>
      </w:r>
    </w:p>
    <w:p w14:paraId="629689B0" w14:textId="332CD95B" w:rsidR="003174E2" w:rsidRDefault="002B7858" w:rsidP="001F74F2">
      <w:pPr>
        <w:ind w:left="1440" w:firstLine="720"/>
        <w:rPr>
          <w:lang w:val="en-AU"/>
        </w:rPr>
      </w:pPr>
      <w:r w:rsidRPr="00D35486">
        <w:rPr>
          <w:color w:val="FFFF00"/>
          <w:lang w:val="en-AU"/>
        </w:rPr>
        <w:tab/>
      </w:r>
    </w:p>
    <w:p w14:paraId="4E966B8C" w14:textId="3DCE4B63" w:rsidR="00CC25F2" w:rsidRPr="009B383B" w:rsidRDefault="00254330" w:rsidP="009B383B">
      <w:pPr>
        <w:tabs>
          <w:tab w:val="left" w:pos="1"/>
          <w:tab w:val="left" w:pos="720"/>
          <w:tab w:val="left" w:pos="1440"/>
          <w:tab w:val="left" w:pos="2053"/>
          <w:tab w:val="left" w:pos="2160"/>
          <w:tab w:val="left" w:pos="2880"/>
          <w:tab w:val="left" w:pos="3600"/>
          <w:tab w:val="left" w:pos="4320"/>
          <w:tab w:val="left" w:pos="5040"/>
          <w:tab w:val="left" w:pos="5760"/>
          <w:tab w:val="left" w:pos="6480"/>
          <w:tab w:val="left" w:pos="7200"/>
          <w:tab w:val="left" w:pos="7920"/>
          <w:tab w:val="left" w:pos="8640"/>
        </w:tabs>
        <w:jc w:val="both"/>
        <w:rPr>
          <w:u w:val="single"/>
          <w:lang w:val="en-AU"/>
        </w:rPr>
      </w:pPr>
      <w:r w:rsidRPr="009B383B">
        <w:rPr>
          <w:u w:val="single"/>
          <w:lang w:val="en-AU"/>
        </w:rPr>
        <w:t>Instructor</w:t>
      </w:r>
      <w:r w:rsidR="002B7858" w:rsidRPr="009B383B">
        <w:rPr>
          <w:u w:val="single"/>
          <w:lang w:val="en-AU"/>
        </w:rPr>
        <w:t>:</w:t>
      </w:r>
    </w:p>
    <w:p w14:paraId="7BA8C9F3" w14:textId="6DECD0E2" w:rsidR="00CC25F2" w:rsidRPr="009B383B" w:rsidRDefault="00254330" w:rsidP="009B383B">
      <w:pPr>
        <w:tabs>
          <w:tab w:val="left" w:pos="1"/>
          <w:tab w:val="left" w:pos="720"/>
          <w:tab w:val="left" w:pos="1440"/>
          <w:tab w:val="left" w:pos="2053"/>
          <w:tab w:val="left" w:pos="2160"/>
          <w:tab w:val="left" w:pos="2880"/>
          <w:tab w:val="left" w:pos="3600"/>
          <w:tab w:val="left" w:pos="4320"/>
          <w:tab w:val="left" w:pos="5040"/>
          <w:tab w:val="left" w:pos="5760"/>
          <w:tab w:val="left" w:pos="6480"/>
          <w:tab w:val="left" w:pos="7200"/>
          <w:tab w:val="left" w:pos="7920"/>
          <w:tab w:val="left" w:pos="8640"/>
        </w:tabs>
        <w:jc w:val="both"/>
        <w:rPr>
          <w:lang w:val="en-AU"/>
        </w:rPr>
      </w:pPr>
      <w:r w:rsidRPr="009B383B">
        <w:rPr>
          <w:lang w:val="en-AU"/>
        </w:rPr>
        <w:t>Dr</w:t>
      </w:r>
      <w:r w:rsidR="00CC25F2" w:rsidRPr="009B383B">
        <w:rPr>
          <w:lang w:val="en-AU"/>
        </w:rPr>
        <w:t xml:space="preserve">. </w:t>
      </w:r>
      <w:r w:rsidR="00D35486" w:rsidRPr="009B383B">
        <w:rPr>
          <w:lang w:val="en-AU"/>
        </w:rPr>
        <w:t>Luca Ratti</w:t>
      </w:r>
    </w:p>
    <w:p w14:paraId="7D0C895F" w14:textId="64FEFE44" w:rsidR="00F0521F" w:rsidRPr="009B383B" w:rsidRDefault="00F0521F" w:rsidP="009B383B">
      <w:pPr>
        <w:jc w:val="both"/>
        <w:rPr>
          <w:rStyle w:val="Hyperlink"/>
          <w:color w:val="auto"/>
          <w:u w:val="none"/>
          <w:lang w:val="en-AU"/>
        </w:rPr>
      </w:pPr>
      <w:r w:rsidRPr="009B383B">
        <w:rPr>
          <w:rStyle w:val="Hyperlink"/>
          <w:color w:val="auto"/>
          <w:u w:val="none"/>
          <w:lang w:val="en-AU"/>
        </w:rPr>
        <w:t>Class location: Southam Hall 403</w:t>
      </w:r>
    </w:p>
    <w:p w14:paraId="7F8D9DBF" w14:textId="77777777" w:rsidR="00CC25F2" w:rsidRPr="009B383B" w:rsidRDefault="00CC25F2" w:rsidP="009B383B">
      <w:pPr>
        <w:jc w:val="both"/>
        <w:rPr>
          <w:rStyle w:val="Hyperlink"/>
          <w:color w:val="auto"/>
          <w:u w:val="none"/>
          <w:lang w:val="en-AU"/>
        </w:rPr>
      </w:pPr>
      <w:r w:rsidRPr="009B383B">
        <w:rPr>
          <w:rStyle w:val="Hyperlink"/>
          <w:color w:val="auto"/>
          <w:u w:val="none"/>
          <w:lang w:val="en-AU"/>
        </w:rPr>
        <w:t>Office:</w:t>
      </w:r>
      <w:r w:rsidR="006F0DFF" w:rsidRPr="009B383B">
        <w:rPr>
          <w:rStyle w:val="Hyperlink"/>
          <w:color w:val="auto"/>
          <w:u w:val="none"/>
          <w:lang w:val="en-AU"/>
        </w:rPr>
        <w:t xml:space="preserve"> See CULearn for office location</w:t>
      </w:r>
    </w:p>
    <w:p w14:paraId="76E9A98F" w14:textId="5DF78DEC" w:rsidR="00CC25F2" w:rsidRPr="009B383B" w:rsidRDefault="00CC25F2" w:rsidP="009B383B">
      <w:pPr>
        <w:jc w:val="both"/>
        <w:rPr>
          <w:rStyle w:val="Hyperlink"/>
          <w:color w:val="auto"/>
          <w:u w:val="none"/>
          <w:lang w:val="en-AU"/>
        </w:rPr>
      </w:pPr>
      <w:r w:rsidRPr="009B383B">
        <w:rPr>
          <w:rStyle w:val="Hyperlink"/>
          <w:color w:val="auto"/>
          <w:u w:val="none"/>
          <w:lang w:val="en-AU"/>
        </w:rPr>
        <w:t>Office Hours:</w:t>
      </w:r>
      <w:r w:rsidR="001B2E79" w:rsidRPr="009B383B">
        <w:rPr>
          <w:rStyle w:val="Hyperlink"/>
          <w:color w:val="auto"/>
          <w:u w:val="none"/>
          <w:lang w:val="en-AU"/>
        </w:rPr>
        <w:t xml:space="preserve"> </w:t>
      </w:r>
      <w:r w:rsidR="00F0521F" w:rsidRPr="009B383B">
        <w:rPr>
          <w:lang w:val="en-AU"/>
        </w:rPr>
        <w:t>B</w:t>
      </w:r>
      <w:r w:rsidR="00AE5FBE" w:rsidRPr="009B383B">
        <w:rPr>
          <w:lang w:val="en-AU"/>
        </w:rPr>
        <w:t>y appointment</w:t>
      </w:r>
    </w:p>
    <w:p w14:paraId="7D1AD8D8" w14:textId="43C6F6A6" w:rsidR="00CC25F2" w:rsidRPr="009B383B" w:rsidRDefault="00B71698" w:rsidP="009B383B">
      <w:pPr>
        <w:jc w:val="both"/>
        <w:rPr>
          <w:rStyle w:val="Hyperlink"/>
          <w:color w:val="auto"/>
          <w:u w:val="none"/>
          <w:lang w:val="en-AU"/>
        </w:rPr>
      </w:pPr>
      <w:r w:rsidRPr="009B383B">
        <w:rPr>
          <w:rStyle w:val="Hyperlink"/>
          <w:color w:val="auto"/>
          <w:u w:val="none"/>
          <w:lang w:val="en-AU"/>
        </w:rPr>
        <w:t xml:space="preserve">E-mail: </w:t>
      </w:r>
      <w:r w:rsidR="001B2E79" w:rsidRPr="009B383B">
        <w:rPr>
          <w:rStyle w:val="Hyperlink"/>
          <w:color w:val="auto"/>
          <w:u w:val="none"/>
          <w:lang w:val="en-AU"/>
        </w:rPr>
        <w:t xml:space="preserve"> </w:t>
      </w:r>
      <w:hyperlink r:id="rId7" w:history="1">
        <w:r w:rsidR="00254330" w:rsidRPr="009B383B">
          <w:rPr>
            <w:rStyle w:val="Hyperlink"/>
            <w:lang w:val="en-AU"/>
          </w:rPr>
          <w:t>l.ratti@aur.edu</w:t>
        </w:r>
      </w:hyperlink>
      <w:r w:rsidR="00F43F06" w:rsidRPr="009B383B">
        <w:rPr>
          <w:rStyle w:val="Hyperlink"/>
          <w:color w:val="auto"/>
          <w:u w:val="none"/>
          <w:lang w:val="en-AU"/>
        </w:rPr>
        <w:t xml:space="preserve"> </w:t>
      </w:r>
    </w:p>
    <w:p w14:paraId="09FDC717" w14:textId="77777777" w:rsidR="002B7858" w:rsidRPr="009B383B" w:rsidRDefault="002B7858" w:rsidP="009B383B">
      <w:pPr>
        <w:ind w:left="3600" w:firstLine="720"/>
        <w:jc w:val="both"/>
        <w:rPr>
          <w:lang w:val="en-AU"/>
        </w:rPr>
      </w:pPr>
    </w:p>
    <w:p w14:paraId="67CB7121" w14:textId="77777777" w:rsidR="002B7858" w:rsidRPr="009B383B" w:rsidRDefault="002B7858" w:rsidP="009B383B">
      <w:pPr>
        <w:jc w:val="both"/>
        <w:rPr>
          <w:b/>
          <w:lang w:val="en-AU"/>
        </w:rPr>
      </w:pPr>
      <w:r w:rsidRPr="009B383B">
        <w:rPr>
          <w:b/>
          <w:lang w:val="en-AU"/>
        </w:rPr>
        <w:t>GOALS OF THE COURSE</w:t>
      </w:r>
    </w:p>
    <w:p w14:paraId="02BFEC8A" w14:textId="77777777" w:rsidR="002B7858" w:rsidRPr="009B383B" w:rsidRDefault="002B7858" w:rsidP="009B383B">
      <w:pPr>
        <w:pStyle w:val="Default"/>
        <w:jc w:val="both"/>
        <w:rPr>
          <w:rFonts w:ascii="Times New Roman" w:hAnsi="Times New Roman" w:cs="Times New Roman"/>
          <w:lang w:val="en-AU"/>
        </w:rPr>
      </w:pPr>
      <w:r w:rsidRPr="009B383B">
        <w:rPr>
          <w:rFonts w:ascii="Times New Roman" w:hAnsi="Times New Roman" w:cs="Times New Roman"/>
          <w:lang w:val="en-AU"/>
        </w:rPr>
        <w:t xml:space="preserve">Among the most important goals of the course are the following: </w:t>
      </w:r>
    </w:p>
    <w:p w14:paraId="1DCA80CD" w14:textId="77777777" w:rsidR="00DC48E7" w:rsidRPr="009B383B" w:rsidRDefault="00DC48E7" w:rsidP="009B383B">
      <w:pPr>
        <w:pStyle w:val="Default"/>
        <w:jc w:val="both"/>
        <w:rPr>
          <w:rFonts w:ascii="Times New Roman" w:hAnsi="Times New Roman" w:cs="Times New Roman"/>
          <w:lang w:val="en-AU"/>
        </w:rPr>
      </w:pPr>
    </w:p>
    <w:p w14:paraId="17E20CAD" w14:textId="77777777" w:rsidR="002B7858" w:rsidRPr="009B383B" w:rsidRDefault="002B7858" w:rsidP="009B383B">
      <w:pPr>
        <w:pStyle w:val="ListParagraph"/>
        <w:numPr>
          <w:ilvl w:val="0"/>
          <w:numId w:val="3"/>
        </w:numPr>
        <w:contextualSpacing/>
        <w:jc w:val="both"/>
        <w:rPr>
          <w:lang w:val="en-AU"/>
        </w:rPr>
      </w:pPr>
      <w:r w:rsidRPr="009B383B">
        <w:rPr>
          <w:lang w:val="en-AU"/>
        </w:rPr>
        <w:t>To familiarize students with the main security challenges facing Europe</w:t>
      </w:r>
    </w:p>
    <w:p w14:paraId="0F098EAE" w14:textId="0B2D4AC8" w:rsidR="00D5794C" w:rsidRPr="009B383B" w:rsidRDefault="00D5794C" w:rsidP="009B383B">
      <w:pPr>
        <w:pStyle w:val="ListParagraph"/>
        <w:numPr>
          <w:ilvl w:val="0"/>
          <w:numId w:val="3"/>
        </w:numPr>
        <w:contextualSpacing/>
        <w:jc w:val="both"/>
        <w:rPr>
          <w:lang w:val="en-AU"/>
        </w:rPr>
      </w:pPr>
      <w:r w:rsidRPr="009B383B">
        <w:rPr>
          <w:lang w:val="en-AU"/>
        </w:rPr>
        <w:t>To familiarize students with the current European security architecture</w:t>
      </w:r>
    </w:p>
    <w:p w14:paraId="560D1893" w14:textId="77777777" w:rsidR="002B7858" w:rsidRPr="009B383B" w:rsidRDefault="002B7858" w:rsidP="009B383B">
      <w:pPr>
        <w:pStyle w:val="ListParagraph"/>
        <w:numPr>
          <w:ilvl w:val="0"/>
          <w:numId w:val="3"/>
        </w:numPr>
        <w:contextualSpacing/>
        <w:jc w:val="both"/>
        <w:rPr>
          <w:lang w:val="en-AU"/>
        </w:rPr>
      </w:pPr>
      <w:r w:rsidRPr="009B383B">
        <w:rPr>
          <w:lang w:val="en-AU"/>
        </w:rPr>
        <w:t>To problematize the concept of ‘security’ and its boundaries</w:t>
      </w:r>
    </w:p>
    <w:p w14:paraId="4F749412" w14:textId="77777777" w:rsidR="002B7858" w:rsidRPr="009B383B" w:rsidRDefault="002B7858" w:rsidP="009B383B">
      <w:pPr>
        <w:pStyle w:val="ListParagraph"/>
        <w:numPr>
          <w:ilvl w:val="0"/>
          <w:numId w:val="3"/>
        </w:numPr>
        <w:contextualSpacing/>
        <w:jc w:val="both"/>
        <w:rPr>
          <w:lang w:val="en-AU"/>
        </w:rPr>
      </w:pPr>
      <w:r w:rsidRPr="009B383B">
        <w:rPr>
          <w:lang w:val="en-AU"/>
        </w:rPr>
        <w:t>To learn about the EU’s security strategy, its origins, motivations, and influences</w:t>
      </w:r>
    </w:p>
    <w:p w14:paraId="639A9E2A" w14:textId="61874763" w:rsidR="00D5794C" w:rsidRPr="009B383B" w:rsidRDefault="00DC48E7" w:rsidP="009B383B">
      <w:pPr>
        <w:pStyle w:val="ListParagraph"/>
        <w:numPr>
          <w:ilvl w:val="0"/>
          <w:numId w:val="3"/>
        </w:numPr>
        <w:contextualSpacing/>
        <w:jc w:val="both"/>
        <w:rPr>
          <w:lang w:val="en-AU"/>
        </w:rPr>
      </w:pPr>
      <w:r w:rsidRPr="009B383B">
        <w:rPr>
          <w:lang w:val="en-AU"/>
        </w:rPr>
        <w:t>To understand the r</w:t>
      </w:r>
      <w:r w:rsidR="00D5794C" w:rsidRPr="009B383B">
        <w:rPr>
          <w:lang w:val="en-AU"/>
        </w:rPr>
        <w:t xml:space="preserve">elationship between NATO and the EU and NATO’s role in European security </w:t>
      </w:r>
    </w:p>
    <w:p w14:paraId="46615A1E" w14:textId="77777777" w:rsidR="002B7858" w:rsidRPr="009B383B" w:rsidRDefault="002B7858" w:rsidP="009B383B">
      <w:pPr>
        <w:pStyle w:val="ListParagraph"/>
        <w:numPr>
          <w:ilvl w:val="0"/>
          <w:numId w:val="3"/>
        </w:numPr>
        <w:contextualSpacing/>
        <w:jc w:val="both"/>
        <w:rPr>
          <w:lang w:val="en-AU"/>
        </w:rPr>
      </w:pPr>
      <w:r w:rsidRPr="009B383B">
        <w:rPr>
          <w:lang w:val="en-AU"/>
        </w:rPr>
        <w:t>To understa</w:t>
      </w:r>
      <w:r w:rsidR="00CC25F2" w:rsidRPr="009B383B">
        <w:rPr>
          <w:lang w:val="en-AU"/>
        </w:rPr>
        <w:t xml:space="preserve">nd the main security structures, policies, and practices </w:t>
      </w:r>
      <w:r w:rsidRPr="009B383B">
        <w:rPr>
          <w:lang w:val="en-AU"/>
        </w:rPr>
        <w:t>in the EU</w:t>
      </w:r>
    </w:p>
    <w:p w14:paraId="1FCB1A1A" w14:textId="77777777" w:rsidR="002B7858" w:rsidRPr="009B383B" w:rsidRDefault="002B7858" w:rsidP="009B383B">
      <w:pPr>
        <w:pStyle w:val="ListParagraph"/>
        <w:numPr>
          <w:ilvl w:val="0"/>
          <w:numId w:val="3"/>
        </w:numPr>
        <w:contextualSpacing/>
        <w:jc w:val="both"/>
        <w:rPr>
          <w:lang w:val="en-AU"/>
        </w:rPr>
      </w:pPr>
      <w:r w:rsidRPr="009B383B">
        <w:rPr>
          <w:lang w:val="en-AU"/>
        </w:rPr>
        <w:t>To relate EU security structures and processes to other security organizations and actors</w:t>
      </w:r>
      <w:r w:rsidR="00CC25F2" w:rsidRPr="009B383B">
        <w:rPr>
          <w:lang w:val="en-AU"/>
        </w:rPr>
        <w:t xml:space="preserve"> </w:t>
      </w:r>
    </w:p>
    <w:p w14:paraId="4DB50BD2" w14:textId="35CF7C7C" w:rsidR="002B7858" w:rsidRPr="009B383B" w:rsidRDefault="002B7858" w:rsidP="009B383B">
      <w:pPr>
        <w:pStyle w:val="ListParagraph"/>
        <w:numPr>
          <w:ilvl w:val="0"/>
          <w:numId w:val="3"/>
        </w:numPr>
        <w:contextualSpacing/>
        <w:jc w:val="both"/>
        <w:rPr>
          <w:lang w:val="en-AU"/>
        </w:rPr>
      </w:pPr>
      <w:r w:rsidRPr="009B383B">
        <w:rPr>
          <w:lang w:val="en-AU"/>
        </w:rPr>
        <w:t>To analyze the relationship between EU and EU Member state</w:t>
      </w:r>
      <w:r w:rsidR="00D5794C" w:rsidRPr="009B383B">
        <w:rPr>
          <w:lang w:val="en-AU"/>
        </w:rPr>
        <w:t>s</w:t>
      </w:r>
      <w:r w:rsidRPr="009B383B">
        <w:rPr>
          <w:lang w:val="en-AU"/>
        </w:rPr>
        <w:t xml:space="preserve"> approaches to security</w:t>
      </w:r>
    </w:p>
    <w:p w14:paraId="7CBBF829" w14:textId="1A20A05F" w:rsidR="00DC48E7" w:rsidRPr="009B383B" w:rsidRDefault="006D7034" w:rsidP="009B383B">
      <w:pPr>
        <w:pStyle w:val="ListParagraph"/>
        <w:numPr>
          <w:ilvl w:val="0"/>
          <w:numId w:val="3"/>
        </w:numPr>
        <w:contextualSpacing/>
        <w:jc w:val="both"/>
        <w:rPr>
          <w:lang w:val="en-AU"/>
        </w:rPr>
      </w:pPr>
      <w:r w:rsidRPr="009B383B">
        <w:rPr>
          <w:lang w:val="en-AU"/>
        </w:rPr>
        <w:t xml:space="preserve">To introduce students to the expanding array of </w:t>
      </w:r>
      <w:r w:rsidR="00DC48E7" w:rsidRPr="009B383B">
        <w:rPr>
          <w:lang w:val="en-AU"/>
        </w:rPr>
        <w:t>hybrid threats</w:t>
      </w:r>
      <w:r w:rsidRPr="009B383B">
        <w:rPr>
          <w:lang w:val="en-AU"/>
        </w:rPr>
        <w:t xml:space="preserve"> to European security</w:t>
      </w:r>
    </w:p>
    <w:p w14:paraId="35934FDB" w14:textId="77777777" w:rsidR="002B7858" w:rsidRPr="009B383B" w:rsidRDefault="002B7858" w:rsidP="009B383B">
      <w:pPr>
        <w:ind w:left="360"/>
        <w:contextualSpacing/>
        <w:jc w:val="both"/>
        <w:rPr>
          <w:lang w:val="en-AU"/>
        </w:rPr>
      </w:pPr>
    </w:p>
    <w:p w14:paraId="6F6B52DB" w14:textId="77777777" w:rsidR="002B7858" w:rsidRPr="009B383B" w:rsidRDefault="002B7858" w:rsidP="009B383B">
      <w:pPr>
        <w:contextualSpacing/>
        <w:jc w:val="both"/>
        <w:rPr>
          <w:lang w:val="en-AU"/>
        </w:rPr>
      </w:pPr>
      <w:r w:rsidRPr="009B383B">
        <w:rPr>
          <w:lang w:val="en-AU"/>
        </w:rPr>
        <w:t xml:space="preserve">The course will be run seminar style. Students are expected play an active role in the life of the class. Completion of course readings, participation in class discussions, class presentations, and a course paper will be required. </w:t>
      </w:r>
    </w:p>
    <w:p w14:paraId="035694A6" w14:textId="77777777" w:rsidR="002B7858" w:rsidRPr="009B383B" w:rsidRDefault="002B7858" w:rsidP="009B383B">
      <w:pPr>
        <w:jc w:val="both"/>
        <w:rPr>
          <w:lang w:val="en-AU"/>
        </w:rPr>
      </w:pPr>
    </w:p>
    <w:p w14:paraId="2B9145CD" w14:textId="77777777" w:rsidR="002B7858" w:rsidRPr="009B383B" w:rsidRDefault="002B7858" w:rsidP="009B383B">
      <w:pPr>
        <w:jc w:val="both"/>
        <w:rPr>
          <w:u w:val="single"/>
          <w:lang w:val="en-AU"/>
        </w:rPr>
      </w:pPr>
      <w:r w:rsidRPr="009B383B">
        <w:rPr>
          <w:u w:val="single"/>
          <w:lang w:val="en-AU"/>
        </w:rPr>
        <w:t>Requirements for 4000-level students:</w:t>
      </w:r>
    </w:p>
    <w:p w14:paraId="7F2F845D" w14:textId="77777777" w:rsidR="002B7858" w:rsidRPr="009B383B" w:rsidRDefault="002B7858" w:rsidP="009B383B">
      <w:pPr>
        <w:jc w:val="both"/>
        <w:rPr>
          <w:lang w:val="en-AU"/>
        </w:rPr>
      </w:pPr>
      <w:r w:rsidRPr="009B383B">
        <w:rPr>
          <w:lang w:val="en-AU"/>
        </w:rPr>
        <w:t>Seminar participation</w:t>
      </w:r>
      <w:r w:rsidRPr="009B383B">
        <w:rPr>
          <w:lang w:val="en-AU"/>
        </w:rPr>
        <w:tab/>
        <w:t xml:space="preserve">  </w:t>
      </w:r>
      <w:r w:rsidRPr="009B383B">
        <w:rPr>
          <w:lang w:val="en-AU"/>
        </w:rPr>
        <w:tab/>
      </w:r>
      <w:r w:rsidRPr="009B383B">
        <w:rPr>
          <w:lang w:val="en-AU"/>
        </w:rPr>
        <w:tab/>
        <w:t xml:space="preserve">                                                               </w:t>
      </w:r>
      <w:r w:rsidR="00F15123" w:rsidRPr="009B383B">
        <w:rPr>
          <w:lang w:val="en-AU"/>
        </w:rPr>
        <w:tab/>
      </w:r>
      <w:r w:rsidR="006A1F39" w:rsidRPr="009B383B">
        <w:rPr>
          <w:lang w:val="en-AU"/>
        </w:rPr>
        <w:t xml:space="preserve"> </w:t>
      </w:r>
      <w:r w:rsidR="006064D6" w:rsidRPr="009B383B">
        <w:rPr>
          <w:lang w:val="en-AU"/>
        </w:rPr>
        <w:t>25</w:t>
      </w:r>
      <w:r w:rsidRPr="009B383B">
        <w:rPr>
          <w:lang w:val="en-AU"/>
        </w:rPr>
        <w:t xml:space="preserve">% </w:t>
      </w:r>
    </w:p>
    <w:p w14:paraId="5CF5DB25" w14:textId="42F11872" w:rsidR="002B7858" w:rsidRPr="009B383B" w:rsidRDefault="00E637DC" w:rsidP="009B383B">
      <w:pPr>
        <w:jc w:val="both"/>
        <w:rPr>
          <w:lang w:val="en-AU"/>
        </w:rPr>
      </w:pPr>
      <w:r w:rsidRPr="009B383B">
        <w:rPr>
          <w:lang w:val="en-AU"/>
        </w:rPr>
        <w:t xml:space="preserve">Term paper proposal </w:t>
      </w:r>
      <w:r w:rsidR="007839D2" w:rsidRPr="009B383B">
        <w:rPr>
          <w:lang w:val="en-AU"/>
        </w:rPr>
        <w:t>(</w:t>
      </w:r>
      <w:r w:rsidR="006A1F39" w:rsidRPr="009B383B">
        <w:rPr>
          <w:lang w:val="en-AU"/>
        </w:rPr>
        <w:t xml:space="preserve">due </w:t>
      </w:r>
      <w:r w:rsidR="006D7034" w:rsidRPr="009B383B">
        <w:rPr>
          <w:lang w:val="en-AU"/>
        </w:rPr>
        <w:t>February 16</w:t>
      </w:r>
      <w:r w:rsidR="00660315" w:rsidRPr="009B383B">
        <w:rPr>
          <w:lang w:val="en-AU"/>
        </w:rPr>
        <w:t>, 5 p.m.</w:t>
      </w:r>
      <w:r w:rsidR="00E603AA" w:rsidRPr="009B383B">
        <w:rPr>
          <w:lang w:val="en-AU"/>
        </w:rPr>
        <w:t>)</w:t>
      </w:r>
      <w:r w:rsidR="002B7858" w:rsidRPr="009B383B">
        <w:rPr>
          <w:lang w:val="en-AU"/>
        </w:rPr>
        <w:tab/>
      </w:r>
      <w:r w:rsidR="002B7858" w:rsidRPr="009B383B">
        <w:rPr>
          <w:lang w:val="en-AU"/>
        </w:rPr>
        <w:tab/>
        <w:t xml:space="preserve">                   </w:t>
      </w:r>
      <w:r w:rsidR="00941108" w:rsidRPr="009B383B">
        <w:rPr>
          <w:lang w:val="en-AU"/>
        </w:rPr>
        <w:t xml:space="preserve">                 </w:t>
      </w:r>
      <w:r w:rsidR="00F43F06" w:rsidRPr="009B383B">
        <w:rPr>
          <w:lang w:val="en-AU"/>
        </w:rPr>
        <w:t xml:space="preserve"> </w:t>
      </w:r>
      <w:r w:rsidR="006A1F39" w:rsidRPr="009B383B">
        <w:rPr>
          <w:lang w:val="en-AU"/>
        </w:rPr>
        <w:t>10</w:t>
      </w:r>
      <w:r w:rsidR="00660315" w:rsidRPr="009B383B">
        <w:rPr>
          <w:lang w:val="en-AU"/>
        </w:rPr>
        <w:t>%</w:t>
      </w:r>
      <w:r w:rsidR="00A81746" w:rsidRPr="009B383B">
        <w:rPr>
          <w:lang w:val="en-AU"/>
        </w:rPr>
        <w:tab/>
      </w:r>
    </w:p>
    <w:p w14:paraId="5EE501EA" w14:textId="3CA96037" w:rsidR="002B7858" w:rsidRPr="009B383B" w:rsidRDefault="00B725C7" w:rsidP="009B383B">
      <w:pPr>
        <w:jc w:val="both"/>
        <w:rPr>
          <w:lang w:val="en-AU"/>
        </w:rPr>
      </w:pPr>
      <w:r w:rsidRPr="009B383B">
        <w:rPr>
          <w:lang w:val="en-AU"/>
        </w:rPr>
        <w:t>Term essay</w:t>
      </w:r>
      <w:r w:rsidR="00660315" w:rsidRPr="009B383B">
        <w:rPr>
          <w:lang w:val="en-AU"/>
        </w:rPr>
        <w:t xml:space="preserve"> (due </w:t>
      </w:r>
      <w:r w:rsidR="006D7034" w:rsidRPr="009B383B">
        <w:rPr>
          <w:lang w:val="en-AU"/>
        </w:rPr>
        <w:t xml:space="preserve">March 22, </w:t>
      </w:r>
      <w:r w:rsidR="00660315" w:rsidRPr="009B383B">
        <w:rPr>
          <w:lang w:val="en-AU"/>
        </w:rPr>
        <w:t>at noon</w:t>
      </w:r>
      <w:r w:rsidR="00E603AA" w:rsidRPr="009B383B">
        <w:rPr>
          <w:lang w:val="en-AU"/>
        </w:rPr>
        <w:t>)</w:t>
      </w:r>
      <w:r w:rsidR="002B7858" w:rsidRPr="009B383B">
        <w:rPr>
          <w:lang w:val="en-AU"/>
        </w:rPr>
        <w:tab/>
      </w:r>
      <w:r w:rsidR="002B7858" w:rsidRPr="009B383B">
        <w:rPr>
          <w:lang w:val="en-AU"/>
        </w:rPr>
        <w:tab/>
      </w:r>
      <w:r w:rsidR="002B7858" w:rsidRPr="009B383B">
        <w:rPr>
          <w:lang w:val="en-AU"/>
        </w:rPr>
        <w:tab/>
        <w:t xml:space="preserve">                    </w:t>
      </w:r>
      <w:r w:rsidR="006A1F39" w:rsidRPr="009B383B">
        <w:rPr>
          <w:lang w:val="en-AU"/>
        </w:rPr>
        <w:t xml:space="preserve">                            </w:t>
      </w:r>
      <w:r w:rsidR="00F15123" w:rsidRPr="009B383B">
        <w:rPr>
          <w:lang w:val="en-AU"/>
        </w:rPr>
        <w:t xml:space="preserve"> </w:t>
      </w:r>
      <w:r w:rsidR="00856671" w:rsidRPr="009B383B">
        <w:rPr>
          <w:lang w:val="en-AU"/>
        </w:rPr>
        <w:t>35</w:t>
      </w:r>
      <w:r w:rsidR="002B7858" w:rsidRPr="009B383B">
        <w:rPr>
          <w:lang w:val="en-AU"/>
        </w:rPr>
        <w:t>%</w:t>
      </w:r>
    </w:p>
    <w:p w14:paraId="1287684B" w14:textId="77777777" w:rsidR="00B725C7" w:rsidRPr="009B383B" w:rsidRDefault="00B725C7" w:rsidP="009B383B">
      <w:pPr>
        <w:jc w:val="both"/>
        <w:rPr>
          <w:lang w:val="en-AU"/>
        </w:rPr>
      </w:pPr>
      <w:r w:rsidRPr="009B383B">
        <w:rPr>
          <w:lang w:val="en-AU"/>
        </w:rPr>
        <w:t>Short c</w:t>
      </w:r>
      <w:r w:rsidR="002B7858" w:rsidRPr="009B383B">
        <w:rPr>
          <w:lang w:val="en-AU"/>
        </w:rPr>
        <w:t xml:space="preserve">lass presentation on weekly readings    </w:t>
      </w:r>
      <w:r w:rsidR="002B7858" w:rsidRPr="009B383B">
        <w:rPr>
          <w:lang w:val="en-AU"/>
        </w:rPr>
        <w:tab/>
      </w:r>
      <w:r w:rsidR="002B7858" w:rsidRPr="009B383B">
        <w:rPr>
          <w:lang w:val="en-AU"/>
        </w:rPr>
        <w:tab/>
      </w:r>
      <w:r w:rsidR="002B7858" w:rsidRPr="009B383B">
        <w:rPr>
          <w:lang w:val="en-AU"/>
        </w:rPr>
        <w:tab/>
        <w:t xml:space="preserve">             </w:t>
      </w:r>
      <w:r w:rsidRPr="009B383B">
        <w:rPr>
          <w:lang w:val="en-AU"/>
        </w:rPr>
        <w:t xml:space="preserve">   </w:t>
      </w:r>
      <w:r w:rsidR="006064D6" w:rsidRPr="009B383B">
        <w:rPr>
          <w:lang w:val="en-AU"/>
        </w:rPr>
        <w:tab/>
        <w:t xml:space="preserve"> </w:t>
      </w:r>
      <w:r w:rsidR="006A1F39" w:rsidRPr="009B383B">
        <w:rPr>
          <w:lang w:val="en-AU"/>
        </w:rPr>
        <w:t>10</w:t>
      </w:r>
      <w:r w:rsidR="002B7858" w:rsidRPr="009B383B">
        <w:rPr>
          <w:lang w:val="en-AU"/>
        </w:rPr>
        <w:t>%</w:t>
      </w:r>
    </w:p>
    <w:p w14:paraId="6FB8C981" w14:textId="77777777" w:rsidR="002B7858" w:rsidRPr="009B383B" w:rsidRDefault="00B725C7" w:rsidP="009B383B">
      <w:pPr>
        <w:jc w:val="both"/>
        <w:rPr>
          <w:lang w:val="en-AU"/>
        </w:rPr>
      </w:pPr>
      <w:r w:rsidRPr="009B383B">
        <w:rPr>
          <w:lang w:val="en-AU"/>
        </w:rPr>
        <w:t xml:space="preserve">Position paper </w:t>
      </w:r>
      <w:r w:rsidR="00E637DC" w:rsidRPr="009B383B">
        <w:rPr>
          <w:lang w:val="en-AU"/>
        </w:rPr>
        <w:t xml:space="preserve">and its presentation </w:t>
      </w:r>
      <w:r w:rsidR="00856671" w:rsidRPr="009B383B">
        <w:rPr>
          <w:lang w:val="en-AU"/>
        </w:rPr>
        <w:t>(4</w:t>
      </w:r>
      <w:r w:rsidRPr="009B383B">
        <w:rPr>
          <w:lang w:val="en-AU"/>
        </w:rPr>
        <w:t xml:space="preserve"> pages)</w:t>
      </w:r>
      <w:r w:rsidRPr="009B383B">
        <w:rPr>
          <w:lang w:val="en-AU"/>
        </w:rPr>
        <w:tab/>
      </w:r>
      <w:r w:rsidRPr="009B383B">
        <w:rPr>
          <w:lang w:val="en-AU"/>
        </w:rPr>
        <w:tab/>
      </w:r>
      <w:r w:rsidRPr="009B383B">
        <w:rPr>
          <w:lang w:val="en-AU"/>
        </w:rPr>
        <w:tab/>
      </w:r>
      <w:r w:rsidR="00E637DC" w:rsidRPr="009B383B">
        <w:rPr>
          <w:lang w:val="en-AU"/>
        </w:rPr>
        <w:tab/>
        <w:t xml:space="preserve">  </w:t>
      </w:r>
      <w:r w:rsidR="006A1F39" w:rsidRPr="009B383B">
        <w:rPr>
          <w:lang w:val="en-AU"/>
        </w:rPr>
        <w:t xml:space="preserve">                       </w:t>
      </w:r>
      <w:r w:rsidR="00856671" w:rsidRPr="009B383B">
        <w:rPr>
          <w:lang w:val="en-AU"/>
        </w:rPr>
        <w:t>20</w:t>
      </w:r>
      <w:r w:rsidRPr="009B383B">
        <w:rPr>
          <w:lang w:val="en-AU"/>
        </w:rPr>
        <w:t xml:space="preserve">%  </w:t>
      </w:r>
      <w:r w:rsidR="002B7858" w:rsidRPr="009B383B">
        <w:rPr>
          <w:lang w:val="en-AU"/>
        </w:rPr>
        <w:t xml:space="preserve"> </w:t>
      </w:r>
    </w:p>
    <w:p w14:paraId="1F1745EA" w14:textId="77777777" w:rsidR="002B7858" w:rsidRPr="009B383B" w:rsidRDefault="002B7858" w:rsidP="009B383B">
      <w:pPr>
        <w:jc w:val="both"/>
        <w:rPr>
          <w:lang w:val="en-AU"/>
        </w:rPr>
      </w:pPr>
    </w:p>
    <w:p w14:paraId="5AE1D2C9" w14:textId="77777777" w:rsidR="002B7858" w:rsidRPr="009B383B" w:rsidRDefault="002B7858" w:rsidP="009B383B">
      <w:pPr>
        <w:jc w:val="both"/>
        <w:rPr>
          <w:u w:val="single"/>
          <w:lang w:val="en-AU"/>
        </w:rPr>
      </w:pPr>
      <w:r w:rsidRPr="009B383B">
        <w:rPr>
          <w:u w:val="single"/>
          <w:lang w:val="en-AU"/>
        </w:rPr>
        <w:t>Requirements for 5000-level students:</w:t>
      </w:r>
    </w:p>
    <w:p w14:paraId="24604C60" w14:textId="77777777" w:rsidR="002B7858" w:rsidRPr="009B383B" w:rsidRDefault="002B7858" w:rsidP="009B383B">
      <w:pPr>
        <w:jc w:val="both"/>
        <w:rPr>
          <w:lang w:val="en-AU"/>
        </w:rPr>
      </w:pPr>
      <w:r w:rsidRPr="009B383B">
        <w:rPr>
          <w:lang w:val="en-AU"/>
        </w:rPr>
        <w:t>Seminar participation</w:t>
      </w:r>
      <w:r w:rsidRPr="009B383B">
        <w:rPr>
          <w:lang w:val="en-AU"/>
        </w:rPr>
        <w:tab/>
        <w:t xml:space="preserve">  </w:t>
      </w:r>
      <w:r w:rsidRPr="009B383B">
        <w:rPr>
          <w:lang w:val="en-AU"/>
        </w:rPr>
        <w:tab/>
      </w:r>
      <w:r w:rsidRPr="009B383B">
        <w:rPr>
          <w:lang w:val="en-AU"/>
        </w:rPr>
        <w:tab/>
        <w:t xml:space="preserve">                                                                </w:t>
      </w:r>
      <w:r w:rsidR="00F15123" w:rsidRPr="009B383B">
        <w:rPr>
          <w:lang w:val="en-AU"/>
        </w:rPr>
        <w:tab/>
      </w:r>
      <w:r w:rsidR="00304BE7" w:rsidRPr="009B383B">
        <w:rPr>
          <w:lang w:val="en-AU"/>
        </w:rPr>
        <w:t xml:space="preserve"> </w:t>
      </w:r>
      <w:r w:rsidR="00660315" w:rsidRPr="009B383B">
        <w:rPr>
          <w:lang w:val="en-AU"/>
        </w:rPr>
        <w:t>20</w:t>
      </w:r>
      <w:r w:rsidRPr="009B383B">
        <w:rPr>
          <w:lang w:val="en-AU"/>
        </w:rPr>
        <w:t xml:space="preserve">% </w:t>
      </w:r>
    </w:p>
    <w:p w14:paraId="1D5ED32C" w14:textId="6262277A" w:rsidR="002B7858" w:rsidRPr="009B383B" w:rsidRDefault="00E637DC" w:rsidP="009B383B">
      <w:pPr>
        <w:jc w:val="both"/>
        <w:rPr>
          <w:lang w:val="en-AU"/>
        </w:rPr>
      </w:pPr>
      <w:r w:rsidRPr="009B383B">
        <w:rPr>
          <w:lang w:val="en-AU"/>
        </w:rPr>
        <w:t xml:space="preserve">Term paper proposal </w:t>
      </w:r>
      <w:r w:rsidR="00660315" w:rsidRPr="009B383B">
        <w:rPr>
          <w:lang w:val="en-AU"/>
        </w:rPr>
        <w:t>(</w:t>
      </w:r>
      <w:r w:rsidR="006A1F39" w:rsidRPr="009B383B">
        <w:rPr>
          <w:lang w:val="en-AU"/>
        </w:rPr>
        <w:t xml:space="preserve">due </w:t>
      </w:r>
      <w:r w:rsidR="006D7034" w:rsidRPr="009B383B">
        <w:rPr>
          <w:lang w:val="en-AU"/>
        </w:rPr>
        <w:t xml:space="preserve">February 16, </w:t>
      </w:r>
      <w:r w:rsidR="006A1F39" w:rsidRPr="009B383B">
        <w:rPr>
          <w:lang w:val="en-AU"/>
        </w:rPr>
        <w:t>5 p.m.</w:t>
      </w:r>
      <w:r w:rsidR="00E603AA" w:rsidRPr="009B383B">
        <w:rPr>
          <w:lang w:val="en-AU"/>
        </w:rPr>
        <w:t>)</w:t>
      </w:r>
      <w:r w:rsidR="007839D2" w:rsidRPr="009B383B">
        <w:rPr>
          <w:lang w:val="en-AU"/>
        </w:rPr>
        <w:t xml:space="preserve"> </w:t>
      </w:r>
      <w:r w:rsidR="002B7858" w:rsidRPr="009B383B">
        <w:rPr>
          <w:lang w:val="en-AU"/>
        </w:rPr>
        <w:t xml:space="preserve">                       </w:t>
      </w:r>
      <w:r w:rsidR="00B725C7" w:rsidRPr="009B383B">
        <w:rPr>
          <w:lang w:val="en-AU"/>
        </w:rPr>
        <w:t xml:space="preserve">                             </w:t>
      </w:r>
      <w:r w:rsidR="00F15123" w:rsidRPr="009B383B">
        <w:rPr>
          <w:lang w:val="en-AU"/>
        </w:rPr>
        <w:tab/>
      </w:r>
      <w:r w:rsidR="00B725C7" w:rsidRPr="009B383B">
        <w:rPr>
          <w:lang w:val="en-AU"/>
        </w:rPr>
        <w:t xml:space="preserve"> </w:t>
      </w:r>
      <w:r w:rsidR="006A1F39" w:rsidRPr="009B383B">
        <w:rPr>
          <w:lang w:val="en-AU"/>
        </w:rPr>
        <w:t xml:space="preserve">5 </w:t>
      </w:r>
      <w:r w:rsidR="00660315" w:rsidRPr="009B383B">
        <w:rPr>
          <w:lang w:val="en-AU"/>
        </w:rPr>
        <w:t>%</w:t>
      </w:r>
    </w:p>
    <w:p w14:paraId="59D7FFB9" w14:textId="3584DA8D" w:rsidR="002B7858" w:rsidRPr="009B383B" w:rsidRDefault="00B725C7" w:rsidP="009B383B">
      <w:pPr>
        <w:jc w:val="both"/>
        <w:rPr>
          <w:lang w:val="en-AU"/>
        </w:rPr>
      </w:pPr>
      <w:r w:rsidRPr="009B383B">
        <w:rPr>
          <w:lang w:val="en-AU"/>
        </w:rPr>
        <w:t>Term essay (</w:t>
      </w:r>
      <w:r w:rsidR="006D7034" w:rsidRPr="009B383B">
        <w:rPr>
          <w:lang w:val="en-AU"/>
        </w:rPr>
        <w:t xml:space="preserve">due March 22, </w:t>
      </w:r>
      <w:r w:rsidR="006A1F39" w:rsidRPr="009B383B">
        <w:rPr>
          <w:lang w:val="en-AU"/>
        </w:rPr>
        <w:t>at noon</w:t>
      </w:r>
      <w:r w:rsidR="00E603AA" w:rsidRPr="009B383B">
        <w:rPr>
          <w:lang w:val="en-AU"/>
        </w:rPr>
        <w:t>)</w:t>
      </w:r>
      <w:r w:rsidR="002B7858" w:rsidRPr="009B383B">
        <w:rPr>
          <w:lang w:val="en-AU"/>
        </w:rPr>
        <w:tab/>
      </w:r>
      <w:r w:rsidR="002B7858" w:rsidRPr="009B383B">
        <w:rPr>
          <w:lang w:val="en-AU"/>
        </w:rPr>
        <w:tab/>
        <w:t xml:space="preserve">                                                  </w:t>
      </w:r>
      <w:r w:rsidR="006A1F39" w:rsidRPr="009B383B">
        <w:rPr>
          <w:lang w:val="en-AU"/>
        </w:rPr>
        <w:tab/>
      </w:r>
      <w:r w:rsidR="00660315" w:rsidRPr="009B383B">
        <w:rPr>
          <w:lang w:val="en-AU"/>
        </w:rPr>
        <w:t xml:space="preserve"> 35</w:t>
      </w:r>
      <w:r w:rsidR="002B7858" w:rsidRPr="009B383B">
        <w:rPr>
          <w:lang w:val="en-AU"/>
        </w:rPr>
        <w:t>%</w:t>
      </w:r>
    </w:p>
    <w:p w14:paraId="4E7A33A6" w14:textId="77777777" w:rsidR="00B725C7" w:rsidRPr="009B383B" w:rsidRDefault="001E7990" w:rsidP="009B383B">
      <w:pPr>
        <w:jc w:val="both"/>
        <w:rPr>
          <w:lang w:val="en-AU"/>
        </w:rPr>
      </w:pPr>
      <w:r w:rsidRPr="009B383B">
        <w:rPr>
          <w:lang w:val="en-AU"/>
        </w:rPr>
        <w:t>Expert</w:t>
      </w:r>
      <w:r w:rsidR="00B725C7" w:rsidRPr="009B383B">
        <w:rPr>
          <w:lang w:val="en-AU"/>
        </w:rPr>
        <w:t xml:space="preserve"> presentation </w:t>
      </w:r>
      <w:r w:rsidR="002B7858" w:rsidRPr="009B383B">
        <w:rPr>
          <w:lang w:val="en-AU"/>
        </w:rPr>
        <w:t xml:space="preserve"> (with extra readings</w:t>
      </w:r>
      <w:r w:rsidR="00B725C7" w:rsidRPr="009B383B">
        <w:rPr>
          <w:lang w:val="en-AU"/>
        </w:rPr>
        <w:t xml:space="preserve"> and power point slides</w:t>
      </w:r>
      <w:r w:rsidR="002B7858" w:rsidRPr="009B383B">
        <w:rPr>
          <w:lang w:val="en-AU"/>
        </w:rPr>
        <w:t xml:space="preserve">)                </w:t>
      </w:r>
      <w:r w:rsidR="00B725C7" w:rsidRPr="009B383B">
        <w:rPr>
          <w:lang w:val="en-AU"/>
        </w:rPr>
        <w:t xml:space="preserve">     </w:t>
      </w:r>
      <w:r w:rsidR="00F15123" w:rsidRPr="009B383B">
        <w:rPr>
          <w:lang w:val="en-AU"/>
        </w:rPr>
        <w:t xml:space="preserve"> </w:t>
      </w:r>
      <w:r w:rsidR="00660315" w:rsidRPr="009B383B">
        <w:rPr>
          <w:lang w:val="en-AU"/>
        </w:rPr>
        <w:t xml:space="preserve"> </w:t>
      </w:r>
      <w:r w:rsidR="006A1F39" w:rsidRPr="009B383B">
        <w:rPr>
          <w:lang w:val="en-AU"/>
        </w:rPr>
        <w:t xml:space="preserve">      </w:t>
      </w:r>
      <w:r w:rsidR="006064D6" w:rsidRPr="009B383B">
        <w:rPr>
          <w:lang w:val="en-AU"/>
        </w:rPr>
        <w:t>20</w:t>
      </w:r>
      <w:r w:rsidR="00B725C7" w:rsidRPr="009B383B">
        <w:rPr>
          <w:lang w:val="en-AU"/>
        </w:rPr>
        <w:t>%</w:t>
      </w:r>
    </w:p>
    <w:p w14:paraId="411C402B" w14:textId="77777777" w:rsidR="00B725C7" w:rsidRPr="009B383B" w:rsidRDefault="00B725C7" w:rsidP="009B383B">
      <w:pPr>
        <w:jc w:val="both"/>
        <w:rPr>
          <w:lang w:val="en-AU"/>
        </w:rPr>
      </w:pPr>
      <w:r w:rsidRPr="009B383B">
        <w:rPr>
          <w:lang w:val="en-AU"/>
        </w:rPr>
        <w:t>Position paper (5</w:t>
      </w:r>
      <w:r w:rsidR="00DF4F89" w:rsidRPr="009B383B">
        <w:rPr>
          <w:lang w:val="en-AU"/>
        </w:rPr>
        <w:t xml:space="preserve"> </w:t>
      </w:r>
      <w:r w:rsidRPr="009B383B">
        <w:rPr>
          <w:lang w:val="en-AU"/>
        </w:rPr>
        <w:t>pages)</w:t>
      </w:r>
      <w:r w:rsidRPr="009B383B">
        <w:rPr>
          <w:lang w:val="en-AU"/>
        </w:rPr>
        <w:tab/>
      </w:r>
      <w:r w:rsidRPr="009B383B">
        <w:rPr>
          <w:lang w:val="en-AU"/>
        </w:rPr>
        <w:tab/>
      </w:r>
      <w:r w:rsidRPr="009B383B">
        <w:rPr>
          <w:lang w:val="en-AU"/>
        </w:rPr>
        <w:tab/>
      </w:r>
      <w:r w:rsidRPr="009B383B">
        <w:rPr>
          <w:lang w:val="en-AU"/>
        </w:rPr>
        <w:tab/>
      </w:r>
      <w:r w:rsidRPr="009B383B">
        <w:rPr>
          <w:lang w:val="en-AU"/>
        </w:rPr>
        <w:tab/>
      </w:r>
      <w:r w:rsidRPr="009B383B">
        <w:rPr>
          <w:lang w:val="en-AU"/>
        </w:rPr>
        <w:tab/>
        <w:t xml:space="preserve">                 </w:t>
      </w:r>
      <w:r w:rsidR="00F15123" w:rsidRPr="009B383B">
        <w:rPr>
          <w:lang w:val="en-AU"/>
        </w:rPr>
        <w:tab/>
      </w:r>
      <w:r w:rsidR="00856671" w:rsidRPr="009B383B">
        <w:rPr>
          <w:lang w:val="en-AU"/>
        </w:rPr>
        <w:t xml:space="preserve"> </w:t>
      </w:r>
      <w:r w:rsidR="006064D6" w:rsidRPr="009B383B">
        <w:rPr>
          <w:lang w:val="en-AU"/>
        </w:rPr>
        <w:t>20</w:t>
      </w:r>
      <w:r w:rsidRPr="009B383B">
        <w:rPr>
          <w:lang w:val="en-AU"/>
        </w:rPr>
        <w:t>%</w:t>
      </w:r>
    </w:p>
    <w:p w14:paraId="73D69BCB" w14:textId="77777777" w:rsidR="002B7858" w:rsidRPr="009B383B" w:rsidRDefault="002B7858" w:rsidP="009B383B">
      <w:pPr>
        <w:jc w:val="both"/>
        <w:rPr>
          <w:lang w:val="en-AU"/>
        </w:rPr>
      </w:pPr>
    </w:p>
    <w:p w14:paraId="0B23A359" w14:textId="77777777" w:rsidR="002B7858" w:rsidRPr="009B383B" w:rsidRDefault="002B7858" w:rsidP="009B383B">
      <w:pPr>
        <w:pStyle w:val="ListParagraph"/>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1"/>
        <w:jc w:val="both"/>
        <w:rPr>
          <w:lang w:val="en-AU"/>
        </w:rPr>
      </w:pPr>
    </w:p>
    <w:p w14:paraId="36439499" w14:textId="77777777" w:rsidR="00F43F06" w:rsidRPr="009B383B" w:rsidRDefault="00F43F06" w:rsidP="009B383B">
      <w:pPr>
        <w:pStyle w:val="ListParagraph"/>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1"/>
        <w:jc w:val="both"/>
        <w:rPr>
          <w:lang w:val="en-AU"/>
        </w:rPr>
      </w:pPr>
    </w:p>
    <w:p w14:paraId="713E56AF" w14:textId="77777777" w:rsidR="002B7858" w:rsidRPr="009B383B" w:rsidRDefault="002B7858" w:rsidP="009B383B">
      <w:pPr>
        <w:pStyle w:val="ListParagraph"/>
        <w:widowControl w:val="0"/>
        <w:numPr>
          <w:ilvl w:val="0"/>
          <w:numId w:val="5"/>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lang w:val="en-AU"/>
        </w:rPr>
      </w:pPr>
      <w:r w:rsidRPr="009B383B">
        <w:rPr>
          <w:u w:val="single"/>
          <w:lang w:val="en-AU"/>
        </w:rPr>
        <w:lastRenderedPageBreak/>
        <w:t>Seminar participation</w:t>
      </w:r>
      <w:r w:rsidRPr="009B383B">
        <w:rPr>
          <w:lang w:val="en-AU"/>
        </w:rPr>
        <w:t xml:space="preserve">. </w:t>
      </w:r>
      <w:r w:rsidR="00CC25F2" w:rsidRPr="009B383B">
        <w:rPr>
          <w:lang w:val="en-AU"/>
        </w:rPr>
        <w:t xml:space="preserve">Students are expected to attend all class sessions unless they present a valid medical or equivalent excuse. </w:t>
      </w:r>
      <w:r w:rsidRPr="009B383B">
        <w:rPr>
          <w:lang w:val="en-AU"/>
        </w:rPr>
        <w:t xml:space="preserve">Participation will be graded on the basis of attendance and the quality of regular contributions to the class discussion; familiarity with required course readings will be considered an important criterion of evaluation.  </w:t>
      </w:r>
      <w:r w:rsidR="00E637DC" w:rsidRPr="009B383B">
        <w:rPr>
          <w:lang w:val="en-AU"/>
        </w:rPr>
        <w:t xml:space="preserve">Please consult CULearn regularly, where discussion questions for class sessions may be posted. </w:t>
      </w:r>
      <w:r w:rsidRPr="009B383B">
        <w:rPr>
          <w:lang w:val="en-AU"/>
        </w:rPr>
        <w:t>Please consult with instructor if you are concerned about this element, as we will try to assist in facilitating your participation.</w:t>
      </w:r>
    </w:p>
    <w:p w14:paraId="7F90711B" w14:textId="77777777" w:rsidR="00475765" w:rsidRPr="009B383B" w:rsidRDefault="00475765" w:rsidP="009B383B">
      <w:pPr>
        <w:pStyle w:val="ListParagraph"/>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1"/>
        <w:jc w:val="both"/>
        <w:rPr>
          <w:u w:val="single"/>
          <w:lang w:val="en-AU"/>
        </w:rPr>
      </w:pPr>
    </w:p>
    <w:p w14:paraId="63500A9F" w14:textId="77777777" w:rsidR="00475765" w:rsidRPr="009B383B" w:rsidRDefault="00475765" w:rsidP="009B383B">
      <w:pPr>
        <w:pStyle w:val="ListParagraph"/>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1"/>
        <w:jc w:val="both"/>
        <w:rPr>
          <w:b/>
          <w:lang w:val="en-AU"/>
        </w:rPr>
      </w:pPr>
      <w:r w:rsidRPr="009B383B">
        <w:rPr>
          <w:lang w:val="en-AU"/>
        </w:rPr>
        <w:t>For an excused absence (e.g., valid medical excuse) you may write a short (3 pg) paper responding to 2-3 of the week’s discussion questions, referring to required readings, to avoid losing participation marks. This should be handed in within one week of the missed session. If this poses a problem, consult the instructor of the missed session. This option is not available for unexcused absences.</w:t>
      </w:r>
    </w:p>
    <w:p w14:paraId="10B472AC" w14:textId="77777777" w:rsidR="002B7858" w:rsidRPr="009B383B" w:rsidRDefault="002B7858" w:rsidP="009B383B">
      <w:pPr>
        <w:pStyle w:val="ListParagraph"/>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1"/>
        <w:jc w:val="both"/>
        <w:rPr>
          <w:b/>
          <w:lang w:val="en-AU"/>
        </w:rPr>
      </w:pPr>
    </w:p>
    <w:p w14:paraId="759FDC17" w14:textId="77777777" w:rsidR="002B7858" w:rsidRPr="009B383B" w:rsidRDefault="002B7858" w:rsidP="009B383B">
      <w:pPr>
        <w:pStyle w:val="ListParagraph"/>
        <w:numPr>
          <w:ilvl w:val="0"/>
          <w:numId w:val="5"/>
        </w:numPr>
        <w:jc w:val="both"/>
        <w:rPr>
          <w:lang w:val="en-AU"/>
        </w:rPr>
      </w:pPr>
      <w:r w:rsidRPr="009B383B">
        <w:rPr>
          <w:u w:val="single"/>
          <w:lang w:val="en-AU"/>
        </w:rPr>
        <w:t>Class presentations</w:t>
      </w:r>
      <w:r w:rsidRPr="009B383B">
        <w:rPr>
          <w:lang w:val="en-AU"/>
        </w:rPr>
        <w:t>:  Each student will make a class presentation. Requirements differ for students registered at the 4000 or 5000 level</w:t>
      </w:r>
      <w:r w:rsidR="00CC25F2" w:rsidRPr="009B383B">
        <w:rPr>
          <w:lang w:val="en-AU"/>
        </w:rPr>
        <w:t>s</w:t>
      </w:r>
      <w:r w:rsidRPr="009B383B">
        <w:rPr>
          <w:lang w:val="en-AU"/>
        </w:rPr>
        <w:t>.</w:t>
      </w:r>
      <w:r w:rsidR="00B725C7" w:rsidRPr="009B383B">
        <w:rPr>
          <w:lang w:val="en-AU"/>
        </w:rPr>
        <w:t xml:space="preserve"> A schedule of dates for presentations will be decided at the first class session.  </w:t>
      </w:r>
    </w:p>
    <w:p w14:paraId="10CB539F" w14:textId="44C12A5D" w:rsidR="002B7858" w:rsidRPr="009B383B" w:rsidRDefault="002B7858" w:rsidP="009B383B">
      <w:pPr>
        <w:pStyle w:val="ListParagraph"/>
        <w:ind w:left="361"/>
        <w:jc w:val="both"/>
        <w:rPr>
          <w:lang w:val="en-AU"/>
        </w:rPr>
      </w:pPr>
      <w:r w:rsidRPr="009B383B">
        <w:rPr>
          <w:i/>
          <w:lang w:val="en-AU"/>
        </w:rPr>
        <w:t>4000 level</w:t>
      </w:r>
      <w:r w:rsidRPr="009B383B">
        <w:rPr>
          <w:lang w:val="en-AU"/>
        </w:rPr>
        <w:t xml:space="preserve">: The presentation will address the </w:t>
      </w:r>
      <w:r w:rsidR="00304BE7" w:rsidRPr="009B383B">
        <w:rPr>
          <w:lang w:val="en-AU"/>
        </w:rPr>
        <w:t xml:space="preserve">required </w:t>
      </w:r>
      <w:r w:rsidRPr="009B383B">
        <w:rPr>
          <w:lang w:val="en-AU"/>
        </w:rPr>
        <w:t xml:space="preserve">readings for the week, focusing on a </w:t>
      </w:r>
      <w:r w:rsidR="007839D2" w:rsidRPr="009B383B">
        <w:rPr>
          <w:lang w:val="en-AU"/>
        </w:rPr>
        <w:t xml:space="preserve">one or two </w:t>
      </w:r>
      <w:r w:rsidRPr="009B383B">
        <w:rPr>
          <w:lang w:val="en-AU"/>
        </w:rPr>
        <w:t>designated question from the list of discussion questions circulated through CUlearn. Th</w:t>
      </w:r>
      <w:r w:rsidR="00304BE7" w:rsidRPr="009B383B">
        <w:rPr>
          <w:lang w:val="en-AU"/>
        </w:rPr>
        <w:t>e presentation should be about 5-6</w:t>
      </w:r>
      <w:r w:rsidRPr="009B383B">
        <w:rPr>
          <w:lang w:val="en-AU"/>
        </w:rPr>
        <w:t xml:space="preserve"> minute</w:t>
      </w:r>
      <w:r w:rsidR="00CC25F2" w:rsidRPr="009B383B">
        <w:rPr>
          <w:lang w:val="en-AU"/>
        </w:rPr>
        <w:t>s</w:t>
      </w:r>
      <w:r w:rsidR="007839D2" w:rsidRPr="009B383B">
        <w:rPr>
          <w:lang w:val="en-AU"/>
        </w:rPr>
        <w:t xml:space="preserve"> in total</w:t>
      </w:r>
      <w:r w:rsidRPr="009B383B">
        <w:rPr>
          <w:lang w:val="en-AU"/>
        </w:rPr>
        <w:t xml:space="preserve"> and should not simply summarize the course readings, but also present the student’s viewpoint and reflection on the course material.  </w:t>
      </w:r>
      <w:r w:rsidR="00CC25F2" w:rsidRPr="009B383B">
        <w:rPr>
          <w:lang w:val="en-AU"/>
        </w:rPr>
        <w:t xml:space="preserve">You should avoid reading a text for your presentation, but also focus on effective delivery. </w:t>
      </w:r>
      <w:r w:rsidRPr="009B383B">
        <w:rPr>
          <w:lang w:val="en-AU"/>
        </w:rPr>
        <w:t>No extra reading, beyond the required reading</w:t>
      </w:r>
      <w:r w:rsidR="00CC25F2" w:rsidRPr="009B383B">
        <w:rPr>
          <w:lang w:val="en-AU"/>
        </w:rPr>
        <w:t>s</w:t>
      </w:r>
      <w:r w:rsidRPr="009B383B">
        <w:rPr>
          <w:lang w:val="en-AU"/>
        </w:rPr>
        <w:t>, is expect</w:t>
      </w:r>
      <w:r w:rsidR="008A6B3A" w:rsidRPr="009B383B">
        <w:rPr>
          <w:lang w:val="en-AU"/>
        </w:rPr>
        <w:t xml:space="preserve">ed for these presentations. This presentation is </w:t>
      </w:r>
      <w:r w:rsidRPr="009B383B">
        <w:rPr>
          <w:lang w:val="en-AU"/>
        </w:rPr>
        <w:t>intended to encourage seminar participation</w:t>
      </w:r>
      <w:r w:rsidR="00E637DC" w:rsidRPr="009B383B">
        <w:rPr>
          <w:lang w:val="en-AU"/>
        </w:rPr>
        <w:t xml:space="preserve"> and reflection on the course readings, and to</w:t>
      </w:r>
      <w:r w:rsidRPr="009B383B">
        <w:rPr>
          <w:lang w:val="en-AU"/>
        </w:rPr>
        <w:t xml:space="preserve"> ki</w:t>
      </w:r>
      <w:r w:rsidR="006566B5" w:rsidRPr="009B383B">
        <w:rPr>
          <w:lang w:val="en-AU"/>
        </w:rPr>
        <w:t>ck-start the week’s discussion.</w:t>
      </w:r>
    </w:p>
    <w:p w14:paraId="6353B893" w14:textId="5CCEDA5F" w:rsidR="002B7858" w:rsidRPr="009B383B" w:rsidRDefault="002B7858" w:rsidP="009B383B">
      <w:pPr>
        <w:pStyle w:val="ListParagraph"/>
        <w:ind w:left="361"/>
        <w:jc w:val="both"/>
        <w:rPr>
          <w:color w:val="000000" w:themeColor="text1"/>
          <w:lang w:val="en-AU"/>
        </w:rPr>
      </w:pPr>
      <w:r w:rsidRPr="009B383B">
        <w:rPr>
          <w:i/>
          <w:color w:val="000000" w:themeColor="text1"/>
          <w:lang w:val="en-AU"/>
        </w:rPr>
        <w:t>5000 level</w:t>
      </w:r>
      <w:r w:rsidRPr="009B383B">
        <w:rPr>
          <w:color w:val="000000" w:themeColor="text1"/>
          <w:lang w:val="en-AU"/>
        </w:rPr>
        <w:t>: Each student will make in a presentation on a topic r</w:t>
      </w:r>
      <w:r w:rsidR="001E7990" w:rsidRPr="009B383B">
        <w:rPr>
          <w:color w:val="000000" w:themeColor="text1"/>
          <w:lang w:val="en-AU"/>
        </w:rPr>
        <w:t>elating to the week’s theme</w:t>
      </w:r>
      <w:r w:rsidR="008A6B3A" w:rsidRPr="009B383B">
        <w:rPr>
          <w:color w:val="000000" w:themeColor="text1"/>
          <w:lang w:val="en-AU"/>
        </w:rPr>
        <w:t xml:space="preserve"> on a topic not covered by the required readings</w:t>
      </w:r>
      <w:r w:rsidR="001E7990" w:rsidRPr="009B383B">
        <w:rPr>
          <w:color w:val="000000" w:themeColor="text1"/>
          <w:lang w:val="en-AU"/>
        </w:rPr>
        <w:t>. This ‘expert</w:t>
      </w:r>
      <w:r w:rsidRPr="009B383B">
        <w:rPr>
          <w:color w:val="000000" w:themeColor="text1"/>
          <w:lang w:val="en-AU"/>
        </w:rPr>
        <w:t xml:space="preserve"> presentation</w:t>
      </w:r>
      <w:r w:rsidR="001E7990" w:rsidRPr="009B383B">
        <w:rPr>
          <w:color w:val="000000" w:themeColor="text1"/>
          <w:lang w:val="en-AU"/>
        </w:rPr>
        <w:t>’</w:t>
      </w:r>
      <w:r w:rsidRPr="009B383B">
        <w:rPr>
          <w:color w:val="000000" w:themeColor="text1"/>
          <w:lang w:val="en-AU"/>
        </w:rPr>
        <w:t xml:space="preserve"> will be about 15 </w:t>
      </w:r>
      <w:r w:rsidR="00B725C7" w:rsidRPr="009B383B">
        <w:rPr>
          <w:color w:val="000000" w:themeColor="text1"/>
          <w:lang w:val="en-AU"/>
        </w:rPr>
        <w:t xml:space="preserve">minutes </w:t>
      </w:r>
      <w:r w:rsidRPr="009B383B">
        <w:rPr>
          <w:color w:val="000000" w:themeColor="text1"/>
          <w:lang w:val="en-AU"/>
        </w:rPr>
        <w:t>in length and should draw on</w:t>
      </w:r>
      <w:r w:rsidR="00B725C7" w:rsidRPr="009B383B">
        <w:rPr>
          <w:color w:val="000000" w:themeColor="text1"/>
          <w:lang w:val="en-AU"/>
        </w:rPr>
        <w:t xml:space="preserve"> at least</w:t>
      </w:r>
      <w:r w:rsidRPr="009B383B">
        <w:rPr>
          <w:color w:val="000000" w:themeColor="text1"/>
          <w:lang w:val="en-AU"/>
        </w:rPr>
        <w:t xml:space="preserve"> three additional </w:t>
      </w:r>
      <w:r w:rsidR="00B725C7" w:rsidRPr="009B383B">
        <w:rPr>
          <w:color w:val="000000" w:themeColor="text1"/>
          <w:lang w:val="en-AU"/>
        </w:rPr>
        <w:t xml:space="preserve">academic </w:t>
      </w:r>
      <w:r w:rsidRPr="009B383B">
        <w:rPr>
          <w:color w:val="000000" w:themeColor="text1"/>
          <w:lang w:val="en-AU"/>
        </w:rPr>
        <w:t>readings</w:t>
      </w:r>
      <w:r w:rsidR="001E7990" w:rsidRPr="009B383B">
        <w:rPr>
          <w:color w:val="000000" w:themeColor="text1"/>
          <w:lang w:val="en-AU"/>
        </w:rPr>
        <w:t xml:space="preserve"> as well as other sources for empirical information, as appropriate</w:t>
      </w:r>
      <w:r w:rsidRPr="009B383B">
        <w:rPr>
          <w:color w:val="000000" w:themeColor="text1"/>
          <w:lang w:val="en-AU"/>
        </w:rPr>
        <w:t>. The presentation should be accompanied by a power</w:t>
      </w:r>
      <w:r w:rsidR="006D7034" w:rsidRPr="009B383B">
        <w:rPr>
          <w:color w:val="000000" w:themeColor="text1"/>
          <w:lang w:val="en-AU"/>
        </w:rPr>
        <w:t>-</w:t>
      </w:r>
      <w:r w:rsidRPr="009B383B">
        <w:rPr>
          <w:color w:val="000000" w:themeColor="text1"/>
          <w:lang w:val="en-AU"/>
        </w:rPr>
        <w:t>point presentation. A list of additional sources consulted should be provided at the end of the power</w:t>
      </w:r>
      <w:r w:rsidR="006D7034" w:rsidRPr="009B383B">
        <w:rPr>
          <w:color w:val="000000" w:themeColor="text1"/>
          <w:lang w:val="en-AU"/>
        </w:rPr>
        <w:t>-</w:t>
      </w:r>
      <w:r w:rsidRPr="009B383B">
        <w:rPr>
          <w:color w:val="000000" w:themeColor="text1"/>
          <w:lang w:val="en-AU"/>
        </w:rPr>
        <w:t>point. The topic of the presentation will be determined in consul</w:t>
      </w:r>
      <w:r w:rsidR="00B725C7" w:rsidRPr="009B383B">
        <w:rPr>
          <w:color w:val="000000" w:themeColor="text1"/>
          <w:lang w:val="en-AU"/>
        </w:rPr>
        <w:t>t</w:t>
      </w:r>
      <w:r w:rsidRPr="009B383B">
        <w:rPr>
          <w:color w:val="000000" w:themeColor="text1"/>
          <w:lang w:val="en-AU"/>
        </w:rPr>
        <w:t>ation with the course instructor</w:t>
      </w:r>
      <w:r w:rsidR="001E7990" w:rsidRPr="009B383B">
        <w:rPr>
          <w:color w:val="000000" w:themeColor="text1"/>
          <w:lang w:val="en-AU"/>
        </w:rPr>
        <w:t xml:space="preserve">, based on a list of proposed topics. Other topics may be suggested but they must be approved in advance. </w:t>
      </w:r>
    </w:p>
    <w:p w14:paraId="1DDCD9FD" w14:textId="77777777" w:rsidR="002B7858" w:rsidRPr="009B383B" w:rsidRDefault="002B7858" w:rsidP="009B383B">
      <w:pPr>
        <w:pStyle w:val="ListParagraph"/>
        <w:ind w:left="361"/>
        <w:jc w:val="both"/>
        <w:rPr>
          <w:lang w:val="en-AU"/>
        </w:rPr>
      </w:pPr>
    </w:p>
    <w:p w14:paraId="3CA378AE" w14:textId="67B978C4" w:rsidR="002B7858" w:rsidRPr="009B383B" w:rsidRDefault="00B725C7" w:rsidP="009B383B">
      <w:pPr>
        <w:pStyle w:val="ListParagraph"/>
        <w:numPr>
          <w:ilvl w:val="0"/>
          <w:numId w:val="5"/>
        </w:numPr>
        <w:jc w:val="both"/>
        <w:rPr>
          <w:lang w:val="en-AU"/>
        </w:rPr>
      </w:pPr>
      <w:r w:rsidRPr="009B383B">
        <w:rPr>
          <w:u w:val="single"/>
          <w:lang w:val="en-AU"/>
        </w:rPr>
        <w:t xml:space="preserve">Term essay </w:t>
      </w:r>
      <w:r w:rsidR="002B7858" w:rsidRPr="009B383B">
        <w:rPr>
          <w:u w:val="single"/>
          <w:lang w:val="en-AU"/>
        </w:rPr>
        <w:t>proposal</w:t>
      </w:r>
      <w:r w:rsidRPr="009B383B">
        <w:rPr>
          <w:lang w:val="en-AU"/>
        </w:rPr>
        <w:t xml:space="preserve"> (2</w:t>
      </w:r>
      <w:r w:rsidR="002B7858" w:rsidRPr="009B383B">
        <w:rPr>
          <w:lang w:val="en-AU"/>
        </w:rPr>
        <w:t xml:space="preserve"> pages, double-spaced): The term</w:t>
      </w:r>
      <w:r w:rsidR="00E603AA" w:rsidRPr="009B383B">
        <w:rPr>
          <w:lang w:val="en-AU"/>
        </w:rPr>
        <w:t xml:space="preserve"> essay</w:t>
      </w:r>
      <w:r w:rsidR="002B7858" w:rsidRPr="009B383B">
        <w:rPr>
          <w:lang w:val="en-AU"/>
        </w:rPr>
        <w:t xml:space="preserve"> topic must be approved.   The proposal is a </w:t>
      </w:r>
      <w:r w:rsidR="00E603AA" w:rsidRPr="009B383B">
        <w:rPr>
          <w:lang w:val="en-AU"/>
        </w:rPr>
        <w:t xml:space="preserve">brief description of the topic </w:t>
      </w:r>
      <w:r w:rsidR="002B7858" w:rsidRPr="009B383B">
        <w:rPr>
          <w:lang w:val="en-AU"/>
        </w:rPr>
        <w:t>and thesis</w:t>
      </w:r>
      <w:r w:rsidR="008A6B3A" w:rsidRPr="009B383B">
        <w:rPr>
          <w:lang w:val="en-AU"/>
        </w:rPr>
        <w:t>/hypothesis</w:t>
      </w:r>
      <w:r w:rsidR="002B7858" w:rsidRPr="009B383B">
        <w:rPr>
          <w:lang w:val="en-AU"/>
        </w:rPr>
        <w:t xml:space="preserve"> you will explore in the paper, along with a preliminary bibliography. </w:t>
      </w:r>
      <w:r w:rsidRPr="009B383B">
        <w:rPr>
          <w:lang w:val="en-AU"/>
        </w:rPr>
        <w:t>The Term essay</w:t>
      </w:r>
      <w:r w:rsidR="002B7858" w:rsidRPr="009B383B">
        <w:rPr>
          <w:lang w:val="en-AU"/>
        </w:rPr>
        <w:t xml:space="preserve"> proposal should be submitted to the CULearn Assignment Dropbox</w:t>
      </w:r>
      <w:r w:rsidR="008A6B3A" w:rsidRPr="009B383B">
        <w:rPr>
          <w:lang w:val="en-AU"/>
        </w:rPr>
        <w:t xml:space="preserve"> no later than </w:t>
      </w:r>
      <w:r w:rsidR="006D7034" w:rsidRPr="009B383B">
        <w:rPr>
          <w:lang w:val="en-AU"/>
        </w:rPr>
        <w:t>Tuesday</w:t>
      </w:r>
      <w:r w:rsidR="00A81746" w:rsidRPr="009B383B">
        <w:rPr>
          <w:lang w:val="en-AU"/>
        </w:rPr>
        <w:t xml:space="preserve">, </w:t>
      </w:r>
      <w:r w:rsidR="006D7034" w:rsidRPr="009B383B">
        <w:rPr>
          <w:lang w:val="en-AU"/>
        </w:rPr>
        <w:t>February</w:t>
      </w:r>
      <w:r w:rsidR="00660315" w:rsidRPr="009B383B">
        <w:rPr>
          <w:lang w:val="en-AU"/>
        </w:rPr>
        <w:t xml:space="preserve"> </w:t>
      </w:r>
      <w:r w:rsidR="006D7034" w:rsidRPr="009B383B">
        <w:rPr>
          <w:lang w:val="en-AU"/>
        </w:rPr>
        <w:t>16, 2022</w:t>
      </w:r>
      <w:r w:rsidR="00660315" w:rsidRPr="009B383B">
        <w:rPr>
          <w:lang w:val="en-AU"/>
        </w:rPr>
        <w:t xml:space="preserve"> at 5</w:t>
      </w:r>
      <w:r w:rsidR="00A81746" w:rsidRPr="009B383B">
        <w:rPr>
          <w:lang w:val="en-AU"/>
        </w:rPr>
        <w:t xml:space="preserve"> p.m.</w:t>
      </w:r>
      <w:r w:rsidR="00E603AA" w:rsidRPr="009B383B">
        <w:rPr>
          <w:lang w:val="en-AU"/>
        </w:rPr>
        <w:t xml:space="preserve"> </w:t>
      </w:r>
      <w:r w:rsidR="00A81746" w:rsidRPr="009B383B">
        <w:rPr>
          <w:lang w:val="en-AU"/>
        </w:rPr>
        <w:t xml:space="preserve"> </w:t>
      </w:r>
      <w:r w:rsidR="00E603AA" w:rsidRPr="009B383B">
        <w:rPr>
          <w:lang w:val="en-AU"/>
        </w:rPr>
        <w:t>Failure to gain approval of the proposal may also adversely affect your term paper mark</w:t>
      </w:r>
    </w:p>
    <w:p w14:paraId="665986C5" w14:textId="77777777" w:rsidR="002B7858" w:rsidRPr="009B383B" w:rsidRDefault="002B7858" w:rsidP="009B383B">
      <w:pPr>
        <w:pStyle w:val="ListParagraph"/>
        <w:ind w:left="361"/>
        <w:jc w:val="both"/>
        <w:rPr>
          <w:lang w:val="en-AU"/>
        </w:rPr>
      </w:pPr>
    </w:p>
    <w:p w14:paraId="1394326C" w14:textId="28AFCF84" w:rsidR="002B7858" w:rsidRPr="009B383B" w:rsidRDefault="00B725C7" w:rsidP="009B383B">
      <w:pPr>
        <w:pStyle w:val="ListParagraph"/>
        <w:numPr>
          <w:ilvl w:val="0"/>
          <w:numId w:val="5"/>
        </w:numPr>
        <w:jc w:val="both"/>
        <w:rPr>
          <w:lang w:val="en-AU"/>
        </w:rPr>
      </w:pPr>
      <w:r w:rsidRPr="009B383B">
        <w:rPr>
          <w:u w:val="single"/>
          <w:lang w:val="en-AU"/>
        </w:rPr>
        <w:t>Term essay (12 pages</w:t>
      </w:r>
      <w:r w:rsidR="00660315" w:rsidRPr="009B383B">
        <w:rPr>
          <w:u w:val="single"/>
          <w:lang w:val="en-AU"/>
        </w:rPr>
        <w:t xml:space="preserve"> for 4000-level, 15-16</w:t>
      </w:r>
      <w:r w:rsidR="00E637DC" w:rsidRPr="009B383B">
        <w:rPr>
          <w:u w:val="single"/>
          <w:lang w:val="en-AU"/>
        </w:rPr>
        <w:t xml:space="preserve"> pages for 5000-level</w:t>
      </w:r>
      <w:r w:rsidR="00D421B5" w:rsidRPr="009B383B">
        <w:rPr>
          <w:u w:val="single"/>
          <w:lang w:val="en-AU"/>
        </w:rPr>
        <w:t>,plus references</w:t>
      </w:r>
      <w:r w:rsidRPr="009B383B">
        <w:rPr>
          <w:u w:val="single"/>
          <w:lang w:val="en-AU"/>
        </w:rPr>
        <w:t>)</w:t>
      </w:r>
      <w:r w:rsidR="002B7858" w:rsidRPr="009B383B">
        <w:rPr>
          <w:lang w:val="en-AU"/>
        </w:rPr>
        <w:t xml:space="preserve">:  </w:t>
      </w:r>
      <w:r w:rsidR="00E603AA" w:rsidRPr="009B383B">
        <w:rPr>
          <w:lang w:val="en-AU"/>
        </w:rPr>
        <w:t xml:space="preserve">The term essay </w:t>
      </w:r>
      <w:r w:rsidR="002B7858" w:rsidRPr="009B383B">
        <w:rPr>
          <w:lang w:val="en-AU"/>
        </w:rPr>
        <w:t>should address a specific p</w:t>
      </w:r>
      <w:r w:rsidRPr="009B383B">
        <w:rPr>
          <w:lang w:val="en-AU"/>
        </w:rPr>
        <w:t>roblem related to course topic</w:t>
      </w:r>
      <w:r w:rsidR="002B7858" w:rsidRPr="009B383B">
        <w:rPr>
          <w:lang w:val="en-AU"/>
        </w:rPr>
        <w:t xml:space="preserve"> in more </w:t>
      </w:r>
      <w:r w:rsidR="00E637DC" w:rsidRPr="009B383B">
        <w:rPr>
          <w:lang w:val="en-AU"/>
        </w:rPr>
        <w:t>detail</w:t>
      </w:r>
      <w:r w:rsidRPr="009B383B">
        <w:rPr>
          <w:lang w:val="en-AU"/>
        </w:rPr>
        <w:t xml:space="preserve">. </w:t>
      </w:r>
      <w:r w:rsidR="002B7858" w:rsidRPr="009B383B">
        <w:rPr>
          <w:lang w:val="en-AU"/>
        </w:rPr>
        <w:t>You should have a question and a particular thesis (hypothesis) or theses that form the framework of analysis for the paper. Additional research materials are required for this paper, including academic writ</w:t>
      </w:r>
      <w:r w:rsidR="006D7034" w:rsidRPr="009B383B">
        <w:rPr>
          <w:lang w:val="en-AU"/>
        </w:rPr>
        <w:t>ings (articles, books, chapters</w:t>
      </w:r>
      <w:r w:rsidR="002B7858" w:rsidRPr="009B383B">
        <w:rPr>
          <w:lang w:val="en-AU"/>
        </w:rPr>
        <w:t>) and, where appropriate, primary source document</w:t>
      </w:r>
      <w:r w:rsidRPr="009B383B">
        <w:rPr>
          <w:lang w:val="en-AU"/>
        </w:rPr>
        <w:t>s (e.g., EU</w:t>
      </w:r>
      <w:r w:rsidR="002B7858" w:rsidRPr="009B383B">
        <w:rPr>
          <w:lang w:val="en-AU"/>
        </w:rPr>
        <w:t xml:space="preserve"> documents). The paper will be evaluated on the basis of the quality of </w:t>
      </w:r>
      <w:r w:rsidR="002B7858" w:rsidRPr="009B383B">
        <w:rPr>
          <w:lang w:val="en-AU"/>
        </w:rPr>
        <w:lastRenderedPageBreak/>
        <w:t>the research, the analysis, and the presentation. The paper should be handed in in hard copy and through the CULearn Assignment drop-box. Students may be asked to provide a</w:t>
      </w:r>
      <w:r w:rsidRPr="009B383B">
        <w:rPr>
          <w:lang w:val="en-AU"/>
        </w:rPr>
        <w:t xml:space="preserve"> short summary of the term essay</w:t>
      </w:r>
      <w:r w:rsidR="002B7858" w:rsidRPr="009B383B">
        <w:rPr>
          <w:lang w:val="en-AU"/>
        </w:rPr>
        <w:t xml:space="preserve"> </w:t>
      </w:r>
      <w:r w:rsidR="00E603AA" w:rsidRPr="009B383B">
        <w:rPr>
          <w:lang w:val="en-AU"/>
        </w:rPr>
        <w:t xml:space="preserve">(~4-5 minutes) </w:t>
      </w:r>
      <w:r w:rsidR="002B7858" w:rsidRPr="009B383B">
        <w:rPr>
          <w:lang w:val="en-AU"/>
        </w:rPr>
        <w:t>for discussion in</w:t>
      </w:r>
      <w:r w:rsidRPr="009B383B">
        <w:rPr>
          <w:lang w:val="en-AU"/>
        </w:rPr>
        <w:t xml:space="preserve"> the final </w:t>
      </w:r>
      <w:r w:rsidR="002B7858" w:rsidRPr="009B383B">
        <w:rPr>
          <w:lang w:val="en-AU"/>
        </w:rPr>
        <w:t xml:space="preserve">class </w:t>
      </w:r>
      <w:r w:rsidR="00E603AA" w:rsidRPr="009B383B">
        <w:rPr>
          <w:lang w:val="en-AU"/>
        </w:rPr>
        <w:t xml:space="preserve">session </w:t>
      </w:r>
      <w:r w:rsidRPr="009B383B">
        <w:rPr>
          <w:lang w:val="en-AU"/>
        </w:rPr>
        <w:t>and should be prepared to do so</w:t>
      </w:r>
      <w:r w:rsidR="002B7858" w:rsidRPr="009B383B">
        <w:rPr>
          <w:lang w:val="en-AU"/>
        </w:rPr>
        <w:t>.</w:t>
      </w:r>
      <w:r w:rsidR="00E637DC" w:rsidRPr="009B383B">
        <w:rPr>
          <w:lang w:val="en-AU"/>
        </w:rPr>
        <w:t xml:space="preserve"> The course instructo</w:t>
      </w:r>
      <w:r w:rsidR="00304BE7" w:rsidRPr="009B383B">
        <w:rPr>
          <w:lang w:val="en-AU"/>
        </w:rPr>
        <w:t xml:space="preserve">rs also reserve the right to </w:t>
      </w:r>
      <w:r w:rsidR="00E637DC" w:rsidRPr="009B383B">
        <w:rPr>
          <w:lang w:val="en-AU"/>
        </w:rPr>
        <w:t>request an individual meeting to discuss your completed paper.</w:t>
      </w:r>
    </w:p>
    <w:p w14:paraId="375F2091" w14:textId="77777777" w:rsidR="00CC25F2" w:rsidRPr="009B383B" w:rsidRDefault="00CC25F2" w:rsidP="009B383B">
      <w:pPr>
        <w:pStyle w:val="ListParagraph"/>
        <w:jc w:val="both"/>
        <w:rPr>
          <w:lang w:val="en-AU"/>
        </w:rPr>
      </w:pPr>
    </w:p>
    <w:p w14:paraId="57713184" w14:textId="47C3247F" w:rsidR="00CC25F2" w:rsidRPr="009B383B" w:rsidRDefault="00CC25F2" w:rsidP="009B383B">
      <w:pPr>
        <w:pStyle w:val="ListParagraph"/>
        <w:widowControl w:val="0"/>
        <w:numPr>
          <w:ilvl w:val="0"/>
          <w:numId w:val="5"/>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en-AU"/>
        </w:rPr>
      </w:pPr>
      <w:r w:rsidRPr="009B383B">
        <w:rPr>
          <w:u w:val="single"/>
          <w:lang w:val="en-AU"/>
        </w:rPr>
        <w:t>Position paper</w:t>
      </w:r>
      <w:r w:rsidRPr="009B383B">
        <w:rPr>
          <w:lang w:val="en-AU"/>
        </w:rPr>
        <w:t xml:space="preserve">: Each student is required to write one position paper related to a </w:t>
      </w:r>
      <w:r w:rsidR="00E603AA" w:rsidRPr="009B383B">
        <w:rPr>
          <w:lang w:val="en-AU"/>
        </w:rPr>
        <w:t xml:space="preserve">question relevant to a </w:t>
      </w:r>
      <w:r w:rsidRPr="009B383B">
        <w:rPr>
          <w:lang w:val="en-AU"/>
        </w:rPr>
        <w:t>particular class session, which will be assigned early in the term.  The length differs depending</w:t>
      </w:r>
      <w:r w:rsidR="00856671" w:rsidRPr="009B383B">
        <w:rPr>
          <w:lang w:val="en-AU"/>
        </w:rPr>
        <w:t xml:space="preserve"> on your student registration: 4</w:t>
      </w:r>
      <w:r w:rsidRPr="009B383B">
        <w:rPr>
          <w:lang w:val="en-AU"/>
        </w:rPr>
        <w:t xml:space="preserve"> pages (double-spaced, 12 point font) for students registered at the 400-level</w:t>
      </w:r>
      <w:r w:rsidR="00E603AA" w:rsidRPr="009B383B">
        <w:rPr>
          <w:lang w:val="en-AU"/>
        </w:rPr>
        <w:t>;</w:t>
      </w:r>
      <w:r w:rsidRPr="009B383B">
        <w:rPr>
          <w:lang w:val="en-AU"/>
        </w:rPr>
        <w:t xml:space="preserve"> and 5 pages for students registered at the 5</w:t>
      </w:r>
      <w:r w:rsidR="008A6B3A" w:rsidRPr="009B383B">
        <w:rPr>
          <w:lang w:val="en-AU"/>
        </w:rPr>
        <w:t>000</w:t>
      </w:r>
      <w:r w:rsidR="00660315" w:rsidRPr="009B383B">
        <w:rPr>
          <w:lang w:val="en-AU"/>
        </w:rPr>
        <w:t xml:space="preserve"> level. The paper is due by 9</w:t>
      </w:r>
      <w:r w:rsidRPr="009B383B">
        <w:rPr>
          <w:lang w:val="en-AU"/>
        </w:rPr>
        <w:t xml:space="preserve"> a.m. on the day of the relevant class, handed in through the CULearn Assignment box.  Each paper will argue a position, supported by evidence and sources from the </w:t>
      </w:r>
      <w:r w:rsidR="00E637DC" w:rsidRPr="009B383B">
        <w:rPr>
          <w:lang w:val="en-AU"/>
        </w:rPr>
        <w:t>required readings.</w:t>
      </w:r>
      <w:r w:rsidR="00304BE7" w:rsidRPr="009B383B">
        <w:rPr>
          <w:lang w:val="en-AU"/>
        </w:rPr>
        <w:t xml:space="preserve"> </w:t>
      </w:r>
      <w:r w:rsidR="00E637DC" w:rsidRPr="009B383B">
        <w:rPr>
          <w:lang w:val="en-AU"/>
        </w:rPr>
        <w:t xml:space="preserve">The course instructors will suggest a question for the paper for each week. </w:t>
      </w:r>
      <w:r w:rsidRPr="009B383B">
        <w:rPr>
          <w:lang w:val="en-AU"/>
        </w:rPr>
        <w:t xml:space="preserve">You may suggest a different question for your paper, but it must be approved in advance. The paper should demonstrate familiarity with the course readings for the week but be focused around </w:t>
      </w:r>
      <w:r w:rsidR="00E603AA" w:rsidRPr="009B383B">
        <w:rPr>
          <w:lang w:val="en-AU"/>
        </w:rPr>
        <w:t>your</w:t>
      </w:r>
      <w:r w:rsidRPr="009B383B">
        <w:rPr>
          <w:lang w:val="en-AU"/>
        </w:rPr>
        <w:t xml:space="preserve"> own conclusions and insights. </w:t>
      </w:r>
      <w:r w:rsidR="00304BE7" w:rsidRPr="009B383B">
        <w:rPr>
          <w:lang w:val="en-AU"/>
        </w:rPr>
        <w:t xml:space="preserve"> The position paper should NOT be a summary of readings and should be prepared for a class different from the class in which you mak</w:t>
      </w:r>
      <w:r w:rsidR="006D7034" w:rsidRPr="009B383B">
        <w:rPr>
          <w:lang w:val="en-AU"/>
        </w:rPr>
        <w:t xml:space="preserve">e your other oral presentation. </w:t>
      </w:r>
      <w:r w:rsidR="00304BE7" w:rsidRPr="009B383B">
        <w:rPr>
          <w:lang w:val="en-AU"/>
        </w:rPr>
        <w:t xml:space="preserve">It is not expected that you include readings beyond the required readings for the week, but optional readings may be included if desired. A bibliography of works cited should be included, and in-text citations (author-date style) should be used for direct quotes or specific references to the readings. (References are not included in the page length). </w:t>
      </w:r>
      <w:r w:rsidR="008A6B3A" w:rsidRPr="009B383B">
        <w:rPr>
          <w:lang w:val="en-AU"/>
        </w:rPr>
        <w:t xml:space="preserve"> You are required to present your argument orally in class in no more than 10 minutes. You s</w:t>
      </w:r>
      <w:r w:rsidR="00DA4922" w:rsidRPr="009B383B">
        <w:rPr>
          <w:lang w:val="en-AU"/>
        </w:rPr>
        <w:t>hould avoid reading the paper.</w:t>
      </w:r>
      <w:r w:rsidR="008A6B3A" w:rsidRPr="009B383B">
        <w:rPr>
          <w:lang w:val="en-AU"/>
        </w:rPr>
        <w:t xml:space="preserve"> </w:t>
      </w:r>
      <w:r w:rsidRPr="009B383B">
        <w:rPr>
          <w:lang w:val="en-AU"/>
        </w:rPr>
        <w:t>Papers will be evaluated based on the cogency and clarity of the argument, evidence brought in support of it (including</w:t>
      </w:r>
      <w:r w:rsidR="00304BE7" w:rsidRPr="009B383B">
        <w:rPr>
          <w:lang w:val="en-AU"/>
        </w:rPr>
        <w:t xml:space="preserve"> references to course readings),</w:t>
      </w:r>
      <w:r w:rsidR="008A6B3A" w:rsidRPr="009B383B">
        <w:rPr>
          <w:lang w:val="en-AU"/>
        </w:rPr>
        <w:t xml:space="preserve"> and the presentation of the paper</w:t>
      </w:r>
      <w:r w:rsidR="00AE5FBE" w:rsidRPr="009B383B">
        <w:rPr>
          <w:lang w:val="en-AU"/>
        </w:rPr>
        <w:t>,</w:t>
      </w:r>
      <w:r w:rsidR="00304BE7" w:rsidRPr="009B383B">
        <w:rPr>
          <w:lang w:val="en-AU"/>
        </w:rPr>
        <w:t xml:space="preserve"> consideration of important counter-arguments, where appropriate. </w:t>
      </w:r>
      <w:r w:rsidR="00B71698" w:rsidRPr="009B383B">
        <w:rPr>
          <w:lang w:val="en-AU"/>
        </w:rPr>
        <w:t xml:space="preserve"> </w:t>
      </w:r>
      <w:r w:rsidRPr="009B383B">
        <w:rPr>
          <w:lang w:val="en-AU"/>
        </w:rPr>
        <w:t xml:space="preserve">Students may replace their first mark with the mark on </w:t>
      </w:r>
      <w:r w:rsidR="00E637DC" w:rsidRPr="009B383B">
        <w:rPr>
          <w:lang w:val="en-AU"/>
        </w:rPr>
        <w:t>a second paper</w:t>
      </w:r>
      <w:r w:rsidR="008A6B3A" w:rsidRPr="009B383B">
        <w:rPr>
          <w:lang w:val="en-AU"/>
        </w:rPr>
        <w:t xml:space="preserve"> (which may or may not be presented in class)</w:t>
      </w:r>
      <w:r w:rsidRPr="009B383B">
        <w:rPr>
          <w:lang w:val="en-AU"/>
        </w:rPr>
        <w:t xml:space="preserve">, if desired. </w:t>
      </w:r>
      <w:r w:rsidR="00304BE7" w:rsidRPr="009B383B">
        <w:rPr>
          <w:lang w:val="en-AU"/>
        </w:rPr>
        <w:t xml:space="preserve"> </w:t>
      </w:r>
    </w:p>
    <w:p w14:paraId="2C8582CD" w14:textId="77777777" w:rsidR="002B7858" w:rsidRPr="009B383B" w:rsidRDefault="002B7858" w:rsidP="009B383B">
      <w:pPr>
        <w:pStyle w:val="ListParagraph"/>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1"/>
        <w:jc w:val="both"/>
        <w:rPr>
          <w:b/>
          <w:lang w:val="en-AU"/>
        </w:rPr>
      </w:pPr>
    </w:p>
    <w:p w14:paraId="18F7B0E4" w14:textId="77777777" w:rsidR="002B7858" w:rsidRPr="009B383B" w:rsidRDefault="002B7858" w:rsidP="009B383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lang w:val="en-AU"/>
        </w:rPr>
      </w:pPr>
      <w:r w:rsidRPr="009B383B">
        <w:rPr>
          <w:b/>
          <w:lang w:val="en-AU"/>
        </w:rPr>
        <w:t>Due Dates and Penalties</w:t>
      </w:r>
    </w:p>
    <w:p w14:paraId="7149DA11" w14:textId="77777777" w:rsidR="002B7858" w:rsidRPr="009B383B" w:rsidRDefault="002B7858" w:rsidP="009B383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en-AU"/>
        </w:rPr>
      </w:pPr>
      <w:r w:rsidRPr="009B383B">
        <w:rPr>
          <w:lang w:val="en-AU"/>
        </w:rPr>
        <w:t>Please note the following important rules associated with this course:</w:t>
      </w:r>
    </w:p>
    <w:p w14:paraId="393FA3B4" w14:textId="77777777" w:rsidR="002B7858" w:rsidRPr="009B383B" w:rsidRDefault="002B7858" w:rsidP="009B383B">
      <w:pPr>
        <w:numPr>
          <w:ilvl w:val="0"/>
          <w:numId w:val="4"/>
        </w:num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en-AU"/>
        </w:rPr>
      </w:pPr>
      <w:r w:rsidRPr="009B383B">
        <w:rPr>
          <w:lang w:val="en-AU"/>
        </w:rPr>
        <w:t>Any studen</w:t>
      </w:r>
      <w:r w:rsidR="00B725C7" w:rsidRPr="009B383B">
        <w:rPr>
          <w:lang w:val="en-AU"/>
        </w:rPr>
        <w:t xml:space="preserve">t who fails to hand in the term essay </w:t>
      </w:r>
      <w:r w:rsidRPr="009B383B">
        <w:rPr>
          <w:lang w:val="en-AU"/>
        </w:rPr>
        <w:t>will receive a failing mark in the course. Penalties for late assignments will be as follows (waived with a valid medical or equivalent excuse):</w:t>
      </w:r>
    </w:p>
    <w:p w14:paraId="59780F06" w14:textId="77777777" w:rsidR="002B7858" w:rsidRPr="009B383B" w:rsidRDefault="002B7858" w:rsidP="009B383B">
      <w:pPr>
        <w:numPr>
          <w:ilvl w:val="1"/>
          <w:numId w:val="4"/>
        </w:numPr>
        <w:tabs>
          <w:tab w:val="left" w:pos="1"/>
          <w:tab w:val="left" w:pos="720"/>
          <w:tab w:val="left" w:pos="2160"/>
          <w:tab w:val="left" w:pos="2880"/>
          <w:tab w:val="left" w:pos="3600"/>
          <w:tab w:val="left" w:pos="4320"/>
          <w:tab w:val="left" w:pos="5040"/>
          <w:tab w:val="left" w:pos="5760"/>
          <w:tab w:val="left" w:pos="6480"/>
          <w:tab w:val="left" w:pos="7200"/>
          <w:tab w:val="left" w:pos="7920"/>
          <w:tab w:val="left" w:pos="8640"/>
        </w:tabs>
        <w:jc w:val="both"/>
        <w:rPr>
          <w:lang w:val="en-AU"/>
        </w:rPr>
      </w:pPr>
      <w:r w:rsidRPr="009B383B">
        <w:rPr>
          <w:lang w:val="en-AU"/>
        </w:rPr>
        <w:t>Term essay</w:t>
      </w:r>
      <w:r w:rsidR="008A6B3A" w:rsidRPr="009B383B">
        <w:rPr>
          <w:lang w:val="en-AU"/>
        </w:rPr>
        <w:t>, term essay proposal</w:t>
      </w:r>
      <w:r w:rsidRPr="009B383B">
        <w:rPr>
          <w:lang w:val="en-AU"/>
        </w:rPr>
        <w:t xml:space="preserve">: Two points (of a </w:t>
      </w:r>
      <w:r w:rsidR="00E603AA" w:rsidRPr="009B383B">
        <w:rPr>
          <w:lang w:val="en-AU"/>
        </w:rPr>
        <w:t>100</w:t>
      </w:r>
      <w:r w:rsidRPr="009B383B">
        <w:rPr>
          <w:lang w:val="en-AU"/>
        </w:rPr>
        <w:t>% scal</w:t>
      </w:r>
      <w:r w:rsidR="00E603AA" w:rsidRPr="009B383B">
        <w:rPr>
          <w:lang w:val="en-AU"/>
        </w:rPr>
        <w:t xml:space="preserve">e) for each day late (excluding </w:t>
      </w:r>
      <w:r w:rsidRPr="009B383B">
        <w:rPr>
          <w:lang w:val="en-AU"/>
        </w:rPr>
        <w:t xml:space="preserve">weekends). No papers </w:t>
      </w:r>
      <w:r w:rsidR="00AE5FBE" w:rsidRPr="009B383B">
        <w:rPr>
          <w:lang w:val="en-AU"/>
        </w:rPr>
        <w:t xml:space="preserve">will be </w:t>
      </w:r>
      <w:r w:rsidRPr="009B383B">
        <w:rPr>
          <w:lang w:val="en-AU"/>
        </w:rPr>
        <w:t xml:space="preserve">accepted </w:t>
      </w:r>
      <w:r w:rsidR="008A6B3A" w:rsidRPr="009B383B">
        <w:rPr>
          <w:lang w:val="en-AU"/>
        </w:rPr>
        <w:t xml:space="preserve">more than one week after the due date. </w:t>
      </w:r>
      <w:r w:rsidRPr="009B383B">
        <w:rPr>
          <w:lang w:val="en-AU"/>
        </w:rPr>
        <w:t>Failure to receive approval of the proposal may also affect the mark on the essay itself.</w:t>
      </w:r>
    </w:p>
    <w:p w14:paraId="6DE542D3" w14:textId="77777777" w:rsidR="002B7858" w:rsidRPr="009B383B" w:rsidRDefault="002B7858" w:rsidP="009B383B">
      <w:pPr>
        <w:numPr>
          <w:ilvl w:val="0"/>
          <w:numId w:val="4"/>
        </w:numPr>
        <w:tabs>
          <w:tab w:val="left" w:pos="1"/>
          <w:tab w:val="left" w:pos="2160"/>
          <w:tab w:val="left" w:pos="2880"/>
          <w:tab w:val="left" w:pos="3600"/>
          <w:tab w:val="left" w:pos="4320"/>
          <w:tab w:val="left" w:pos="5040"/>
          <w:tab w:val="left" w:pos="5760"/>
          <w:tab w:val="left" w:pos="6480"/>
          <w:tab w:val="left" w:pos="7200"/>
          <w:tab w:val="left" w:pos="7920"/>
          <w:tab w:val="left" w:pos="8640"/>
        </w:tabs>
        <w:jc w:val="both"/>
        <w:rPr>
          <w:lang w:val="en-AU"/>
        </w:rPr>
      </w:pPr>
      <w:r w:rsidRPr="009B383B">
        <w:rPr>
          <w:lang w:val="en-AU"/>
        </w:rPr>
        <w:t xml:space="preserve">Position papers:  </w:t>
      </w:r>
      <w:r w:rsidR="00CC25F2" w:rsidRPr="009B383B">
        <w:rPr>
          <w:lang w:val="en-AU"/>
        </w:rPr>
        <w:t xml:space="preserve">If </w:t>
      </w:r>
      <w:r w:rsidRPr="009B383B">
        <w:rPr>
          <w:lang w:val="en-AU"/>
        </w:rPr>
        <w:t xml:space="preserve">handed in late (without a valid excuse) but by the beginning of the relevant class session, </w:t>
      </w:r>
      <w:r w:rsidR="00E603AA" w:rsidRPr="009B383B">
        <w:rPr>
          <w:lang w:val="en-AU"/>
        </w:rPr>
        <w:t xml:space="preserve">the paper </w:t>
      </w:r>
      <w:r w:rsidRPr="009B383B">
        <w:rPr>
          <w:lang w:val="en-AU"/>
        </w:rPr>
        <w:t>will receive a maximum mark of 80% (of 100%).  Papers handed in later than that will receive a ma</w:t>
      </w:r>
      <w:r w:rsidR="008A6B3A" w:rsidRPr="009B383B">
        <w:rPr>
          <w:lang w:val="en-AU"/>
        </w:rPr>
        <w:t>ximum mark of 60% (out of 100%) but will only be accept until one week after the due date.</w:t>
      </w:r>
      <w:r w:rsidRPr="009B383B">
        <w:rPr>
          <w:lang w:val="en-AU"/>
        </w:rPr>
        <w:t xml:space="preserve"> Papers not handed in will receive a “0”.</w:t>
      </w:r>
    </w:p>
    <w:p w14:paraId="0F419D34" w14:textId="77777777" w:rsidR="002B7858" w:rsidRPr="009B383B" w:rsidRDefault="00304BE7" w:rsidP="009B383B">
      <w:pPr>
        <w:numPr>
          <w:ilvl w:val="0"/>
          <w:numId w:val="4"/>
        </w:num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en-AU"/>
        </w:rPr>
      </w:pPr>
      <w:r w:rsidRPr="009B383B">
        <w:rPr>
          <w:lang w:val="en-AU"/>
        </w:rPr>
        <w:t>Students absent on the</w:t>
      </w:r>
      <w:r w:rsidR="002B7858" w:rsidRPr="009B383B">
        <w:rPr>
          <w:lang w:val="en-AU"/>
        </w:rPr>
        <w:t xml:space="preserve"> date of </w:t>
      </w:r>
      <w:r w:rsidR="00CC25F2" w:rsidRPr="009B383B">
        <w:rPr>
          <w:lang w:val="en-AU"/>
        </w:rPr>
        <w:t xml:space="preserve">an </w:t>
      </w:r>
      <w:r w:rsidR="002B7858" w:rsidRPr="009B383B">
        <w:rPr>
          <w:lang w:val="en-AU"/>
        </w:rPr>
        <w:t>oral presentation will receive a “0” unless a valid medical (or equivalent) excuse is provided. Students who ar</w:t>
      </w:r>
      <w:r w:rsidR="00E637DC" w:rsidRPr="009B383B">
        <w:rPr>
          <w:lang w:val="en-AU"/>
        </w:rPr>
        <w:t xml:space="preserve">e not able to be present for a </w:t>
      </w:r>
      <w:r w:rsidR="002B7858" w:rsidRPr="009B383B">
        <w:rPr>
          <w:lang w:val="en-AU"/>
        </w:rPr>
        <w:t>presentation must inform the instructor as far as p</w:t>
      </w:r>
      <w:r w:rsidR="00E637DC" w:rsidRPr="009B383B">
        <w:rPr>
          <w:lang w:val="en-AU"/>
        </w:rPr>
        <w:t>ossible in advance of the class so that the presentation can be rescheduled.</w:t>
      </w:r>
    </w:p>
    <w:p w14:paraId="633893CD" w14:textId="77777777" w:rsidR="002B7858" w:rsidRPr="009B383B" w:rsidRDefault="002B7858" w:rsidP="009B383B">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lang w:val="en-AU"/>
        </w:rPr>
      </w:pPr>
    </w:p>
    <w:p w14:paraId="0C8B1D5B" w14:textId="77777777" w:rsidR="001B1526" w:rsidRPr="009B383B" w:rsidRDefault="001B1526" w:rsidP="009B383B">
      <w:pPr>
        <w:spacing w:after="200"/>
        <w:jc w:val="both"/>
        <w:rPr>
          <w:b/>
          <w:bCs/>
          <w:lang w:val="en-AU"/>
        </w:rPr>
      </w:pPr>
      <w:r w:rsidRPr="009B383B">
        <w:rPr>
          <w:b/>
          <w:bCs/>
          <w:lang w:val="en-AU"/>
        </w:rPr>
        <w:t xml:space="preserve">READINGS: </w:t>
      </w:r>
      <w:r w:rsidRPr="009B383B">
        <w:rPr>
          <w:bCs/>
          <w:lang w:val="en-AU"/>
        </w:rPr>
        <w:t>Please note that reading</w:t>
      </w:r>
      <w:r w:rsidR="00304BE7" w:rsidRPr="009B383B">
        <w:rPr>
          <w:bCs/>
          <w:lang w:val="en-AU"/>
        </w:rPr>
        <w:t>s</w:t>
      </w:r>
      <w:r w:rsidRPr="009B383B">
        <w:rPr>
          <w:bCs/>
          <w:lang w:val="en-AU"/>
        </w:rPr>
        <w:t xml:space="preserve"> are available through ARES on CULearn. Some readings are not available electronically and must be accessed in hard </w:t>
      </w:r>
      <w:r w:rsidR="00304BE7" w:rsidRPr="009B383B">
        <w:rPr>
          <w:bCs/>
          <w:lang w:val="en-AU"/>
        </w:rPr>
        <w:t>copy through library reserves, s</w:t>
      </w:r>
      <w:r w:rsidRPr="009B383B">
        <w:rPr>
          <w:bCs/>
          <w:lang w:val="en-AU"/>
        </w:rPr>
        <w:t xml:space="preserve">o please check in advance to allow adequate time. If you have any difficulty finding readings, please contact the relevant instructor as soon as possible so that the problem can be corrected.  </w:t>
      </w:r>
      <w:r w:rsidRPr="009B383B">
        <w:rPr>
          <w:b/>
          <w:bCs/>
          <w:lang w:val="en-AU"/>
        </w:rPr>
        <w:t xml:space="preserve">Unless indicated as ‘optional’ or ‘additional’, all readings are required. </w:t>
      </w:r>
    </w:p>
    <w:p w14:paraId="4FF1E587" w14:textId="3D69EEE2" w:rsidR="002B7858" w:rsidRPr="009B383B" w:rsidRDefault="002B7858" w:rsidP="009B383B">
      <w:pPr>
        <w:jc w:val="both"/>
        <w:rPr>
          <w:b/>
          <w:bCs/>
          <w:lang w:val="en-AU"/>
        </w:rPr>
      </w:pPr>
      <w:r w:rsidRPr="009B383B">
        <w:rPr>
          <w:b/>
          <w:bCs/>
          <w:lang w:val="en-AU"/>
        </w:rPr>
        <w:t>Session 1</w:t>
      </w:r>
      <w:r w:rsidR="00D76CBC" w:rsidRPr="009B383B">
        <w:rPr>
          <w:b/>
          <w:bCs/>
          <w:lang w:val="en-AU"/>
        </w:rPr>
        <w:t>:</w:t>
      </w:r>
      <w:r w:rsidRPr="009B383B">
        <w:rPr>
          <w:b/>
          <w:bCs/>
          <w:lang w:val="en-AU"/>
        </w:rPr>
        <w:t xml:space="preserve"> </w:t>
      </w:r>
      <w:r w:rsidR="00D7385F" w:rsidRPr="009B383B">
        <w:rPr>
          <w:b/>
          <w:bCs/>
          <w:lang w:val="en-AU"/>
        </w:rPr>
        <w:t>Tuesday</w:t>
      </w:r>
      <w:r w:rsidR="009C157F" w:rsidRPr="009B383B">
        <w:rPr>
          <w:b/>
          <w:bCs/>
          <w:lang w:val="en-AU"/>
        </w:rPr>
        <w:t xml:space="preserve">, </w:t>
      </w:r>
      <w:r w:rsidR="00D7385F" w:rsidRPr="009B383B">
        <w:rPr>
          <w:b/>
          <w:bCs/>
          <w:lang w:val="en-AU"/>
        </w:rPr>
        <w:t>January 11</w:t>
      </w:r>
      <w:r w:rsidRPr="009B383B">
        <w:rPr>
          <w:b/>
          <w:bCs/>
          <w:lang w:val="en-AU"/>
        </w:rPr>
        <w:t xml:space="preserve">  </w:t>
      </w:r>
    </w:p>
    <w:p w14:paraId="0DFF5219" w14:textId="77777777" w:rsidR="002B7858" w:rsidRPr="006A1F39" w:rsidRDefault="00704958" w:rsidP="002B7858">
      <w:pPr>
        <w:rPr>
          <w:b/>
          <w:bCs/>
          <w:lang w:val="en-AU"/>
        </w:rPr>
      </w:pPr>
      <w:r w:rsidRPr="006A1F39">
        <w:rPr>
          <w:b/>
          <w:bCs/>
          <w:lang w:val="en-AU"/>
        </w:rPr>
        <w:t>INTRODUCTION TO THE COURSE</w:t>
      </w:r>
    </w:p>
    <w:p w14:paraId="16FD4BB2" w14:textId="6A916C8D" w:rsidR="006D74B1" w:rsidRPr="00B65996" w:rsidRDefault="006D74B1" w:rsidP="007E68CB">
      <w:pPr>
        <w:rPr>
          <w:bCs/>
          <w:lang w:val="en-AU"/>
        </w:rPr>
      </w:pPr>
      <w:r w:rsidRPr="006A1F39">
        <w:rPr>
          <w:bCs/>
          <w:lang w:val="en-AU"/>
        </w:rPr>
        <w:t xml:space="preserve">Background on </w:t>
      </w:r>
      <w:r w:rsidRPr="00B65996">
        <w:rPr>
          <w:bCs/>
          <w:lang w:val="en-AU"/>
        </w:rPr>
        <w:t>the EU</w:t>
      </w:r>
      <w:r w:rsidR="00304EAE" w:rsidRPr="00B65996">
        <w:rPr>
          <w:bCs/>
          <w:lang w:val="en-AU"/>
        </w:rPr>
        <w:t xml:space="preserve"> and on European Security</w:t>
      </w:r>
    </w:p>
    <w:p w14:paraId="0E4DB180" w14:textId="712E4353" w:rsidR="008E1EA9" w:rsidRPr="00D5794C" w:rsidRDefault="008E1EA9" w:rsidP="007E68CB">
      <w:pPr>
        <w:rPr>
          <w:bCs/>
          <w:color w:val="FFFF00"/>
          <w:lang w:val="en-AU"/>
        </w:rPr>
      </w:pPr>
      <w:r w:rsidRPr="00D5794C">
        <w:rPr>
          <w:bCs/>
          <w:color w:val="FFFF00"/>
          <w:lang w:val="en-AU"/>
        </w:rPr>
        <w:tab/>
      </w:r>
    </w:p>
    <w:p w14:paraId="58836B5A" w14:textId="77777777" w:rsidR="0066560F" w:rsidRPr="006A1F39" w:rsidRDefault="006D74B1" w:rsidP="007E68CB">
      <w:pPr>
        <w:rPr>
          <w:bCs/>
          <w:u w:val="single"/>
          <w:lang w:val="en-AU"/>
        </w:rPr>
      </w:pPr>
      <w:r w:rsidRPr="006A1F39">
        <w:rPr>
          <w:bCs/>
          <w:u w:val="single"/>
          <w:lang w:val="en-AU"/>
        </w:rPr>
        <w:t>Background reading</w:t>
      </w:r>
      <w:r w:rsidR="002C78DC" w:rsidRPr="006A1F39">
        <w:rPr>
          <w:bCs/>
          <w:u w:val="single"/>
          <w:lang w:val="en-AU"/>
        </w:rPr>
        <w:t>s</w:t>
      </w:r>
      <w:r w:rsidR="001B1526" w:rsidRPr="006A1F39">
        <w:rPr>
          <w:bCs/>
          <w:u w:val="single"/>
          <w:lang w:val="en-AU"/>
        </w:rPr>
        <w:t xml:space="preserve"> (Please read unless you have a strong background in EU studies)</w:t>
      </w:r>
      <w:r w:rsidRPr="006A1F39">
        <w:rPr>
          <w:bCs/>
          <w:u w:val="single"/>
          <w:lang w:val="en-AU"/>
        </w:rPr>
        <w:t xml:space="preserve">: </w:t>
      </w:r>
    </w:p>
    <w:p w14:paraId="18B6D1D4" w14:textId="41E914BD" w:rsidR="006E7780" w:rsidRDefault="006E7780" w:rsidP="007E68CB">
      <w:pPr>
        <w:pStyle w:val="ListParagraph"/>
        <w:numPr>
          <w:ilvl w:val="0"/>
          <w:numId w:val="25"/>
        </w:numPr>
        <w:rPr>
          <w:bCs/>
          <w:lang w:val="en-AU"/>
        </w:rPr>
      </w:pPr>
      <w:r>
        <w:rPr>
          <w:bCs/>
          <w:lang w:val="en-AU"/>
        </w:rPr>
        <w:t xml:space="preserve">Congressional Research Service, </w:t>
      </w:r>
      <w:r>
        <w:rPr>
          <w:bCs/>
          <w:i/>
          <w:lang w:val="en-AU"/>
        </w:rPr>
        <w:t>The European Union: questions and answers</w:t>
      </w:r>
      <w:r>
        <w:rPr>
          <w:bCs/>
          <w:lang w:val="en-AU"/>
        </w:rPr>
        <w:t>, 2021, available at</w:t>
      </w:r>
      <w:r>
        <w:rPr>
          <w:bCs/>
          <w:i/>
          <w:lang w:val="en-AU"/>
        </w:rPr>
        <w:t xml:space="preserve"> </w:t>
      </w:r>
      <w:r w:rsidRPr="006E7780">
        <w:rPr>
          <w:bCs/>
          <w:lang w:val="en-AU"/>
        </w:rPr>
        <w:t>https://sgp.fas.org/crs/row/RS21372.pdf</w:t>
      </w:r>
    </w:p>
    <w:p w14:paraId="44BA38FB" w14:textId="77777777" w:rsidR="006D74B1" w:rsidRPr="006A1F39" w:rsidRDefault="006D74B1" w:rsidP="007E68CB">
      <w:pPr>
        <w:pStyle w:val="ListParagraph"/>
        <w:numPr>
          <w:ilvl w:val="0"/>
          <w:numId w:val="25"/>
        </w:numPr>
        <w:rPr>
          <w:bCs/>
          <w:lang w:val="en-AU"/>
        </w:rPr>
      </w:pPr>
      <w:r w:rsidRPr="006A1F39">
        <w:rPr>
          <w:bCs/>
          <w:lang w:val="en-AU"/>
        </w:rPr>
        <w:t>Constantin Chira-Pascanut, ‘A Short History of the Europ</w:t>
      </w:r>
      <w:r w:rsidR="001B1526" w:rsidRPr="006A1F39">
        <w:rPr>
          <w:bCs/>
          <w:lang w:val="en-AU"/>
        </w:rPr>
        <w:t xml:space="preserve">ean Union: From Rome to Lisbon’ </w:t>
      </w:r>
      <w:r w:rsidRPr="006A1F39">
        <w:rPr>
          <w:bCs/>
          <w:lang w:val="en-AU"/>
        </w:rPr>
        <w:t>in Emmanuel Brunet-Jailly, Achim Hurrelmann, and Amy Verdun, eds</w:t>
      </w:r>
      <w:r w:rsidRPr="006A1F39">
        <w:rPr>
          <w:bCs/>
          <w:i/>
          <w:lang w:val="en-AU"/>
        </w:rPr>
        <w:t>.,  European Union Governance and Policy-Making: A Canadian Perspective</w:t>
      </w:r>
      <w:r w:rsidRPr="006A1F39">
        <w:rPr>
          <w:bCs/>
          <w:lang w:val="en-AU"/>
        </w:rPr>
        <w:t xml:space="preserve"> (University of Toronto Press, 2018), pp. 17-40.</w:t>
      </w:r>
    </w:p>
    <w:p w14:paraId="3728D47E" w14:textId="77777777" w:rsidR="009A1E80" w:rsidRPr="006A1F39" w:rsidRDefault="006D74B1" w:rsidP="007E68CB">
      <w:pPr>
        <w:pStyle w:val="ListParagraph"/>
        <w:numPr>
          <w:ilvl w:val="0"/>
          <w:numId w:val="25"/>
        </w:numPr>
        <w:rPr>
          <w:bCs/>
          <w:lang w:val="en-AU"/>
        </w:rPr>
      </w:pPr>
      <w:r w:rsidRPr="006A1F39">
        <w:rPr>
          <w:bCs/>
          <w:lang w:val="en-AU"/>
        </w:rPr>
        <w:t xml:space="preserve">Finn Laursen, ‘The Major Legislative and Executive Bodies of the European Union,’ in </w:t>
      </w:r>
      <w:r w:rsidRPr="006A1F39">
        <w:rPr>
          <w:bCs/>
          <w:i/>
          <w:lang w:val="en-AU"/>
        </w:rPr>
        <w:t xml:space="preserve">European Union Governance and Policy-Making: A Canadian Perspective </w:t>
      </w:r>
      <w:r w:rsidRPr="006A1F39">
        <w:rPr>
          <w:bCs/>
          <w:lang w:val="en-AU"/>
        </w:rPr>
        <w:t>(2018), pp. 41-63.</w:t>
      </w:r>
    </w:p>
    <w:p w14:paraId="5B44201A" w14:textId="29C7CDC8" w:rsidR="00BD03A4" w:rsidRPr="00DA4922" w:rsidRDefault="00B65996" w:rsidP="004F55BE">
      <w:pPr>
        <w:pStyle w:val="ListParagraph"/>
        <w:numPr>
          <w:ilvl w:val="0"/>
          <w:numId w:val="25"/>
        </w:numPr>
        <w:rPr>
          <w:bCs/>
          <w:lang w:val="en-AU"/>
        </w:rPr>
      </w:pPr>
      <w:r>
        <w:rPr>
          <w:bCs/>
          <w:lang w:val="en-AU"/>
        </w:rPr>
        <w:t>John McCormick and Jan Zielon</w:t>
      </w:r>
      <w:r w:rsidRPr="00DA4922">
        <w:rPr>
          <w:bCs/>
          <w:lang w:val="en-AU"/>
        </w:rPr>
        <w:t xml:space="preserve">ka, </w:t>
      </w:r>
      <w:r w:rsidR="00BD03A4" w:rsidRPr="00DA4922">
        <w:rPr>
          <w:bCs/>
          <w:lang w:val="en-AU"/>
        </w:rPr>
        <w:t xml:space="preserve">‘The European Union: success or failure?’ in Hubert Zimmermann and Andreas Dur, eds, </w:t>
      </w:r>
      <w:r w:rsidR="00BD03A4" w:rsidRPr="00DA4922">
        <w:rPr>
          <w:bCs/>
          <w:i/>
          <w:lang w:val="en-AU"/>
        </w:rPr>
        <w:t>Key</w:t>
      </w:r>
      <w:r w:rsidR="00BD03A4" w:rsidRPr="00DA4922">
        <w:rPr>
          <w:bCs/>
          <w:lang w:val="en-AU"/>
        </w:rPr>
        <w:t xml:space="preserve"> </w:t>
      </w:r>
      <w:r w:rsidR="00BD03A4" w:rsidRPr="00DA4922">
        <w:rPr>
          <w:bCs/>
          <w:i/>
          <w:lang w:val="en-AU"/>
        </w:rPr>
        <w:t>Controversies in European Integration</w:t>
      </w:r>
      <w:r w:rsidR="00636E84" w:rsidRPr="00DA4922">
        <w:rPr>
          <w:bCs/>
          <w:i/>
          <w:lang w:val="en-AU"/>
        </w:rPr>
        <w:t xml:space="preserve"> </w:t>
      </w:r>
      <w:r w:rsidR="00636E84" w:rsidRPr="00DA4922">
        <w:rPr>
          <w:bCs/>
          <w:lang w:val="en-AU"/>
        </w:rPr>
        <w:t>(Bloomsbury 2021), pp. 1-17</w:t>
      </w:r>
      <w:r w:rsidR="00BD03A4" w:rsidRPr="00DA4922">
        <w:rPr>
          <w:bCs/>
          <w:i/>
          <w:lang w:val="en-AU"/>
        </w:rPr>
        <w:t xml:space="preserve"> </w:t>
      </w:r>
    </w:p>
    <w:p w14:paraId="2D7EA770" w14:textId="45EE6D7A" w:rsidR="005047BB" w:rsidRPr="005047BB" w:rsidRDefault="005047BB" w:rsidP="004F55BE">
      <w:pPr>
        <w:pStyle w:val="ListParagraph"/>
        <w:numPr>
          <w:ilvl w:val="0"/>
          <w:numId w:val="25"/>
        </w:numPr>
        <w:rPr>
          <w:bCs/>
          <w:lang w:val="en-AU"/>
        </w:rPr>
      </w:pPr>
      <w:r w:rsidRPr="005047BB">
        <w:rPr>
          <w:bCs/>
          <w:lang w:val="en-AU"/>
        </w:rPr>
        <w:t xml:space="preserve">Daniel Fiott and Marco Zeiss, </w:t>
      </w:r>
      <w:r w:rsidRPr="005047BB">
        <w:rPr>
          <w:bCs/>
          <w:i/>
          <w:lang w:val="en-AU"/>
        </w:rPr>
        <w:t>Yearbook of European Security 2021</w:t>
      </w:r>
      <w:r w:rsidRPr="005047BB">
        <w:rPr>
          <w:bCs/>
          <w:lang w:val="en-AU"/>
        </w:rPr>
        <w:t xml:space="preserve">, European Union Institute for Security Studies, </w:t>
      </w:r>
      <w:r w:rsidR="009D5AAE">
        <w:rPr>
          <w:bCs/>
          <w:lang w:val="en-AU"/>
        </w:rPr>
        <w:t xml:space="preserve">pp. 11-43 (Preface, Introduction, the EU and Covid 19), </w:t>
      </w:r>
      <w:r w:rsidRPr="005047BB">
        <w:rPr>
          <w:bCs/>
          <w:lang w:val="en-AU"/>
        </w:rPr>
        <w:t>available at https://www.iss.europa.eu/sites/default/files/EUISSFiles/YES_2021.pdf</w:t>
      </w:r>
    </w:p>
    <w:p w14:paraId="4B44B89A" w14:textId="77777777" w:rsidR="002B7858" w:rsidRDefault="002B7858" w:rsidP="004F55BE">
      <w:pPr>
        <w:ind w:firstLine="720"/>
        <w:rPr>
          <w:bCs/>
          <w:lang w:val="en-AU"/>
        </w:rPr>
      </w:pPr>
    </w:p>
    <w:p w14:paraId="1C28A768" w14:textId="6CD94675" w:rsidR="009B383B" w:rsidRDefault="009B383B" w:rsidP="004F55BE">
      <w:pPr>
        <w:ind w:firstLine="720"/>
        <w:rPr>
          <w:bCs/>
          <w:lang w:val="en-AU"/>
        </w:rPr>
      </w:pPr>
      <w:r>
        <w:rPr>
          <w:bCs/>
          <w:lang w:val="en-AU"/>
        </w:rPr>
        <w:t xml:space="preserve">Optional: </w:t>
      </w:r>
    </w:p>
    <w:p w14:paraId="5EAB0FD4" w14:textId="77777777" w:rsidR="009B383B" w:rsidRDefault="009B383B" w:rsidP="004F55BE">
      <w:pPr>
        <w:ind w:firstLine="720"/>
        <w:rPr>
          <w:bCs/>
          <w:lang w:val="en-AU"/>
        </w:rPr>
      </w:pPr>
    </w:p>
    <w:p w14:paraId="12A1DE60" w14:textId="77777777" w:rsidR="009B383B" w:rsidRPr="00AA63BC" w:rsidRDefault="009B383B" w:rsidP="009B383B">
      <w:pPr>
        <w:pStyle w:val="ListParagraph"/>
        <w:numPr>
          <w:ilvl w:val="0"/>
          <w:numId w:val="25"/>
        </w:numPr>
        <w:rPr>
          <w:bCs/>
          <w:i/>
          <w:lang w:val="en-AU"/>
        </w:rPr>
      </w:pPr>
      <w:r w:rsidRPr="00AA63BC">
        <w:rPr>
          <w:bCs/>
          <w:lang w:val="en-AU"/>
        </w:rPr>
        <w:t xml:space="preserve">Joan DeBardeleben, ‘Geopolitics of the EU,’ </w:t>
      </w:r>
      <w:r w:rsidRPr="00AA63BC">
        <w:rPr>
          <w:bCs/>
          <w:i/>
          <w:lang w:val="en-AU"/>
        </w:rPr>
        <w:t xml:space="preserve">European Union Governance and Policy-Making: A Canadian Perspective </w:t>
      </w:r>
      <w:r w:rsidRPr="00AA63BC">
        <w:rPr>
          <w:bCs/>
          <w:lang w:val="en-AU"/>
        </w:rPr>
        <w:t>(2018),</w:t>
      </w:r>
      <w:r>
        <w:rPr>
          <w:bCs/>
          <w:lang w:val="en-AU"/>
        </w:rPr>
        <w:t xml:space="preserve"> </w:t>
      </w:r>
      <w:r w:rsidRPr="00AA63BC">
        <w:rPr>
          <w:bCs/>
          <w:lang w:val="en-AU"/>
        </w:rPr>
        <w:t>pp. 359-378</w:t>
      </w:r>
    </w:p>
    <w:p w14:paraId="3D18BB88" w14:textId="77777777" w:rsidR="009B383B" w:rsidRPr="00DA4922" w:rsidRDefault="009B383B" w:rsidP="009B383B">
      <w:pPr>
        <w:pStyle w:val="ListParagraph"/>
        <w:numPr>
          <w:ilvl w:val="0"/>
          <w:numId w:val="25"/>
        </w:numPr>
        <w:rPr>
          <w:bCs/>
          <w:lang w:val="en-AU"/>
        </w:rPr>
      </w:pPr>
      <w:r w:rsidRPr="00DA4922">
        <w:rPr>
          <w:bCs/>
          <w:lang w:val="en-AU"/>
        </w:rPr>
        <w:t xml:space="preserve">Luca Ratti and Hanna Ojanen, ‘Towards a Common European Army?’ in Hubert Zimmermann and Andreas Dur, eds, </w:t>
      </w:r>
      <w:r w:rsidRPr="00DA4922">
        <w:rPr>
          <w:bCs/>
          <w:i/>
          <w:lang w:val="en-AU"/>
        </w:rPr>
        <w:t>Key</w:t>
      </w:r>
      <w:r w:rsidRPr="00DA4922">
        <w:rPr>
          <w:bCs/>
          <w:lang w:val="en-AU"/>
        </w:rPr>
        <w:t xml:space="preserve"> </w:t>
      </w:r>
      <w:r w:rsidRPr="00DA4922">
        <w:rPr>
          <w:bCs/>
          <w:i/>
          <w:lang w:val="en-AU"/>
        </w:rPr>
        <w:t xml:space="preserve">Controversies in European Integration </w:t>
      </w:r>
      <w:r w:rsidRPr="00DA4922">
        <w:rPr>
          <w:bCs/>
          <w:lang w:val="en-AU"/>
        </w:rPr>
        <w:t>(Bloomsbury 2021), pp. 165-179</w:t>
      </w:r>
    </w:p>
    <w:p w14:paraId="638B2A0E" w14:textId="77777777" w:rsidR="009B383B" w:rsidRPr="006A1F39" w:rsidRDefault="009B383B" w:rsidP="004F55BE">
      <w:pPr>
        <w:ind w:firstLine="720"/>
        <w:rPr>
          <w:bCs/>
          <w:lang w:val="en-AU"/>
        </w:rPr>
      </w:pPr>
    </w:p>
    <w:p w14:paraId="266AD585" w14:textId="34187E0A" w:rsidR="002B7858" w:rsidRPr="00AA63BC" w:rsidRDefault="002B7858" w:rsidP="002B7858">
      <w:pPr>
        <w:rPr>
          <w:b/>
          <w:bCs/>
          <w:lang w:val="en-AU"/>
        </w:rPr>
      </w:pPr>
      <w:r w:rsidRPr="00AA63BC">
        <w:rPr>
          <w:b/>
          <w:bCs/>
          <w:lang w:val="en-AU"/>
        </w:rPr>
        <w:t>Session 2</w:t>
      </w:r>
      <w:r w:rsidR="00D76CBC" w:rsidRPr="00AA63BC">
        <w:rPr>
          <w:b/>
          <w:bCs/>
          <w:lang w:val="en-AU"/>
        </w:rPr>
        <w:t>:</w:t>
      </w:r>
      <w:r w:rsidRPr="00AA63BC">
        <w:rPr>
          <w:b/>
          <w:bCs/>
          <w:lang w:val="en-AU"/>
        </w:rPr>
        <w:t xml:space="preserve"> </w:t>
      </w:r>
      <w:r w:rsidR="00D7385F" w:rsidRPr="00AA63BC">
        <w:rPr>
          <w:b/>
          <w:bCs/>
          <w:lang w:val="en-AU"/>
        </w:rPr>
        <w:t>Tuesday</w:t>
      </w:r>
      <w:r w:rsidR="009C157F" w:rsidRPr="00AA63BC">
        <w:rPr>
          <w:b/>
          <w:bCs/>
          <w:lang w:val="en-AU"/>
        </w:rPr>
        <w:t xml:space="preserve">, </w:t>
      </w:r>
      <w:r w:rsidR="00D7385F" w:rsidRPr="00AA63BC">
        <w:rPr>
          <w:b/>
          <w:bCs/>
          <w:lang w:val="en-AU"/>
        </w:rPr>
        <w:t>January 18</w:t>
      </w:r>
      <w:r w:rsidR="009C157F" w:rsidRPr="00AA63BC">
        <w:rPr>
          <w:b/>
          <w:bCs/>
          <w:lang w:val="en-AU"/>
        </w:rPr>
        <w:t xml:space="preserve"> </w:t>
      </w:r>
      <w:r w:rsidRPr="00AA63BC">
        <w:rPr>
          <w:b/>
          <w:bCs/>
          <w:lang w:val="en-AU"/>
        </w:rPr>
        <w:t xml:space="preserve"> </w:t>
      </w:r>
    </w:p>
    <w:p w14:paraId="6B8E2688" w14:textId="6A97F6F2" w:rsidR="00246BB9" w:rsidRPr="00AA63BC" w:rsidRDefault="00304EAE" w:rsidP="00246BB9">
      <w:pPr>
        <w:rPr>
          <w:b/>
          <w:bCs/>
          <w:lang w:val="en-AU"/>
        </w:rPr>
      </w:pPr>
      <w:r w:rsidRPr="00AA63BC">
        <w:rPr>
          <w:b/>
          <w:bCs/>
          <w:lang w:val="en-AU"/>
        </w:rPr>
        <w:t>The EU in</w:t>
      </w:r>
      <w:r w:rsidR="00752A85" w:rsidRPr="00AA63BC">
        <w:rPr>
          <w:b/>
          <w:bCs/>
          <w:lang w:val="en-AU"/>
        </w:rPr>
        <w:t xml:space="preserve"> the</w:t>
      </w:r>
      <w:r w:rsidRPr="00AA63BC">
        <w:rPr>
          <w:b/>
          <w:bCs/>
          <w:lang w:val="en-AU"/>
        </w:rPr>
        <w:t xml:space="preserve"> European and Transatlantic Security</w:t>
      </w:r>
      <w:r w:rsidR="00752A85" w:rsidRPr="00AA63BC">
        <w:rPr>
          <w:b/>
          <w:bCs/>
          <w:lang w:val="en-AU"/>
        </w:rPr>
        <w:t xml:space="preserve"> Architecture</w:t>
      </w:r>
    </w:p>
    <w:p w14:paraId="260CEB2F" w14:textId="2AA806BF" w:rsidR="00246BB9" w:rsidRDefault="00246BB9" w:rsidP="00246BB9">
      <w:pPr>
        <w:rPr>
          <w:bCs/>
          <w:lang w:val="en-AU"/>
        </w:rPr>
      </w:pPr>
      <w:r w:rsidRPr="006A1F39">
        <w:rPr>
          <w:bCs/>
          <w:lang w:val="en-AU"/>
        </w:rPr>
        <w:tab/>
      </w:r>
    </w:p>
    <w:p w14:paraId="458C2310" w14:textId="20AEB574" w:rsidR="00DA4922" w:rsidRPr="00DA4922" w:rsidRDefault="00DA4922" w:rsidP="00246BB9">
      <w:pPr>
        <w:rPr>
          <w:bCs/>
          <w:lang w:val="en-AU"/>
        </w:rPr>
      </w:pPr>
      <w:r>
        <w:rPr>
          <w:bCs/>
          <w:lang w:val="en-AU"/>
        </w:rPr>
        <w:tab/>
        <w:t>The Transatlantic Security Architecture</w:t>
      </w:r>
    </w:p>
    <w:p w14:paraId="58A73227" w14:textId="0090E462" w:rsidR="008A6B3A" w:rsidRPr="00DA4922" w:rsidRDefault="00246BB9" w:rsidP="00246BB9">
      <w:pPr>
        <w:rPr>
          <w:bCs/>
          <w:lang w:val="en-AU"/>
        </w:rPr>
      </w:pPr>
      <w:r w:rsidRPr="00DA4922">
        <w:rPr>
          <w:bCs/>
          <w:lang w:val="en-AU"/>
        </w:rPr>
        <w:tab/>
      </w:r>
      <w:r w:rsidR="008A6B3A" w:rsidRPr="00DA4922">
        <w:rPr>
          <w:bCs/>
          <w:lang w:val="en-AU"/>
        </w:rPr>
        <w:t xml:space="preserve">The </w:t>
      </w:r>
      <w:r w:rsidR="00636E84" w:rsidRPr="00DA4922">
        <w:rPr>
          <w:bCs/>
          <w:lang w:val="en-AU"/>
        </w:rPr>
        <w:t>EEC/</w:t>
      </w:r>
      <w:r w:rsidR="008A6B3A" w:rsidRPr="00DA4922">
        <w:rPr>
          <w:bCs/>
          <w:lang w:val="en-AU"/>
        </w:rPr>
        <w:t>EU as an international actor</w:t>
      </w:r>
    </w:p>
    <w:p w14:paraId="213BF855" w14:textId="198980B6" w:rsidR="00D35486" w:rsidRPr="00DA4922" w:rsidRDefault="00D35486" w:rsidP="00246BB9">
      <w:pPr>
        <w:rPr>
          <w:bCs/>
          <w:lang w:val="en-AU"/>
        </w:rPr>
      </w:pPr>
      <w:r w:rsidRPr="00DA4922">
        <w:rPr>
          <w:bCs/>
          <w:lang w:val="en-AU"/>
        </w:rPr>
        <w:t xml:space="preserve"> </w:t>
      </w:r>
      <w:r w:rsidR="006C48B3" w:rsidRPr="00DA4922">
        <w:rPr>
          <w:bCs/>
          <w:lang w:val="en-AU"/>
        </w:rPr>
        <w:tab/>
        <w:t>The EPC</w:t>
      </w:r>
    </w:p>
    <w:p w14:paraId="14B29984" w14:textId="6067FE0D" w:rsidR="00D35486" w:rsidRPr="00DA4922" w:rsidRDefault="00D35486" w:rsidP="00246BB9">
      <w:pPr>
        <w:rPr>
          <w:bCs/>
          <w:lang w:val="en-AU"/>
        </w:rPr>
      </w:pPr>
      <w:r w:rsidRPr="00DA4922">
        <w:rPr>
          <w:bCs/>
          <w:lang w:val="en-AU"/>
        </w:rPr>
        <w:tab/>
        <w:t>The 1992 Maastricht Treaty</w:t>
      </w:r>
      <w:r w:rsidR="00636E84" w:rsidRPr="00DA4922">
        <w:rPr>
          <w:bCs/>
          <w:lang w:val="en-AU"/>
        </w:rPr>
        <w:t xml:space="preserve"> and the CFSP</w:t>
      </w:r>
    </w:p>
    <w:p w14:paraId="22B81F1E" w14:textId="1B89B4E7" w:rsidR="00D35486" w:rsidRPr="00DA4922" w:rsidRDefault="00AA63BC" w:rsidP="00246BB9">
      <w:pPr>
        <w:rPr>
          <w:bCs/>
          <w:lang w:val="en-AU"/>
        </w:rPr>
      </w:pPr>
      <w:r w:rsidRPr="00DA4922">
        <w:rPr>
          <w:bCs/>
          <w:lang w:val="en-AU"/>
        </w:rPr>
        <w:tab/>
        <w:t>The 1998</w:t>
      </w:r>
      <w:r w:rsidR="00D35486" w:rsidRPr="00DA4922">
        <w:rPr>
          <w:bCs/>
          <w:lang w:val="en-AU"/>
        </w:rPr>
        <w:t xml:space="preserve"> St Malo </w:t>
      </w:r>
      <w:r w:rsidR="00636E84" w:rsidRPr="00DA4922">
        <w:rPr>
          <w:bCs/>
          <w:lang w:val="en-AU"/>
        </w:rPr>
        <w:t>Declaration</w:t>
      </w:r>
    </w:p>
    <w:p w14:paraId="0C8E844A" w14:textId="77777777" w:rsidR="00246BB9" w:rsidRPr="00DA4922" w:rsidRDefault="008A6B3A" w:rsidP="00246BB9">
      <w:pPr>
        <w:rPr>
          <w:bCs/>
          <w:lang w:val="en-AU"/>
        </w:rPr>
      </w:pPr>
      <w:r w:rsidRPr="00DA4922">
        <w:rPr>
          <w:bCs/>
          <w:lang w:val="en-AU"/>
        </w:rPr>
        <w:tab/>
      </w:r>
      <w:r w:rsidR="00246BB9" w:rsidRPr="00DA4922">
        <w:rPr>
          <w:bCs/>
          <w:lang w:val="en-AU"/>
        </w:rPr>
        <w:t>The 2003 European Security Strategy</w:t>
      </w:r>
    </w:p>
    <w:p w14:paraId="5275BBCF" w14:textId="77777777" w:rsidR="00246BB9" w:rsidRPr="00DA4922" w:rsidRDefault="00246BB9" w:rsidP="00246BB9">
      <w:pPr>
        <w:rPr>
          <w:bCs/>
          <w:lang w:val="en-AU"/>
        </w:rPr>
      </w:pPr>
      <w:r w:rsidRPr="00DA4922">
        <w:rPr>
          <w:bCs/>
          <w:lang w:val="en-AU"/>
        </w:rPr>
        <w:tab/>
        <w:t>The 2016 Global Strategy</w:t>
      </w:r>
    </w:p>
    <w:p w14:paraId="09B2E57F" w14:textId="367A45FC" w:rsidR="00246BB9" w:rsidRPr="00DA4922" w:rsidRDefault="00246BB9" w:rsidP="00246BB9">
      <w:pPr>
        <w:rPr>
          <w:bCs/>
          <w:lang w:val="en-AU"/>
        </w:rPr>
      </w:pPr>
      <w:r w:rsidRPr="00DA4922">
        <w:rPr>
          <w:bCs/>
          <w:lang w:val="en-AU"/>
        </w:rPr>
        <w:tab/>
      </w:r>
      <w:r w:rsidR="00636E84" w:rsidRPr="00DA4922">
        <w:rPr>
          <w:bCs/>
          <w:lang w:val="en-AU"/>
        </w:rPr>
        <w:t>European Strategic Autonomy</w:t>
      </w:r>
      <w:r w:rsidRPr="00DA4922">
        <w:rPr>
          <w:bCs/>
          <w:lang w:val="en-AU"/>
        </w:rPr>
        <w:t xml:space="preserve"> </w:t>
      </w:r>
    </w:p>
    <w:p w14:paraId="0A2F2144" w14:textId="3C152041" w:rsidR="00246BB9" w:rsidRDefault="00246BB9" w:rsidP="00636E84">
      <w:pPr>
        <w:rPr>
          <w:bCs/>
          <w:lang w:val="en-AU"/>
        </w:rPr>
      </w:pPr>
      <w:r w:rsidRPr="00AA63BC">
        <w:rPr>
          <w:bCs/>
          <w:lang w:val="en-AU"/>
        </w:rPr>
        <w:tab/>
      </w:r>
    </w:p>
    <w:p w14:paraId="59A87A7C" w14:textId="77777777" w:rsidR="00F43F06" w:rsidRDefault="00F43F06" w:rsidP="00636E84">
      <w:pPr>
        <w:rPr>
          <w:bCs/>
          <w:lang w:val="en-AU"/>
        </w:rPr>
      </w:pPr>
    </w:p>
    <w:p w14:paraId="2F6FDD23" w14:textId="77777777" w:rsidR="00F43F06" w:rsidRPr="00AA63BC" w:rsidRDefault="00F43F06" w:rsidP="00636E84">
      <w:pPr>
        <w:rPr>
          <w:bCs/>
          <w:lang w:val="en-AU"/>
        </w:rPr>
      </w:pPr>
    </w:p>
    <w:p w14:paraId="4D1BDD5B" w14:textId="1469CBFC" w:rsidR="00246BB9" w:rsidRDefault="00246BB9" w:rsidP="00246BB9">
      <w:pPr>
        <w:pStyle w:val="ListParagraph"/>
        <w:ind w:left="0"/>
        <w:textAlignment w:val="baseline"/>
        <w:rPr>
          <w:u w:val="single"/>
          <w:lang w:val="en-AU"/>
        </w:rPr>
      </w:pPr>
      <w:r w:rsidRPr="006A1F39">
        <w:rPr>
          <w:u w:val="single"/>
          <w:lang w:val="en-AU"/>
        </w:rPr>
        <w:t>Required</w:t>
      </w:r>
      <w:r w:rsidR="00F43F06">
        <w:rPr>
          <w:u w:val="single"/>
          <w:lang w:val="en-AU"/>
        </w:rPr>
        <w:t>:</w:t>
      </w:r>
    </w:p>
    <w:p w14:paraId="23822F32" w14:textId="77777777" w:rsidR="00CA4FBE" w:rsidRDefault="00CA4FBE" w:rsidP="00246BB9">
      <w:pPr>
        <w:pStyle w:val="ListParagraph"/>
        <w:ind w:left="0"/>
        <w:textAlignment w:val="baseline"/>
        <w:rPr>
          <w:u w:val="single"/>
          <w:lang w:val="en-AU"/>
        </w:rPr>
      </w:pPr>
    </w:p>
    <w:p w14:paraId="5459623C" w14:textId="77777777" w:rsidR="00CA4FBE" w:rsidRDefault="00CA4FBE" w:rsidP="00246BB9">
      <w:pPr>
        <w:pStyle w:val="ListParagraph"/>
        <w:ind w:left="0"/>
        <w:textAlignment w:val="baseline"/>
        <w:rPr>
          <w:u w:val="single"/>
          <w:lang w:val="en-AU"/>
        </w:rPr>
      </w:pPr>
    </w:p>
    <w:p w14:paraId="0899E875" w14:textId="77777777" w:rsidR="00CA4FBE" w:rsidRPr="00AA63BC" w:rsidRDefault="00CA4FBE" w:rsidP="00CA4FBE">
      <w:pPr>
        <w:pStyle w:val="ListParagraph"/>
        <w:numPr>
          <w:ilvl w:val="0"/>
          <w:numId w:val="20"/>
        </w:numPr>
        <w:rPr>
          <w:sz w:val="20"/>
          <w:szCs w:val="20"/>
          <w:lang w:val="it-IT" w:eastAsia="it-IT"/>
        </w:rPr>
      </w:pPr>
      <w:r>
        <w:rPr>
          <w:shd w:val="clear" w:color="auto" w:fill="FFFFFF"/>
          <w:lang w:val="it-IT" w:eastAsia="it-IT"/>
        </w:rPr>
        <w:t>Hugo Meijer and Stephen G. Brooks ‘</w:t>
      </w:r>
      <w:r w:rsidRPr="00AA63BC">
        <w:rPr>
          <w:shd w:val="clear" w:color="auto" w:fill="FFFFFF"/>
          <w:lang w:val="it-IT" w:eastAsia="it-IT"/>
        </w:rPr>
        <w:t xml:space="preserve">Illusions of Autonomy: Why Europe Cannot Provide for Its Security </w:t>
      </w:r>
      <w:r>
        <w:rPr>
          <w:shd w:val="clear" w:color="auto" w:fill="FFFFFF"/>
          <w:lang w:val="it-IT" w:eastAsia="it-IT"/>
        </w:rPr>
        <w:t>If the United States Pulls Back’,</w:t>
      </w:r>
      <w:r w:rsidRPr="00AA63BC">
        <w:rPr>
          <w:shd w:val="clear" w:color="auto" w:fill="FFFFFF"/>
          <w:lang w:val="it-IT" w:eastAsia="it-IT"/>
        </w:rPr>
        <w:t> </w:t>
      </w:r>
      <w:r w:rsidRPr="00AA63BC">
        <w:rPr>
          <w:i/>
          <w:iCs/>
          <w:bdr w:val="none" w:sz="0" w:space="0" w:color="auto" w:frame="1"/>
          <w:shd w:val="clear" w:color="auto" w:fill="FFFFFF"/>
          <w:lang w:val="it-IT" w:eastAsia="it-IT"/>
        </w:rPr>
        <w:t>International Security</w:t>
      </w:r>
      <w:r>
        <w:rPr>
          <w:shd w:val="clear" w:color="auto" w:fill="FFFFFF"/>
          <w:lang w:val="it-IT" w:eastAsia="it-IT"/>
        </w:rPr>
        <w:t> 2021, 45 (4), pp.</w:t>
      </w:r>
      <w:r w:rsidRPr="00AA63BC">
        <w:rPr>
          <w:shd w:val="clear" w:color="auto" w:fill="FFFFFF"/>
          <w:lang w:val="it-IT" w:eastAsia="it-IT"/>
        </w:rPr>
        <w:t xml:space="preserve"> 7–43. </w:t>
      </w:r>
    </w:p>
    <w:p w14:paraId="137772E6" w14:textId="77777777" w:rsidR="00CA4FBE" w:rsidRPr="00AA63BC" w:rsidRDefault="00CA4FBE" w:rsidP="00CA4FBE">
      <w:pPr>
        <w:pStyle w:val="ListParagraph"/>
        <w:numPr>
          <w:ilvl w:val="0"/>
          <w:numId w:val="26"/>
        </w:numPr>
        <w:ind w:left="720"/>
        <w:rPr>
          <w:lang w:val="en-AU"/>
        </w:rPr>
      </w:pPr>
      <w:r w:rsidRPr="00AA63BC">
        <w:rPr>
          <w:lang w:val="en-AU"/>
        </w:rPr>
        <w:t>Nathalie Tocci, ‘</w:t>
      </w:r>
      <w:r w:rsidRPr="00AA63BC">
        <w:rPr>
          <w:lang w:val="it-IT" w:eastAsia="it-IT"/>
        </w:rPr>
        <w:t xml:space="preserve">European Strategic Autonomy: What It Is, Why We Need It, How to Achieve It’, IAI Research Paper 2021, </w:t>
      </w:r>
      <w:hyperlink r:id="rId8" w:history="1">
        <w:r w:rsidRPr="00AA63BC">
          <w:rPr>
            <w:rStyle w:val="Hyperlink"/>
            <w:color w:val="auto"/>
            <w:lang w:val="it-IT" w:eastAsia="it-IT"/>
          </w:rPr>
          <w:t>https://www.iai.it/sites/default/files/9788893681780.pdf</w:t>
        </w:r>
      </w:hyperlink>
    </w:p>
    <w:p w14:paraId="687FA357" w14:textId="77777777" w:rsidR="00CA4FBE" w:rsidRPr="00AA63BC" w:rsidRDefault="00CA4FBE" w:rsidP="00CA4FBE">
      <w:pPr>
        <w:pStyle w:val="ListParagraph"/>
        <w:numPr>
          <w:ilvl w:val="0"/>
          <w:numId w:val="26"/>
        </w:numPr>
        <w:ind w:left="720"/>
        <w:rPr>
          <w:lang w:val="en-AU"/>
        </w:rPr>
      </w:pPr>
      <w:r w:rsidRPr="00AA63BC">
        <w:rPr>
          <w:shd w:val="clear" w:color="auto" w:fill="FFFFFF"/>
          <w:lang w:val="it-IT" w:eastAsia="it-IT"/>
        </w:rPr>
        <w:t>Riccard</w:t>
      </w:r>
      <w:r>
        <w:rPr>
          <w:shd w:val="clear" w:color="auto" w:fill="FFFFFF"/>
          <w:lang w:val="it-IT" w:eastAsia="it-IT"/>
        </w:rPr>
        <w:t>o Alcaro &amp; Nathalie Tocci,</w:t>
      </w:r>
      <w:r w:rsidRPr="00AA63BC">
        <w:rPr>
          <w:shd w:val="clear" w:color="auto" w:fill="FFFFFF"/>
          <w:lang w:val="it-IT" w:eastAsia="it-IT"/>
        </w:rPr>
        <w:t> </w:t>
      </w:r>
      <w:r>
        <w:rPr>
          <w:shd w:val="clear" w:color="auto" w:fill="FFFFFF"/>
          <w:lang w:val="it-IT" w:eastAsia="it-IT"/>
        </w:rPr>
        <w:t>‘</w:t>
      </w:r>
      <w:r w:rsidRPr="00AA63BC">
        <w:rPr>
          <w:shd w:val="clear" w:color="auto" w:fill="FFFFFF"/>
          <w:lang w:val="it-IT" w:eastAsia="it-IT"/>
        </w:rPr>
        <w:t>Navigating a Covid World: The European Union’s Internal Rebirth and External Quest</w:t>
      </w:r>
      <w:r>
        <w:rPr>
          <w:shd w:val="clear" w:color="auto" w:fill="FFFFFF"/>
          <w:lang w:val="it-IT" w:eastAsia="it-IT"/>
        </w:rPr>
        <w:t>’</w:t>
      </w:r>
      <w:r w:rsidRPr="00AA63BC">
        <w:rPr>
          <w:shd w:val="clear" w:color="auto" w:fill="FFFFFF"/>
          <w:lang w:val="it-IT" w:eastAsia="it-IT"/>
        </w:rPr>
        <w:t>, </w:t>
      </w:r>
      <w:r w:rsidRPr="00EA37E1">
        <w:rPr>
          <w:i/>
          <w:shd w:val="clear" w:color="auto" w:fill="FFFFFF"/>
          <w:lang w:val="it-IT" w:eastAsia="it-IT"/>
        </w:rPr>
        <w:t>The International Spectator</w:t>
      </w:r>
      <w:r w:rsidRPr="00AA63BC">
        <w:rPr>
          <w:shd w:val="clear" w:color="auto" w:fill="FFFFFF"/>
          <w:lang w:val="it-IT" w:eastAsia="it-IT"/>
        </w:rPr>
        <w:t>, </w:t>
      </w:r>
      <w:r>
        <w:rPr>
          <w:shd w:val="clear" w:color="auto" w:fill="FFFFFF"/>
          <w:lang w:val="it-IT" w:eastAsia="it-IT"/>
        </w:rPr>
        <w:t xml:space="preserve">2021, </w:t>
      </w:r>
      <w:r w:rsidRPr="00AA63BC">
        <w:rPr>
          <w:shd w:val="clear" w:color="auto" w:fill="FFFFFF"/>
          <w:lang w:val="it-IT" w:eastAsia="it-IT"/>
        </w:rPr>
        <w:t>56:2, </w:t>
      </w:r>
      <w:r>
        <w:rPr>
          <w:shd w:val="clear" w:color="auto" w:fill="FFFFFF"/>
          <w:lang w:val="it-IT" w:eastAsia="it-IT"/>
        </w:rPr>
        <w:t xml:space="preserve">pp. </w:t>
      </w:r>
      <w:r w:rsidRPr="00AA63BC">
        <w:rPr>
          <w:shd w:val="clear" w:color="auto" w:fill="FFFFFF"/>
          <w:lang w:val="it-IT" w:eastAsia="it-IT"/>
        </w:rPr>
        <w:t>1-18</w:t>
      </w:r>
    </w:p>
    <w:p w14:paraId="03AA2CE1" w14:textId="57F861F8" w:rsidR="00CA4FBE" w:rsidRPr="00EA37E1" w:rsidRDefault="00CA4FBE" w:rsidP="00CA4FBE">
      <w:pPr>
        <w:pStyle w:val="ListParagraph"/>
        <w:numPr>
          <w:ilvl w:val="0"/>
          <w:numId w:val="26"/>
        </w:numPr>
        <w:ind w:left="720"/>
        <w:rPr>
          <w:lang w:val="en-AU"/>
        </w:rPr>
      </w:pPr>
      <w:r w:rsidRPr="00AA63BC">
        <w:rPr>
          <w:lang w:val="it-IT" w:eastAsia="it-IT"/>
        </w:rPr>
        <w:t xml:space="preserve">Jolyon Howorth, </w:t>
      </w:r>
      <w:r w:rsidR="004F046C">
        <w:rPr>
          <w:lang w:val="it-IT" w:eastAsia="it-IT"/>
        </w:rPr>
        <w:t>‘</w:t>
      </w:r>
      <w:r w:rsidRPr="00AA63BC">
        <w:rPr>
          <w:lang w:val="it-IT" w:eastAsia="it-IT"/>
        </w:rPr>
        <w:t>EU-NATO Cooperation and Strategic Autonomy: Logical Contradiction or Ariadne’s Thread?</w:t>
      </w:r>
      <w:r w:rsidR="004F046C">
        <w:rPr>
          <w:lang w:val="it-IT" w:eastAsia="it-IT"/>
        </w:rPr>
        <w:t>’</w:t>
      </w:r>
      <w:r w:rsidRPr="00AA63BC">
        <w:rPr>
          <w:lang w:val="it-IT" w:eastAsia="it-IT"/>
        </w:rPr>
        <w:t xml:space="preserve">, </w:t>
      </w:r>
      <w:r w:rsidRPr="004F046C">
        <w:rPr>
          <w:i/>
          <w:lang w:val="it-IT" w:eastAsia="it-IT"/>
        </w:rPr>
        <w:t>KFG Working Paper Series</w:t>
      </w:r>
      <w:r w:rsidRPr="00AA63BC">
        <w:rPr>
          <w:lang w:val="it-IT" w:eastAsia="it-IT"/>
        </w:rPr>
        <w:t>, no. 90, 2018</w:t>
      </w:r>
      <w:r>
        <w:rPr>
          <w:lang w:val="it-IT" w:eastAsia="it-IT"/>
        </w:rPr>
        <w:t xml:space="preserve">, </w:t>
      </w:r>
      <w:r w:rsidRPr="00EA37E1">
        <w:rPr>
          <w:lang w:val="it-IT" w:eastAsia="it-IT"/>
        </w:rPr>
        <w:t xml:space="preserve">https://refubium.fu-berlin.de/bitstream/handle/fub188/22767/WP_90_Howorth_WEB.pdf?sequence=1&amp;isAllowed=y </w:t>
      </w:r>
    </w:p>
    <w:p w14:paraId="041A862C" w14:textId="477D6B4A" w:rsidR="00CA4FBE" w:rsidRPr="004F046C" w:rsidRDefault="00CA4FBE" w:rsidP="00CA4FBE">
      <w:pPr>
        <w:pStyle w:val="ListParagraph"/>
        <w:numPr>
          <w:ilvl w:val="0"/>
          <w:numId w:val="26"/>
        </w:numPr>
        <w:ind w:left="720"/>
        <w:rPr>
          <w:lang w:val="en-AU"/>
        </w:rPr>
      </w:pPr>
      <w:r w:rsidRPr="00EA37E1">
        <w:rPr>
          <w:rStyle w:val="pagerange"/>
          <w:lang w:val="en-AU"/>
        </w:rPr>
        <w:t xml:space="preserve">Pol Bargues, ‘From Resilience to Strategic Autonomy: A shift in the Implementation of the Global Strategy?’, </w:t>
      </w:r>
      <w:r w:rsidRPr="00EA37E1">
        <w:rPr>
          <w:rStyle w:val="pagerange"/>
          <w:i/>
          <w:lang w:val="en-AU"/>
        </w:rPr>
        <w:t>EU-LISTCO Policy Paper</w:t>
      </w:r>
      <w:r w:rsidRPr="00EA37E1">
        <w:rPr>
          <w:rStyle w:val="pagerange"/>
          <w:lang w:val="en-AU"/>
        </w:rPr>
        <w:t>,</w:t>
      </w:r>
      <w:r>
        <w:rPr>
          <w:rStyle w:val="pagerange"/>
          <w:lang w:val="en-AU"/>
        </w:rPr>
        <w:t xml:space="preserve"> no. 9, February 2021</w:t>
      </w:r>
      <w:r w:rsidRPr="004F046C">
        <w:rPr>
          <w:rStyle w:val="pagerange"/>
          <w:lang w:val="en-AU"/>
        </w:rPr>
        <w:t xml:space="preserve">, </w:t>
      </w:r>
      <w:hyperlink r:id="rId9" w:history="1">
        <w:r w:rsidRPr="004F046C">
          <w:rPr>
            <w:rStyle w:val="Hyperlink"/>
            <w:color w:val="auto"/>
            <w:u w:val="none"/>
            <w:lang w:val="en-AU"/>
          </w:rPr>
          <w:t>https://d-nb.info/1233679198/34</w:t>
        </w:r>
      </w:hyperlink>
    </w:p>
    <w:p w14:paraId="4107D9FB" w14:textId="7AA38534" w:rsidR="00246BB9" w:rsidRPr="004F046C" w:rsidRDefault="00246BB9" w:rsidP="00246BB9">
      <w:pPr>
        <w:pStyle w:val="ListParagraph"/>
        <w:numPr>
          <w:ilvl w:val="0"/>
          <w:numId w:val="20"/>
        </w:numPr>
        <w:rPr>
          <w:lang w:val="en-AU"/>
        </w:rPr>
      </w:pPr>
      <w:r w:rsidRPr="004F046C">
        <w:rPr>
          <w:i/>
          <w:lang w:val="en-AU"/>
        </w:rPr>
        <w:t xml:space="preserve">Shared Vision, Common Action: A Stronger Europe A Global Strategy for the European Union’s Foreign And Security Policy </w:t>
      </w:r>
      <w:r w:rsidRPr="004F046C">
        <w:rPr>
          <w:lang w:val="en-AU"/>
        </w:rPr>
        <w:t xml:space="preserve">(executive summary and </w:t>
      </w:r>
      <w:r w:rsidR="00AA63BC" w:rsidRPr="004F046C">
        <w:rPr>
          <w:lang w:val="en-AU"/>
        </w:rPr>
        <w:t xml:space="preserve">Section 3.1, </w:t>
      </w:r>
      <w:r w:rsidRPr="004F046C">
        <w:rPr>
          <w:lang w:val="en-AU"/>
        </w:rPr>
        <w:t xml:space="preserve">2016), </w:t>
      </w:r>
      <w:hyperlink r:id="rId10" w:history="1">
        <w:r w:rsidR="000D2AD3" w:rsidRPr="004F046C">
          <w:rPr>
            <w:rStyle w:val="Hyperlink"/>
            <w:color w:val="auto"/>
            <w:u w:val="none"/>
            <w:lang w:val="en-AU"/>
          </w:rPr>
          <w:t>https://eeas.europa.eu/top_stories/pdf/eugs_review_web.pdf</w:t>
        </w:r>
      </w:hyperlink>
    </w:p>
    <w:p w14:paraId="7CD8EA70" w14:textId="0687F45E" w:rsidR="000D2AD3" w:rsidRDefault="000D2AD3" w:rsidP="000D2AD3">
      <w:pPr>
        <w:pStyle w:val="ListParagraph"/>
        <w:numPr>
          <w:ilvl w:val="0"/>
          <w:numId w:val="20"/>
        </w:numPr>
        <w:rPr>
          <w:lang w:val="it-IT" w:eastAsia="it-IT"/>
        </w:rPr>
      </w:pPr>
      <w:r w:rsidRPr="000D2AD3">
        <w:rPr>
          <w:lang w:val="it-IT" w:eastAsia="it-IT"/>
        </w:rPr>
        <w:t xml:space="preserve">Arnout Molenar, ‘Unlocking European Defence. In Search of the Long Overdue Paradigm Shift’, </w:t>
      </w:r>
      <w:r w:rsidRPr="000D2AD3">
        <w:rPr>
          <w:i/>
          <w:lang w:val="it-IT" w:eastAsia="it-IT"/>
        </w:rPr>
        <w:t>IAI 2021 Policy Brief</w:t>
      </w:r>
      <w:r w:rsidRPr="000D2AD3">
        <w:rPr>
          <w:lang w:val="it-IT" w:eastAsia="it-IT"/>
        </w:rPr>
        <w:t xml:space="preserve">, available at </w:t>
      </w:r>
      <w:hyperlink r:id="rId11" w:history="1">
        <w:r w:rsidR="00327F09" w:rsidRPr="00A729E2">
          <w:rPr>
            <w:rStyle w:val="Hyperlink"/>
            <w:lang w:val="it-IT" w:eastAsia="it-IT"/>
          </w:rPr>
          <w:t>https://www.iai.it/sites/default/files/iaip2101.pdf</w:t>
        </w:r>
      </w:hyperlink>
    </w:p>
    <w:p w14:paraId="6C59BF44" w14:textId="300B79A5" w:rsidR="000D2AD3" w:rsidRPr="00F43F06" w:rsidRDefault="00327F09" w:rsidP="00F43F06">
      <w:pPr>
        <w:pStyle w:val="ListParagraph"/>
        <w:numPr>
          <w:ilvl w:val="0"/>
          <w:numId w:val="20"/>
        </w:numPr>
        <w:shd w:val="clear" w:color="auto" w:fill="FFFFFF"/>
        <w:rPr>
          <w:lang w:val="en-AU"/>
        </w:rPr>
      </w:pPr>
      <w:r w:rsidRPr="002117DC">
        <w:rPr>
          <w:lang w:val="en-AU"/>
        </w:rPr>
        <w:t xml:space="preserve">Daniel Fiott and Marco Zeiss, </w:t>
      </w:r>
      <w:r>
        <w:rPr>
          <w:lang w:val="en-AU"/>
        </w:rPr>
        <w:t>‘Americas’</w:t>
      </w:r>
      <w:r w:rsidRPr="007F3470">
        <w:rPr>
          <w:lang w:val="en-AU"/>
        </w:rPr>
        <w:t xml:space="preserve">, </w:t>
      </w:r>
      <w:r w:rsidRPr="007F3470">
        <w:rPr>
          <w:i/>
          <w:lang w:val="en-AU"/>
        </w:rPr>
        <w:t>Yearbook of European Security</w:t>
      </w:r>
      <w:r w:rsidRPr="007F3470">
        <w:rPr>
          <w:lang w:val="en-AU"/>
        </w:rPr>
        <w:t>, 2021, pp.</w:t>
      </w:r>
      <w:r>
        <w:rPr>
          <w:lang w:val="en-AU"/>
        </w:rPr>
        <w:t xml:space="preserve"> 128-147</w:t>
      </w:r>
      <w:r w:rsidRPr="007F3470">
        <w:rPr>
          <w:lang w:val="en-AU"/>
        </w:rPr>
        <w:t>, available at https://www.iss.europa.eu/sites/default/files/EUISSFiles</w:t>
      </w:r>
      <w:r w:rsidRPr="00290454">
        <w:rPr>
          <w:lang w:val="en-AU"/>
        </w:rPr>
        <w:t>/YES_2021.pdf</w:t>
      </w:r>
    </w:p>
    <w:p w14:paraId="7A451DDB" w14:textId="77777777" w:rsidR="00246BB9" w:rsidRPr="00F43F06" w:rsidRDefault="00246BB9" w:rsidP="0079325B">
      <w:pPr>
        <w:rPr>
          <w:rStyle w:val="pagerange"/>
          <w:lang w:val="en-AU"/>
        </w:rPr>
      </w:pPr>
    </w:p>
    <w:p w14:paraId="4897651A" w14:textId="11E796AB" w:rsidR="00246BB9" w:rsidRPr="00F43F06" w:rsidRDefault="00F43F06" w:rsidP="00246BB9">
      <w:pPr>
        <w:pStyle w:val="ListParagraph"/>
        <w:ind w:left="0"/>
        <w:rPr>
          <w:lang w:val="en-AU"/>
        </w:rPr>
      </w:pPr>
      <w:r w:rsidRPr="00F43F06">
        <w:rPr>
          <w:shd w:val="clear" w:color="auto" w:fill="FFFFFF"/>
          <w:lang w:val="en-AU"/>
        </w:rPr>
        <w:t>Optional</w:t>
      </w:r>
      <w:r w:rsidR="00246BB9" w:rsidRPr="00F43F06">
        <w:rPr>
          <w:shd w:val="clear" w:color="auto" w:fill="FFFFFF"/>
          <w:lang w:val="en-AU"/>
        </w:rPr>
        <w:t>:</w:t>
      </w:r>
    </w:p>
    <w:p w14:paraId="730E6ABD" w14:textId="60A01B1F" w:rsidR="00246BB9" w:rsidRPr="006A1F39" w:rsidRDefault="00DA4922" w:rsidP="00246BB9">
      <w:pPr>
        <w:pStyle w:val="ListParagraph"/>
        <w:numPr>
          <w:ilvl w:val="0"/>
          <w:numId w:val="20"/>
        </w:numPr>
        <w:textAlignment w:val="baseline"/>
        <w:rPr>
          <w:lang w:val="en-AU"/>
        </w:rPr>
      </w:pPr>
      <w:r>
        <w:rPr>
          <w:lang w:val="en-AU"/>
        </w:rPr>
        <w:t>‘</w:t>
      </w:r>
      <w:r w:rsidR="00246BB9" w:rsidRPr="006A1F39">
        <w:rPr>
          <w:lang w:val="en-AU"/>
        </w:rPr>
        <w:t>A S</w:t>
      </w:r>
      <w:r>
        <w:rPr>
          <w:lang w:val="en-AU"/>
        </w:rPr>
        <w:t>ecure Europe in a Better World</w:t>
      </w:r>
      <w:r>
        <w:rPr>
          <w:bCs/>
          <w:lang w:val="en-AU"/>
        </w:rPr>
        <w:t>’</w:t>
      </w:r>
      <w:r>
        <w:rPr>
          <w:lang w:val="en-AU"/>
        </w:rPr>
        <w:t>,</w:t>
      </w:r>
      <w:r w:rsidR="00246BB9" w:rsidRPr="006A1F39">
        <w:rPr>
          <w:lang w:val="en-AU"/>
        </w:rPr>
        <w:t xml:space="preserve"> </w:t>
      </w:r>
      <w:r w:rsidR="00246BB9" w:rsidRPr="00DA4922">
        <w:rPr>
          <w:i/>
          <w:lang w:val="en-AU"/>
        </w:rPr>
        <w:t>European Security Strategy</w:t>
      </w:r>
      <w:r w:rsidR="00246BB9" w:rsidRPr="006A1F39">
        <w:rPr>
          <w:lang w:val="en-AU"/>
        </w:rPr>
        <w:t xml:space="preserve"> Dec. 12, 2003, </w:t>
      </w:r>
      <w:hyperlink r:id="rId12" w:history="1">
        <w:r w:rsidR="00246BB9" w:rsidRPr="006A1F39">
          <w:rPr>
            <w:rStyle w:val="Hyperlink"/>
            <w:lang w:val="en-AU"/>
          </w:rPr>
          <w:t>https://europa.eu/globalstrategy/en/european-security-strategy-secure-europe-better-world</w:t>
        </w:r>
      </w:hyperlink>
      <w:r w:rsidR="00246BB9" w:rsidRPr="006A1F39">
        <w:rPr>
          <w:lang w:val="en-AU"/>
        </w:rPr>
        <w:t xml:space="preserve"> (skim this document)</w:t>
      </w:r>
    </w:p>
    <w:p w14:paraId="0B21BBC4" w14:textId="41DA9CD6" w:rsidR="008D5637" w:rsidRPr="006A1F39" w:rsidRDefault="008D5637" w:rsidP="008D5637">
      <w:pPr>
        <w:pStyle w:val="ListParagraph"/>
        <w:numPr>
          <w:ilvl w:val="0"/>
          <w:numId w:val="20"/>
        </w:numPr>
        <w:rPr>
          <w:lang w:val="en-AU"/>
        </w:rPr>
      </w:pPr>
      <w:r w:rsidRPr="006A1F39">
        <w:rPr>
          <w:rStyle w:val="authors"/>
          <w:shd w:val="clear" w:color="auto" w:fill="FFFFFF"/>
          <w:lang w:val="en-AU"/>
        </w:rPr>
        <w:t>Per M. Norheim-Martinsen</w:t>
      </w:r>
      <w:r w:rsidRPr="006A1F39">
        <w:rPr>
          <w:rStyle w:val="Date1"/>
          <w:i/>
          <w:shd w:val="clear" w:color="auto" w:fill="FFFFFF"/>
          <w:lang w:val="en-AU"/>
        </w:rPr>
        <w:t xml:space="preserve">, </w:t>
      </w:r>
      <w:r w:rsidR="00DA4922">
        <w:rPr>
          <w:i/>
          <w:shd w:val="clear" w:color="auto" w:fill="FFFFFF"/>
          <w:lang w:val="en-AU"/>
        </w:rPr>
        <w:t>‘</w:t>
      </w:r>
      <w:r w:rsidRPr="006A1F39">
        <w:rPr>
          <w:rStyle w:val="arttitle"/>
          <w:shd w:val="clear" w:color="auto" w:fill="FFFFFF"/>
          <w:lang w:val="en-AU"/>
        </w:rPr>
        <w:t>EU Strategic Culture: When the Means Becomes the End</w:t>
      </w:r>
      <w:r w:rsidR="00DA4922">
        <w:rPr>
          <w:rStyle w:val="arttitle"/>
          <w:shd w:val="clear" w:color="auto" w:fill="FFFFFF"/>
          <w:lang w:val="en-AU"/>
        </w:rPr>
        <w:t>’</w:t>
      </w:r>
      <w:r w:rsidRPr="006A1F39">
        <w:rPr>
          <w:rStyle w:val="arttitle"/>
          <w:i/>
          <w:shd w:val="clear" w:color="auto" w:fill="FFFFFF"/>
          <w:lang w:val="en-AU"/>
        </w:rPr>
        <w:t>,</w:t>
      </w:r>
      <w:r w:rsidRPr="006A1F39">
        <w:rPr>
          <w:shd w:val="clear" w:color="auto" w:fill="FFFFFF"/>
          <w:lang w:val="en-AU"/>
        </w:rPr>
        <w:t> </w:t>
      </w:r>
      <w:r w:rsidRPr="006A1F39">
        <w:rPr>
          <w:rStyle w:val="serialtitle"/>
          <w:i/>
          <w:shd w:val="clear" w:color="auto" w:fill="FFFFFF"/>
          <w:lang w:val="en-AU"/>
        </w:rPr>
        <w:t>Contemporary Security Po</w:t>
      </w:r>
      <w:r w:rsidRPr="006A1F39">
        <w:rPr>
          <w:rStyle w:val="serialtitle"/>
          <w:shd w:val="clear" w:color="auto" w:fill="FFFFFF"/>
          <w:lang w:val="en-AU"/>
        </w:rPr>
        <w:t>licy</w:t>
      </w:r>
      <w:r w:rsidR="00DA4922">
        <w:rPr>
          <w:rStyle w:val="serialtitle"/>
          <w:shd w:val="clear" w:color="auto" w:fill="FFFFFF"/>
          <w:lang w:val="en-AU"/>
        </w:rPr>
        <w:t>, 2011</w:t>
      </w:r>
      <w:r w:rsidRPr="006A1F39">
        <w:rPr>
          <w:rStyle w:val="serialtitle"/>
          <w:shd w:val="clear" w:color="auto" w:fill="FFFFFF"/>
          <w:lang w:val="en-AU"/>
        </w:rPr>
        <w:t xml:space="preserve"> </w:t>
      </w:r>
      <w:r w:rsidRPr="006A1F39">
        <w:rPr>
          <w:rStyle w:val="volumeissue"/>
          <w:shd w:val="clear" w:color="auto" w:fill="FFFFFF"/>
          <w:lang w:val="en-AU"/>
        </w:rPr>
        <w:t>32:3,</w:t>
      </w:r>
      <w:r w:rsidRPr="006A1F39">
        <w:rPr>
          <w:shd w:val="clear" w:color="auto" w:fill="FFFFFF"/>
          <w:lang w:val="en-AU"/>
        </w:rPr>
        <w:t> </w:t>
      </w:r>
      <w:r w:rsidR="00365F48">
        <w:rPr>
          <w:shd w:val="clear" w:color="auto" w:fill="FFFFFF"/>
          <w:lang w:val="en-AU"/>
        </w:rPr>
        <w:t xml:space="preserve">pp. </w:t>
      </w:r>
      <w:r w:rsidRPr="006A1F39">
        <w:rPr>
          <w:rStyle w:val="pagerange"/>
          <w:shd w:val="clear" w:color="auto" w:fill="FFFFFF"/>
          <w:lang w:val="en-AU"/>
        </w:rPr>
        <w:t>517-534</w:t>
      </w:r>
    </w:p>
    <w:p w14:paraId="282CFF48" w14:textId="6E1CA095" w:rsidR="00246BB9" w:rsidRPr="006A1F39" w:rsidRDefault="00246BB9" w:rsidP="00246BB9">
      <w:pPr>
        <w:pStyle w:val="ListParagraph"/>
        <w:numPr>
          <w:ilvl w:val="0"/>
          <w:numId w:val="20"/>
        </w:numPr>
        <w:textAlignment w:val="baseline"/>
        <w:rPr>
          <w:lang w:val="en-AU"/>
        </w:rPr>
      </w:pPr>
      <w:r w:rsidRPr="006A1F39">
        <w:rPr>
          <w:lang w:val="en-AU"/>
        </w:rPr>
        <w:t xml:space="preserve">European Union Institute for Security Studies, </w:t>
      </w:r>
      <w:r w:rsidRPr="006A1F39">
        <w:rPr>
          <w:i/>
          <w:lang w:val="en-AU"/>
        </w:rPr>
        <w:t>After the EU global strategy – consulting the experts: security and defense</w:t>
      </w:r>
      <w:r w:rsidRPr="006A1F39">
        <w:rPr>
          <w:lang w:val="en-AU"/>
        </w:rPr>
        <w:t xml:space="preserve"> (Paris, 2016)</w:t>
      </w:r>
      <w:r w:rsidR="00DA4922">
        <w:rPr>
          <w:lang w:val="en-AU"/>
        </w:rPr>
        <w:t xml:space="preserve">, available at </w:t>
      </w:r>
      <w:r w:rsidR="00DA4922" w:rsidRPr="00DA4922">
        <w:rPr>
          <w:lang w:val="en-AU"/>
        </w:rPr>
        <w:t>https://www.iss.europa.eu/content/after-eu-global-strategy-%E2%80%93-consulting-experts-%E2%80%93-security-and-defence</w:t>
      </w:r>
    </w:p>
    <w:p w14:paraId="614A4605" w14:textId="1562F434" w:rsidR="00246BB9" w:rsidRPr="006A1F39" w:rsidRDefault="00246BB9" w:rsidP="00246BB9">
      <w:pPr>
        <w:pStyle w:val="ListParagraph"/>
        <w:numPr>
          <w:ilvl w:val="0"/>
          <w:numId w:val="20"/>
        </w:numPr>
        <w:textAlignment w:val="baseline"/>
        <w:rPr>
          <w:lang w:val="en-AU"/>
        </w:rPr>
      </w:pPr>
      <w:r w:rsidRPr="006A1F39">
        <w:rPr>
          <w:lang w:val="en-AU"/>
        </w:rPr>
        <w:t xml:space="preserve">Goran </w:t>
      </w:r>
      <w:hyperlink r:id="rId13" w:tooltip="Search for ZENDELOVSKI, Goran" w:history="1">
        <w:r w:rsidRPr="006A1F39">
          <w:rPr>
            <w:rStyle w:val="Hyperlink"/>
            <w:color w:val="auto"/>
            <w:u w:val="none"/>
            <w:bdr w:val="none" w:sz="0" w:space="0" w:color="auto" w:frame="1"/>
            <w:lang w:val="en-AU"/>
          </w:rPr>
          <w:t>Zendelovski</w:t>
        </w:r>
      </w:hyperlink>
      <w:r w:rsidRPr="006A1F39">
        <w:rPr>
          <w:lang w:val="en-AU"/>
        </w:rPr>
        <w:t>, ‘The EU Between Old and New Security Strategies Approach</w:t>
      </w:r>
      <w:r w:rsidR="00DA4922">
        <w:rPr>
          <w:lang w:val="en-AU"/>
        </w:rPr>
        <w:t>’</w:t>
      </w:r>
      <w:r w:rsidRPr="006A1F39">
        <w:rPr>
          <w:lang w:val="en-AU"/>
        </w:rPr>
        <w:t>,</w:t>
      </w:r>
      <w:r w:rsidR="00DA4922">
        <w:rPr>
          <w:lang w:val="en-AU"/>
        </w:rPr>
        <w:t xml:space="preserve"> 2017,</w:t>
      </w:r>
      <w:r w:rsidRPr="006A1F39">
        <w:rPr>
          <w:lang w:val="en-AU"/>
        </w:rPr>
        <w:t xml:space="preserve"> </w:t>
      </w:r>
      <w:hyperlink r:id="rId14" w:tooltip="Search for Security Dialogues" w:history="1">
        <w:r w:rsidRPr="006A1F39">
          <w:rPr>
            <w:rStyle w:val="Strong"/>
            <w:b w:val="0"/>
            <w:i/>
            <w:bdr w:val="none" w:sz="0" w:space="0" w:color="auto" w:frame="1"/>
            <w:lang w:val="en-AU"/>
          </w:rPr>
          <w:t>Security</w:t>
        </w:r>
        <w:r w:rsidRPr="006A1F39">
          <w:rPr>
            <w:rStyle w:val="Hyperlink"/>
            <w:b/>
            <w:i/>
            <w:color w:val="auto"/>
            <w:u w:val="none"/>
            <w:bdr w:val="none" w:sz="0" w:space="0" w:color="auto" w:frame="1"/>
            <w:lang w:val="en-AU"/>
          </w:rPr>
          <w:t> </w:t>
        </w:r>
        <w:r w:rsidRPr="006A1F39">
          <w:rPr>
            <w:rStyle w:val="Hyperlink"/>
            <w:i/>
            <w:color w:val="auto"/>
            <w:u w:val="none"/>
            <w:bdr w:val="none" w:sz="0" w:space="0" w:color="auto" w:frame="1"/>
            <w:lang w:val="en-AU"/>
          </w:rPr>
          <w:t>Dialogues</w:t>
        </w:r>
      </w:hyperlink>
      <w:r w:rsidR="00DA4922">
        <w:rPr>
          <w:rStyle w:val="Hyperlink"/>
          <w:color w:val="auto"/>
          <w:u w:val="none"/>
          <w:bdr w:val="none" w:sz="0" w:space="0" w:color="auto" w:frame="1"/>
          <w:lang w:val="en-AU"/>
        </w:rPr>
        <w:t>,</w:t>
      </w:r>
      <w:r w:rsidR="00DA4922">
        <w:rPr>
          <w:lang w:val="en-AU"/>
        </w:rPr>
        <w:t xml:space="preserve"> 8:2</w:t>
      </w:r>
      <w:r w:rsidR="00365F48">
        <w:rPr>
          <w:lang w:val="en-AU"/>
        </w:rPr>
        <w:t xml:space="preserve">, pp. </w:t>
      </w:r>
      <w:r w:rsidRPr="006A1F39">
        <w:rPr>
          <w:lang w:val="en-AU"/>
        </w:rPr>
        <w:t>301-317</w:t>
      </w:r>
    </w:p>
    <w:p w14:paraId="33E7CD09" w14:textId="690D5FC1" w:rsidR="00CA4FBE" w:rsidRDefault="00DA4922" w:rsidP="001B7571">
      <w:pPr>
        <w:pStyle w:val="ListParagraph"/>
        <w:numPr>
          <w:ilvl w:val="0"/>
          <w:numId w:val="20"/>
        </w:numPr>
        <w:rPr>
          <w:lang w:val="en-AU"/>
        </w:rPr>
      </w:pPr>
      <w:r>
        <w:rPr>
          <w:lang w:val="en-AU"/>
        </w:rPr>
        <w:t>Sten Rynning, ‘</w:t>
      </w:r>
      <w:r w:rsidR="006405D1" w:rsidRPr="006A1F39">
        <w:rPr>
          <w:lang w:val="en-AU"/>
        </w:rPr>
        <w:t>The European Unio</w:t>
      </w:r>
      <w:r>
        <w:rPr>
          <w:lang w:val="en-AU"/>
        </w:rPr>
        <w:t>n: Towards a Strategic Culture?’,</w:t>
      </w:r>
      <w:r w:rsidR="006405D1" w:rsidRPr="006A1F39">
        <w:rPr>
          <w:lang w:val="en-AU"/>
        </w:rPr>
        <w:t xml:space="preserve"> </w:t>
      </w:r>
      <w:r w:rsidR="006405D1" w:rsidRPr="006A1F39">
        <w:rPr>
          <w:i/>
          <w:lang w:val="en-AU"/>
        </w:rPr>
        <w:t xml:space="preserve">Security </w:t>
      </w:r>
      <w:r w:rsidR="006405D1" w:rsidRPr="00DA4922">
        <w:rPr>
          <w:lang w:val="en-AU"/>
        </w:rPr>
        <w:t>Dialogue</w:t>
      </w:r>
      <w:r>
        <w:rPr>
          <w:lang w:val="en-AU"/>
        </w:rPr>
        <w:t xml:space="preserve">, 2003, </w:t>
      </w:r>
      <w:r w:rsidR="00365F48" w:rsidRPr="00DA4922">
        <w:rPr>
          <w:lang w:val="en-AU"/>
        </w:rPr>
        <w:t>vol</w:t>
      </w:r>
      <w:r w:rsidR="00365F48">
        <w:rPr>
          <w:lang w:val="en-AU"/>
        </w:rPr>
        <w:t>. 34, no. 4, pp.</w:t>
      </w:r>
      <w:r w:rsidR="006405D1" w:rsidRPr="006A1F39">
        <w:rPr>
          <w:lang w:val="en-AU"/>
        </w:rPr>
        <w:t xml:space="preserve"> 479–496</w:t>
      </w:r>
    </w:p>
    <w:p w14:paraId="14EDD1F3" w14:textId="1C0606EE" w:rsidR="000D2AD3" w:rsidRDefault="000D2AD3" w:rsidP="00F43F06">
      <w:pPr>
        <w:pStyle w:val="ListParagraph"/>
        <w:numPr>
          <w:ilvl w:val="0"/>
          <w:numId w:val="20"/>
        </w:numPr>
        <w:rPr>
          <w:bCs/>
          <w:lang w:val="en-AU"/>
        </w:rPr>
      </w:pPr>
      <w:r w:rsidRPr="00B63715">
        <w:rPr>
          <w:bCs/>
          <w:lang w:val="en-AU"/>
        </w:rPr>
        <w:t>Filippo Andreatta and Lorenzo Zamb</w:t>
      </w:r>
      <w:r>
        <w:rPr>
          <w:bCs/>
          <w:lang w:val="en-AU"/>
        </w:rPr>
        <w:t xml:space="preserve">ernardi, ‘The European Union as a Power’, in Christoper Hill, </w:t>
      </w:r>
      <w:r w:rsidRPr="00B63715">
        <w:rPr>
          <w:bCs/>
          <w:lang w:val="en-AU"/>
        </w:rPr>
        <w:t xml:space="preserve">Michael Smith, and Sophie Vanhoonacker,  eds., </w:t>
      </w:r>
      <w:r w:rsidRPr="00B63715">
        <w:rPr>
          <w:bCs/>
          <w:i/>
          <w:lang w:val="en-AU"/>
        </w:rPr>
        <w:t xml:space="preserve">International Relations </w:t>
      </w:r>
      <w:r w:rsidRPr="00AA63BC">
        <w:rPr>
          <w:bCs/>
          <w:i/>
          <w:lang w:val="en-AU"/>
        </w:rPr>
        <w:t>and the European Union</w:t>
      </w:r>
      <w:r w:rsidRPr="00AA63BC">
        <w:rPr>
          <w:bCs/>
          <w:lang w:val="en-AU"/>
        </w:rPr>
        <w:t>,  3rd ed., Oxford University Press, 2017), Ch.4  pp. 73-93</w:t>
      </w:r>
    </w:p>
    <w:p w14:paraId="059EF20B" w14:textId="77777777" w:rsidR="009B383B" w:rsidRPr="00EA37E1" w:rsidRDefault="009B383B" w:rsidP="009B383B">
      <w:pPr>
        <w:pStyle w:val="ListParagraph"/>
        <w:numPr>
          <w:ilvl w:val="0"/>
          <w:numId w:val="20"/>
        </w:numPr>
        <w:rPr>
          <w:lang w:val="en-AU"/>
        </w:rPr>
      </w:pPr>
      <w:r w:rsidRPr="00EA37E1">
        <w:rPr>
          <w:lang w:val="en-AU"/>
        </w:rPr>
        <w:t xml:space="preserve">Ana E. Juncos, ‘Resilience as the new EU foreign policy paradigm: a pragmatist turn?’, </w:t>
      </w:r>
      <w:r w:rsidRPr="00EA37E1">
        <w:rPr>
          <w:i/>
          <w:lang w:val="en-AU"/>
        </w:rPr>
        <w:t>European Security</w:t>
      </w:r>
      <w:r>
        <w:rPr>
          <w:lang w:val="en-AU"/>
        </w:rPr>
        <w:t>,</w:t>
      </w:r>
      <w:r w:rsidRPr="00EA37E1">
        <w:rPr>
          <w:lang w:val="en-AU"/>
        </w:rPr>
        <w:t xml:space="preserve"> 2017, 26:1, pp.1-18</w:t>
      </w:r>
    </w:p>
    <w:p w14:paraId="3DB83589" w14:textId="77777777" w:rsidR="009B383B" w:rsidRPr="00EA37E1" w:rsidRDefault="009B383B" w:rsidP="009B383B">
      <w:pPr>
        <w:pStyle w:val="ListParagraph"/>
        <w:numPr>
          <w:ilvl w:val="0"/>
          <w:numId w:val="20"/>
        </w:numPr>
        <w:rPr>
          <w:rStyle w:val="pagerange"/>
          <w:lang w:val="en-AU"/>
        </w:rPr>
      </w:pPr>
      <w:r w:rsidRPr="00B63715">
        <w:rPr>
          <w:rStyle w:val="authors"/>
          <w:color w:val="000000" w:themeColor="text1"/>
          <w:shd w:val="clear" w:color="auto" w:fill="FFFFFF"/>
          <w:lang w:val="en-AU"/>
        </w:rPr>
        <w:t>Per M. Norheim-Martinsen</w:t>
      </w:r>
      <w:r w:rsidRPr="00B63715">
        <w:rPr>
          <w:rStyle w:val="Date1"/>
          <w:i/>
          <w:color w:val="000000" w:themeColor="text1"/>
          <w:shd w:val="clear" w:color="auto" w:fill="FFFFFF"/>
          <w:lang w:val="en-AU"/>
        </w:rPr>
        <w:t xml:space="preserve">, </w:t>
      </w:r>
      <w:r>
        <w:rPr>
          <w:rStyle w:val="Date1"/>
          <w:color w:val="000000" w:themeColor="text1"/>
          <w:shd w:val="clear" w:color="auto" w:fill="FFFFFF"/>
          <w:lang w:val="en-AU"/>
        </w:rPr>
        <w:t>‘</w:t>
      </w:r>
      <w:r w:rsidRPr="00B63715">
        <w:rPr>
          <w:rStyle w:val="arttitle"/>
          <w:color w:val="000000" w:themeColor="text1"/>
          <w:shd w:val="clear" w:color="auto" w:fill="FFFFFF"/>
          <w:lang w:val="en-AU"/>
        </w:rPr>
        <w:t xml:space="preserve">EU Strategic </w:t>
      </w:r>
      <w:r w:rsidRPr="00EA37E1">
        <w:rPr>
          <w:rStyle w:val="arttitle"/>
          <w:shd w:val="clear" w:color="auto" w:fill="FFFFFF"/>
          <w:lang w:val="en-AU"/>
        </w:rPr>
        <w:t xml:space="preserve">Culture: When the Means Becomes the End’, </w:t>
      </w:r>
      <w:r w:rsidRPr="00EA37E1">
        <w:rPr>
          <w:rStyle w:val="serialtitle"/>
          <w:i/>
          <w:shd w:val="clear" w:color="auto" w:fill="FFFFFF"/>
          <w:lang w:val="en-AU"/>
        </w:rPr>
        <w:t>Contemporary Security</w:t>
      </w:r>
      <w:r w:rsidRPr="00EA37E1">
        <w:rPr>
          <w:rStyle w:val="serialtitle"/>
          <w:shd w:val="clear" w:color="auto" w:fill="FFFFFF"/>
          <w:lang w:val="en-AU"/>
        </w:rPr>
        <w:t xml:space="preserve"> Policy, </w:t>
      </w:r>
      <w:r>
        <w:rPr>
          <w:rStyle w:val="serialtitle"/>
          <w:shd w:val="clear" w:color="auto" w:fill="FFFFFF"/>
          <w:lang w:val="en-AU"/>
        </w:rPr>
        <w:t xml:space="preserve">2011, </w:t>
      </w:r>
      <w:r w:rsidRPr="00EA37E1">
        <w:rPr>
          <w:rStyle w:val="volumeissue"/>
          <w:shd w:val="clear" w:color="auto" w:fill="FFFFFF"/>
          <w:lang w:val="en-AU"/>
        </w:rPr>
        <w:t>32:3,</w:t>
      </w:r>
      <w:r w:rsidRPr="00EA37E1">
        <w:rPr>
          <w:shd w:val="clear" w:color="auto" w:fill="FFFFFF"/>
          <w:lang w:val="en-AU"/>
        </w:rPr>
        <w:t xml:space="preserve"> pp. </w:t>
      </w:r>
      <w:r w:rsidRPr="00EA37E1">
        <w:rPr>
          <w:rStyle w:val="pagerange"/>
          <w:shd w:val="clear" w:color="auto" w:fill="FFFFFF"/>
          <w:lang w:val="en-AU"/>
        </w:rPr>
        <w:t>517-534</w:t>
      </w:r>
    </w:p>
    <w:p w14:paraId="56EAB7ED" w14:textId="77777777" w:rsidR="009B383B" w:rsidRPr="00F43F06" w:rsidRDefault="009B383B" w:rsidP="009B383B">
      <w:pPr>
        <w:pStyle w:val="ListParagraph"/>
        <w:rPr>
          <w:bCs/>
          <w:lang w:val="en-AU"/>
        </w:rPr>
      </w:pPr>
    </w:p>
    <w:p w14:paraId="5EB1915C" w14:textId="77777777" w:rsidR="00CA4FBE" w:rsidRDefault="00CA4FBE" w:rsidP="001B7571">
      <w:pPr>
        <w:rPr>
          <w:b/>
          <w:bCs/>
          <w:lang w:val="en-AU"/>
        </w:rPr>
      </w:pPr>
    </w:p>
    <w:p w14:paraId="6B9DEF73" w14:textId="20C688EF" w:rsidR="001B7571" w:rsidRPr="006C48B3" w:rsidRDefault="00E63F6C" w:rsidP="001B7571">
      <w:pPr>
        <w:rPr>
          <w:b/>
          <w:bCs/>
          <w:lang w:val="en-AU"/>
        </w:rPr>
      </w:pPr>
      <w:r w:rsidRPr="006C48B3">
        <w:rPr>
          <w:b/>
          <w:bCs/>
          <w:lang w:val="en-AU"/>
        </w:rPr>
        <w:t xml:space="preserve">Session </w:t>
      </w:r>
      <w:r w:rsidR="003A50A3">
        <w:rPr>
          <w:b/>
          <w:bCs/>
          <w:lang w:val="en-AU"/>
        </w:rPr>
        <w:t>3</w:t>
      </w:r>
      <w:r w:rsidR="00D76CBC" w:rsidRPr="006C48B3">
        <w:rPr>
          <w:b/>
          <w:bCs/>
          <w:lang w:val="en-AU"/>
        </w:rPr>
        <w:t>:</w:t>
      </w:r>
      <w:r w:rsidR="00D7385F" w:rsidRPr="006C48B3">
        <w:rPr>
          <w:b/>
          <w:bCs/>
          <w:lang w:val="en-AU"/>
        </w:rPr>
        <w:t xml:space="preserve"> Tuesday</w:t>
      </w:r>
      <w:r w:rsidR="00246BB9" w:rsidRPr="006C48B3">
        <w:rPr>
          <w:b/>
          <w:bCs/>
          <w:lang w:val="en-AU"/>
        </w:rPr>
        <w:t xml:space="preserve">, </w:t>
      </w:r>
      <w:r w:rsidR="00671605">
        <w:rPr>
          <w:b/>
          <w:bCs/>
          <w:lang w:val="en-AU"/>
        </w:rPr>
        <w:t>January 25</w:t>
      </w:r>
    </w:p>
    <w:p w14:paraId="254D1AA6" w14:textId="2BF601DC" w:rsidR="00752A85" w:rsidRPr="006C48B3" w:rsidRDefault="00D5794C" w:rsidP="00752A85">
      <w:pPr>
        <w:textAlignment w:val="baseline"/>
        <w:rPr>
          <w:b/>
          <w:lang w:val="en-AU"/>
        </w:rPr>
      </w:pPr>
      <w:r w:rsidRPr="006C48B3">
        <w:rPr>
          <w:b/>
          <w:bCs/>
          <w:lang w:val="en-AU"/>
        </w:rPr>
        <w:t xml:space="preserve">EVOLVING </w:t>
      </w:r>
      <w:r w:rsidR="00D35486" w:rsidRPr="006C48B3">
        <w:rPr>
          <w:b/>
          <w:bCs/>
          <w:lang w:val="en-AU"/>
        </w:rPr>
        <w:t>SECURITY</w:t>
      </w:r>
      <w:r w:rsidRPr="006C48B3">
        <w:rPr>
          <w:b/>
          <w:bCs/>
          <w:lang w:val="en-AU"/>
        </w:rPr>
        <w:t xml:space="preserve"> </w:t>
      </w:r>
      <w:r w:rsidRPr="006C48B3">
        <w:rPr>
          <w:b/>
          <w:lang w:val="en-AU"/>
        </w:rPr>
        <w:t>AFTER THE COLD WAR</w:t>
      </w:r>
      <w:r w:rsidR="00E836F7" w:rsidRPr="006C48B3">
        <w:rPr>
          <w:b/>
          <w:bCs/>
          <w:lang w:val="en-AU"/>
        </w:rPr>
        <w:t>:</w:t>
      </w:r>
      <w:r w:rsidR="00D35486" w:rsidRPr="006C48B3">
        <w:rPr>
          <w:b/>
          <w:bCs/>
          <w:lang w:val="en-AU"/>
        </w:rPr>
        <w:t xml:space="preserve"> </w:t>
      </w:r>
      <w:r w:rsidR="00E836F7" w:rsidRPr="006C48B3">
        <w:rPr>
          <w:b/>
          <w:bCs/>
          <w:lang w:val="en-AU"/>
        </w:rPr>
        <w:t xml:space="preserve">NEW SECURITY CHALLENGES AND </w:t>
      </w:r>
      <w:r w:rsidR="00752A85" w:rsidRPr="006C48B3">
        <w:rPr>
          <w:b/>
          <w:bCs/>
          <w:lang w:val="en-AU"/>
        </w:rPr>
        <w:t>TH</w:t>
      </w:r>
      <w:r w:rsidR="00E836F7" w:rsidRPr="006C48B3">
        <w:rPr>
          <w:b/>
          <w:bCs/>
          <w:lang w:val="en-AU"/>
        </w:rPr>
        <w:t>E</w:t>
      </w:r>
      <w:r w:rsidR="00752A85" w:rsidRPr="006C48B3">
        <w:rPr>
          <w:b/>
          <w:lang w:val="en-AU"/>
        </w:rPr>
        <w:t xml:space="preserve"> EMERGING EUROPEAN IDENTITY </w:t>
      </w:r>
    </w:p>
    <w:p w14:paraId="49B57A99" w14:textId="77777777" w:rsidR="00752A85" w:rsidRPr="006A1F39" w:rsidRDefault="00752A85" w:rsidP="001B7571">
      <w:pPr>
        <w:rPr>
          <w:b/>
          <w:bCs/>
          <w:lang w:val="en-AU"/>
        </w:rPr>
      </w:pPr>
    </w:p>
    <w:p w14:paraId="56E5B8A9" w14:textId="77777777" w:rsidR="008E1EA9" w:rsidRDefault="006D74B1" w:rsidP="00CA4FBE">
      <w:pPr>
        <w:rPr>
          <w:bCs/>
          <w:lang w:val="en-AU"/>
        </w:rPr>
      </w:pPr>
      <w:r w:rsidRPr="006A1F39">
        <w:rPr>
          <w:bCs/>
          <w:lang w:val="en-AU"/>
        </w:rPr>
        <w:t>Concepts of security</w:t>
      </w:r>
    </w:p>
    <w:p w14:paraId="4B1B88BA" w14:textId="7A5933C3" w:rsidR="006C48B3" w:rsidRPr="006A1F39" w:rsidRDefault="006C48B3" w:rsidP="00CA4FBE">
      <w:pPr>
        <w:rPr>
          <w:bCs/>
          <w:lang w:val="en-AU"/>
        </w:rPr>
      </w:pPr>
      <w:r w:rsidRPr="00AA63BC">
        <w:rPr>
          <w:bCs/>
          <w:lang w:val="en-AU"/>
        </w:rPr>
        <w:t xml:space="preserve">The </w:t>
      </w:r>
      <w:r>
        <w:rPr>
          <w:bCs/>
          <w:lang w:val="en-AU"/>
        </w:rPr>
        <w:t xml:space="preserve">1973 </w:t>
      </w:r>
      <w:r w:rsidRPr="00AA63BC">
        <w:rPr>
          <w:bCs/>
          <w:lang w:val="en-AU"/>
        </w:rPr>
        <w:t>EEC Copenhagen Declaration</w:t>
      </w:r>
    </w:p>
    <w:p w14:paraId="45EA0A8E" w14:textId="77777777" w:rsidR="006405D1" w:rsidRPr="006A1F39" w:rsidRDefault="008E1EA9" w:rsidP="00CA4FBE">
      <w:pPr>
        <w:rPr>
          <w:bCs/>
          <w:lang w:val="en-AU"/>
        </w:rPr>
      </w:pPr>
      <w:r w:rsidRPr="006A1F39">
        <w:rPr>
          <w:bCs/>
          <w:lang w:val="en-AU"/>
        </w:rPr>
        <w:t>Soft vs. hard power responses</w:t>
      </w:r>
    </w:p>
    <w:p w14:paraId="3EA3B749" w14:textId="77777777" w:rsidR="006405D1" w:rsidRPr="006A1F39" w:rsidRDefault="006405D1" w:rsidP="00CA4FBE">
      <w:pPr>
        <w:rPr>
          <w:bCs/>
          <w:lang w:val="en-AU"/>
        </w:rPr>
      </w:pPr>
      <w:r w:rsidRPr="006A1F39">
        <w:rPr>
          <w:bCs/>
          <w:lang w:val="en-AU"/>
        </w:rPr>
        <w:t>Securitization and de-securitization</w:t>
      </w:r>
    </w:p>
    <w:p w14:paraId="29BB5339" w14:textId="77777777" w:rsidR="008D5637" w:rsidRPr="006A1F39" w:rsidRDefault="008E1EA9" w:rsidP="00CA4FBE">
      <w:pPr>
        <w:rPr>
          <w:bCs/>
          <w:lang w:val="en-AU"/>
        </w:rPr>
      </w:pPr>
      <w:r w:rsidRPr="006A1F39">
        <w:rPr>
          <w:bCs/>
          <w:lang w:val="en-AU"/>
        </w:rPr>
        <w:t xml:space="preserve">Security communities and strategic policy </w:t>
      </w:r>
    </w:p>
    <w:p w14:paraId="1274742C" w14:textId="3734A49A" w:rsidR="008E1EA9" w:rsidRPr="006A1F39" w:rsidRDefault="008D5637" w:rsidP="00CA4FBE">
      <w:pPr>
        <w:rPr>
          <w:bCs/>
          <w:lang w:val="en-AU"/>
        </w:rPr>
      </w:pPr>
      <w:r w:rsidRPr="006A1F39">
        <w:rPr>
          <w:bCs/>
          <w:lang w:val="en-AU"/>
        </w:rPr>
        <w:t>Non</w:t>
      </w:r>
      <w:r w:rsidR="006405D1" w:rsidRPr="006A1F39">
        <w:rPr>
          <w:bCs/>
          <w:lang w:val="en-AU"/>
        </w:rPr>
        <w:t>-traditional security challenges</w:t>
      </w:r>
      <w:r w:rsidRPr="006A1F39">
        <w:rPr>
          <w:bCs/>
          <w:lang w:val="en-AU"/>
        </w:rPr>
        <w:t>: climate change, energy, refugee flows</w:t>
      </w:r>
      <w:r w:rsidR="006C48B3">
        <w:rPr>
          <w:bCs/>
          <w:lang w:val="en-AU"/>
        </w:rPr>
        <w:t>, cyber</w:t>
      </w:r>
      <w:r w:rsidR="008E1EA9" w:rsidRPr="006A1F39" w:rsidDel="007E68CB">
        <w:rPr>
          <w:bCs/>
          <w:lang w:val="en-AU"/>
        </w:rPr>
        <w:t xml:space="preserve"> </w:t>
      </w:r>
    </w:p>
    <w:p w14:paraId="189973E2" w14:textId="77777777" w:rsidR="006D74B1" w:rsidRPr="006A1F39" w:rsidRDefault="006D74B1" w:rsidP="006D74B1">
      <w:pPr>
        <w:pStyle w:val="ListParagraph"/>
        <w:ind w:left="0"/>
        <w:rPr>
          <w:bCs/>
          <w:lang w:val="en-AU"/>
        </w:rPr>
      </w:pPr>
    </w:p>
    <w:p w14:paraId="51FF6BE8" w14:textId="2E448B9A" w:rsidR="001B1526" w:rsidRPr="006A1F39" w:rsidRDefault="00122A52" w:rsidP="006D74B1">
      <w:pPr>
        <w:pStyle w:val="ListParagraph"/>
        <w:ind w:left="0"/>
        <w:rPr>
          <w:bCs/>
          <w:u w:val="single"/>
          <w:lang w:val="en-AU"/>
        </w:rPr>
      </w:pPr>
      <w:r w:rsidRPr="006A1F39">
        <w:rPr>
          <w:bCs/>
          <w:u w:val="single"/>
          <w:lang w:val="en-AU"/>
        </w:rPr>
        <w:t>Required</w:t>
      </w:r>
      <w:r w:rsidR="00F43F06">
        <w:rPr>
          <w:bCs/>
          <w:u w:val="single"/>
          <w:lang w:val="en-AU"/>
        </w:rPr>
        <w:t>:</w:t>
      </w:r>
    </w:p>
    <w:p w14:paraId="67DB3911" w14:textId="77777777" w:rsidR="00A2147F" w:rsidRPr="00A2147F" w:rsidRDefault="00A2147F" w:rsidP="00A2147F">
      <w:pPr>
        <w:pStyle w:val="ListParagraph"/>
        <w:rPr>
          <w:rFonts w:ascii="Times" w:hAnsi="Times"/>
          <w:sz w:val="20"/>
          <w:szCs w:val="20"/>
          <w:lang w:val="it-IT" w:eastAsia="it-IT"/>
        </w:rPr>
      </w:pPr>
    </w:p>
    <w:p w14:paraId="28090B92" w14:textId="77777777" w:rsidR="00A2147F" w:rsidRPr="00A2147F" w:rsidRDefault="00A2147F" w:rsidP="00A2147F">
      <w:pPr>
        <w:pStyle w:val="ListParagraph"/>
        <w:rPr>
          <w:color w:val="FFFF00"/>
          <w:lang w:val="it-IT" w:eastAsia="it-IT"/>
        </w:rPr>
      </w:pPr>
    </w:p>
    <w:p w14:paraId="42FE4A32" w14:textId="683C2C4D" w:rsidR="00A2147F" w:rsidRPr="006C48B3" w:rsidRDefault="00A2147F" w:rsidP="00A2147F">
      <w:pPr>
        <w:pStyle w:val="ListParagraph"/>
        <w:numPr>
          <w:ilvl w:val="0"/>
          <w:numId w:val="23"/>
        </w:numPr>
        <w:rPr>
          <w:lang w:val="it-IT" w:eastAsia="it-IT"/>
        </w:rPr>
      </w:pPr>
      <w:r w:rsidRPr="006C48B3">
        <w:rPr>
          <w:bCs/>
          <w:lang w:val="en-AU"/>
        </w:rPr>
        <w:t>William Wallace, ‘</w:t>
      </w:r>
      <w:r w:rsidRPr="006C48B3">
        <w:rPr>
          <w:lang w:val="it-IT" w:eastAsia="it-IT"/>
        </w:rPr>
        <w:t xml:space="preserve">European foreign policy since the Cold War: How ambitious, how inhibited?’, </w:t>
      </w:r>
      <w:r w:rsidRPr="006C48B3">
        <w:rPr>
          <w:i/>
          <w:lang w:val="it-IT" w:eastAsia="it-IT"/>
        </w:rPr>
        <w:t>The British Journal of Politics and International Relations,</w:t>
      </w:r>
      <w:r w:rsidR="006C48B3">
        <w:rPr>
          <w:lang w:val="it-IT" w:eastAsia="it-IT"/>
        </w:rPr>
        <w:t xml:space="preserve"> 2017, </w:t>
      </w:r>
      <w:r w:rsidR="003A50A3">
        <w:rPr>
          <w:lang w:val="it-IT" w:eastAsia="it-IT"/>
        </w:rPr>
        <w:t xml:space="preserve">19:1, </w:t>
      </w:r>
      <w:r w:rsidR="006C48B3">
        <w:rPr>
          <w:lang w:val="it-IT" w:eastAsia="it-IT"/>
        </w:rPr>
        <w:t>pp.</w:t>
      </w:r>
      <w:r w:rsidRPr="006C48B3">
        <w:rPr>
          <w:lang w:val="it-IT" w:eastAsia="it-IT"/>
        </w:rPr>
        <w:t xml:space="preserve"> 77-90, http://www.dsps.unict.it/sites/default/files/files/Wallace_EUFP.pdf</w:t>
      </w:r>
    </w:p>
    <w:p w14:paraId="4EDB9612" w14:textId="20BADA90" w:rsidR="008D5637" w:rsidRPr="006A1F39" w:rsidRDefault="003A50A3" w:rsidP="008D5637">
      <w:pPr>
        <w:pStyle w:val="ListParagraph"/>
        <w:numPr>
          <w:ilvl w:val="0"/>
          <w:numId w:val="23"/>
        </w:numPr>
        <w:rPr>
          <w:bCs/>
          <w:lang w:val="en-AU"/>
        </w:rPr>
      </w:pPr>
      <w:r>
        <w:rPr>
          <w:bCs/>
          <w:lang w:val="en-AU"/>
        </w:rPr>
        <w:t>O. Waever, ‘</w:t>
      </w:r>
      <w:r w:rsidR="00B82BB8" w:rsidRPr="006A1F39">
        <w:rPr>
          <w:bCs/>
          <w:lang w:val="en-AU"/>
        </w:rPr>
        <w:t>Securitization and Desecuritization</w:t>
      </w:r>
      <w:r>
        <w:rPr>
          <w:bCs/>
          <w:lang w:val="en-AU"/>
        </w:rPr>
        <w:t xml:space="preserve">’, </w:t>
      </w:r>
      <w:r w:rsidR="00B82BB8" w:rsidRPr="006A1F39">
        <w:rPr>
          <w:bCs/>
          <w:lang w:val="en-AU"/>
        </w:rPr>
        <w:t xml:space="preserve">in </w:t>
      </w:r>
      <w:r w:rsidR="00B82BB8" w:rsidRPr="006A1F39">
        <w:rPr>
          <w:bCs/>
          <w:i/>
          <w:lang w:val="en-AU"/>
        </w:rPr>
        <w:t>On S</w:t>
      </w:r>
      <w:r w:rsidR="00B82BB8" w:rsidRPr="006A1F39">
        <w:rPr>
          <w:bCs/>
          <w:lang w:val="en-AU"/>
        </w:rPr>
        <w:t>ecurity, Ronnie D. Lipschutz, ed., (Columbia University Press, 1995), pp. 48-86</w:t>
      </w:r>
    </w:p>
    <w:p w14:paraId="4FC3CA27" w14:textId="7F6C1A30" w:rsidR="00CA4FBE" w:rsidRPr="00CA4FBE" w:rsidRDefault="00CA4FBE" w:rsidP="00CA4FBE">
      <w:pPr>
        <w:pStyle w:val="ListParagraph"/>
        <w:numPr>
          <w:ilvl w:val="0"/>
          <w:numId w:val="23"/>
        </w:numPr>
        <w:rPr>
          <w:sz w:val="20"/>
          <w:szCs w:val="20"/>
          <w:lang w:val="it-IT" w:eastAsia="it-IT"/>
        </w:rPr>
      </w:pPr>
      <w:r w:rsidRPr="00F61EE8">
        <w:rPr>
          <w:shd w:val="clear" w:color="auto" w:fill="FFFFFF"/>
          <w:lang w:val="it-IT" w:eastAsia="it-IT"/>
        </w:rPr>
        <w:t>Sarah Léonard &amp; Christian Kaunert</w:t>
      </w:r>
      <w:r>
        <w:rPr>
          <w:shd w:val="clear" w:color="auto" w:fill="FFFFFF"/>
          <w:lang w:val="it-IT" w:eastAsia="it-IT"/>
        </w:rPr>
        <w:t>,</w:t>
      </w:r>
      <w:r w:rsidRPr="00F61EE8">
        <w:rPr>
          <w:shd w:val="clear" w:color="auto" w:fill="FFFFFF"/>
          <w:lang w:val="it-IT" w:eastAsia="it-IT"/>
        </w:rPr>
        <w:t> </w:t>
      </w:r>
      <w:r>
        <w:rPr>
          <w:shd w:val="clear" w:color="auto" w:fill="FFFFFF"/>
          <w:lang w:val="it-IT" w:eastAsia="it-IT"/>
        </w:rPr>
        <w:t>‘</w:t>
      </w:r>
      <w:r w:rsidRPr="00F61EE8">
        <w:rPr>
          <w:shd w:val="clear" w:color="auto" w:fill="FFFFFF"/>
          <w:lang w:val="it-IT" w:eastAsia="it-IT"/>
        </w:rPr>
        <w:t>The securitisation of migration in the European Union: Frontex and its evolving security practices</w:t>
      </w:r>
      <w:r>
        <w:rPr>
          <w:shd w:val="clear" w:color="auto" w:fill="FFFFFF"/>
          <w:lang w:val="it-IT" w:eastAsia="it-IT"/>
        </w:rPr>
        <w:t>’</w:t>
      </w:r>
      <w:r w:rsidRPr="00F61EE8">
        <w:rPr>
          <w:shd w:val="clear" w:color="auto" w:fill="FFFFFF"/>
          <w:lang w:val="it-IT" w:eastAsia="it-IT"/>
        </w:rPr>
        <w:t>, </w:t>
      </w:r>
      <w:r w:rsidRPr="00F61EE8">
        <w:rPr>
          <w:i/>
          <w:shd w:val="clear" w:color="auto" w:fill="FFFFFF"/>
          <w:lang w:val="it-IT" w:eastAsia="it-IT"/>
        </w:rPr>
        <w:t>Journal of Ethnic and Migration Studies</w:t>
      </w:r>
      <w:r w:rsidRPr="00F61EE8">
        <w:rPr>
          <w:shd w:val="clear" w:color="auto" w:fill="FFFFFF"/>
          <w:lang w:val="it-IT" w:eastAsia="it-IT"/>
        </w:rPr>
        <w:t>, </w:t>
      </w:r>
      <w:r w:rsidR="003A50A3">
        <w:rPr>
          <w:shd w:val="clear" w:color="auto" w:fill="FFFFFF"/>
          <w:lang w:val="it-IT" w:eastAsia="it-IT"/>
        </w:rPr>
        <w:t>Dec. 2020, Vol. 0, n. 0, pp. 1-13</w:t>
      </w:r>
    </w:p>
    <w:p w14:paraId="390838BA" w14:textId="6887E677" w:rsidR="00BB5CCE" w:rsidRPr="006A1F39" w:rsidRDefault="00BB5CCE" w:rsidP="00BB5CCE">
      <w:pPr>
        <w:pStyle w:val="ListParagraph"/>
        <w:numPr>
          <w:ilvl w:val="0"/>
          <w:numId w:val="28"/>
        </w:numPr>
        <w:rPr>
          <w:rFonts w:eastAsiaTheme="majorEastAsia"/>
          <w:lang w:val="en-AU"/>
        </w:rPr>
      </w:pPr>
      <w:r w:rsidRPr="006A1F39">
        <w:rPr>
          <w:rFonts w:eastAsiaTheme="majorEastAsia"/>
          <w:lang w:val="en-AU"/>
        </w:rPr>
        <w:t>Tim Boersm</w:t>
      </w:r>
      <w:r w:rsidR="00F61EE8">
        <w:rPr>
          <w:rFonts w:eastAsiaTheme="majorEastAsia"/>
          <w:lang w:val="en-AU"/>
        </w:rPr>
        <w:t>a and Andreas Goldthau (2016), ‘</w:t>
      </w:r>
      <w:r w:rsidRPr="006A1F39">
        <w:rPr>
          <w:rFonts w:eastAsiaTheme="majorEastAsia"/>
          <w:lang w:val="en-AU"/>
        </w:rPr>
        <w:t>Wither the EU’s Market making project in energy: From li</w:t>
      </w:r>
      <w:r w:rsidR="00F61EE8">
        <w:rPr>
          <w:rFonts w:eastAsiaTheme="majorEastAsia"/>
          <w:lang w:val="en-AU"/>
        </w:rPr>
        <w:t>beralization to securitization?’</w:t>
      </w:r>
      <w:r w:rsidRPr="006A1F39">
        <w:rPr>
          <w:rFonts w:eastAsiaTheme="majorEastAsia"/>
          <w:lang w:val="en-AU"/>
        </w:rPr>
        <w:t xml:space="preserve">, in </w:t>
      </w:r>
      <w:r w:rsidRPr="006A1F39">
        <w:rPr>
          <w:rFonts w:eastAsiaTheme="majorEastAsia"/>
          <w:i/>
          <w:lang w:val="en-AU"/>
        </w:rPr>
        <w:t>Energy Union: European’s New Liberal Mercantilism?</w:t>
      </w:r>
      <w:r w:rsidRPr="006A1F39">
        <w:rPr>
          <w:rFonts w:eastAsiaTheme="majorEastAsia"/>
          <w:lang w:val="en-AU"/>
        </w:rPr>
        <w:t>, edited by Svein S. Andersen, Andreas Goldthau, and Nick Sitter (Springer Link)</w:t>
      </w:r>
    </w:p>
    <w:p w14:paraId="0B7513E3" w14:textId="20CB6D0F" w:rsidR="00BB5CCE" w:rsidRPr="006A1F39" w:rsidRDefault="00BB5CCE" w:rsidP="00BB5CCE">
      <w:pPr>
        <w:pStyle w:val="ListParagraph"/>
        <w:numPr>
          <w:ilvl w:val="0"/>
          <w:numId w:val="28"/>
        </w:numPr>
        <w:rPr>
          <w:rFonts w:eastAsiaTheme="majorEastAsia"/>
          <w:lang w:val="en-AU"/>
        </w:rPr>
      </w:pPr>
      <w:r w:rsidRPr="006A1F39">
        <w:rPr>
          <w:rFonts w:eastAsiaTheme="majorEastAsia"/>
          <w:lang w:val="en-AU"/>
        </w:rPr>
        <w:t>Claire Dupont</w:t>
      </w:r>
      <w:r w:rsidR="003A50A3">
        <w:rPr>
          <w:rFonts w:eastAsiaTheme="majorEastAsia"/>
          <w:lang w:val="en-AU"/>
        </w:rPr>
        <w:t>,</w:t>
      </w:r>
      <w:r w:rsidRPr="006A1F39">
        <w:rPr>
          <w:rFonts w:eastAsiaTheme="majorEastAsia"/>
          <w:lang w:val="en-AU"/>
        </w:rPr>
        <w:t> </w:t>
      </w:r>
      <w:r w:rsidR="00F61EE8">
        <w:rPr>
          <w:rFonts w:eastAsiaTheme="majorEastAsia"/>
          <w:lang w:val="en-AU"/>
        </w:rPr>
        <w:t>‘</w:t>
      </w:r>
      <w:r w:rsidRPr="006A1F39">
        <w:rPr>
          <w:rFonts w:eastAsiaTheme="majorEastAsia"/>
          <w:lang w:val="en-AU"/>
        </w:rPr>
        <w:t>The EU’s collective securitisation of climate change</w:t>
      </w:r>
      <w:r w:rsidR="00F61EE8">
        <w:rPr>
          <w:rFonts w:eastAsiaTheme="majorEastAsia"/>
          <w:lang w:val="en-AU"/>
        </w:rPr>
        <w:t>’</w:t>
      </w:r>
      <w:r w:rsidRPr="006A1F39">
        <w:rPr>
          <w:rFonts w:eastAsiaTheme="majorEastAsia"/>
          <w:lang w:val="en-AU"/>
        </w:rPr>
        <w:t>, </w:t>
      </w:r>
      <w:r w:rsidRPr="006A1F39">
        <w:rPr>
          <w:rFonts w:eastAsiaTheme="majorEastAsia"/>
          <w:i/>
          <w:lang w:val="en-AU"/>
        </w:rPr>
        <w:t>West European Politics</w:t>
      </w:r>
      <w:r w:rsidR="00F61EE8">
        <w:rPr>
          <w:rFonts w:eastAsiaTheme="majorEastAsia"/>
          <w:lang w:val="en-AU"/>
        </w:rPr>
        <w:t>, </w:t>
      </w:r>
      <w:r w:rsidR="003A50A3">
        <w:rPr>
          <w:rFonts w:eastAsiaTheme="majorEastAsia"/>
          <w:lang w:val="en-AU"/>
        </w:rPr>
        <w:t xml:space="preserve">2019, </w:t>
      </w:r>
      <w:r w:rsidR="00F61EE8">
        <w:rPr>
          <w:rFonts w:eastAsiaTheme="majorEastAsia"/>
          <w:lang w:val="en-AU"/>
        </w:rPr>
        <w:t>42:2, 369-390</w:t>
      </w:r>
      <w:r w:rsidRPr="006A1F39">
        <w:rPr>
          <w:rFonts w:eastAsiaTheme="majorEastAsia"/>
          <w:lang w:val="en-AU"/>
        </w:rPr>
        <w:t> </w:t>
      </w:r>
      <w:r w:rsidR="00F61EE8" w:rsidRPr="006A1F39">
        <w:rPr>
          <w:rFonts w:eastAsiaTheme="majorEastAsia"/>
          <w:lang w:val="en-AU"/>
        </w:rPr>
        <w:t xml:space="preserve"> </w:t>
      </w:r>
    </w:p>
    <w:p w14:paraId="2588968D" w14:textId="607D71DC" w:rsidR="00BB5CCE" w:rsidRPr="00F61EE8" w:rsidRDefault="00BB5CCE" w:rsidP="00BB5CCE">
      <w:pPr>
        <w:pStyle w:val="ListParagraph"/>
        <w:numPr>
          <w:ilvl w:val="0"/>
          <w:numId w:val="28"/>
        </w:numPr>
        <w:rPr>
          <w:rFonts w:eastAsiaTheme="majorEastAsia"/>
          <w:lang w:val="en-AU"/>
        </w:rPr>
      </w:pPr>
      <w:r w:rsidRPr="006A1F39">
        <w:rPr>
          <w:rFonts w:eastAsiaTheme="majorEastAsia"/>
          <w:lang w:val="en-AU"/>
        </w:rPr>
        <w:t xml:space="preserve">Judge and </w:t>
      </w:r>
      <w:r w:rsidR="003A50A3">
        <w:rPr>
          <w:rFonts w:eastAsiaTheme="majorEastAsia"/>
          <w:lang w:val="en-AU"/>
        </w:rPr>
        <w:t>T. Maltby</w:t>
      </w:r>
      <w:r w:rsidR="004F046C">
        <w:rPr>
          <w:rFonts w:eastAsiaTheme="majorEastAsia"/>
          <w:lang w:val="en-AU"/>
        </w:rPr>
        <w:t>, ‘</w:t>
      </w:r>
      <w:r w:rsidRPr="006A1F39">
        <w:rPr>
          <w:rFonts w:eastAsiaTheme="majorEastAsia"/>
          <w:lang w:val="en-AU"/>
        </w:rPr>
        <w:t>European Energy Union? Caught between sec</w:t>
      </w:r>
      <w:r w:rsidR="004F046C">
        <w:rPr>
          <w:rFonts w:eastAsiaTheme="majorEastAsia"/>
          <w:lang w:val="en-AU"/>
        </w:rPr>
        <w:t>uritisation and ‘riskification’’</w:t>
      </w:r>
      <w:r w:rsidRPr="006A1F39">
        <w:rPr>
          <w:rFonts w:eastAsiaTheme="majorEastAsia"/>
          <w:lang w:val="en-AU"/>
        </w:rPr>
        <w:t xml:space="preserve"> </w:t>
      </w:r>
      <w:r w:rsidRPr="006A1F39">
        <w:rPr>
          <w:rFonts w:eastAsiaTheme="majorEastAsia"/>
          <w:i/>
          <w:lang w:val="en-AU"/>
        </w:rPr>
        <w:t>European Journal of International Security</w:t>
      </w:r>
      <w:r w:rsidRPr="006A1F39">
        <w:rPr>
          <w:rFonts w:eastAsiaTheme="majorEastAsia"/>
          <w:lang w:val="en-AU"/>
        </w:rPr>
        <w:t xml:space="preserve"> </w:t>
      </w:r>
      <w:r w:rsidR="003A50A3">
        <w:rPr>
          <w:rFonts w:eastAsiaTheme="majorEastAsia"/>
          <w:lang w:val="en-AU"/>
        </w:rPr>
        <w:t>2017, 2:2, pp. 179-202</w:t>
      </w:r>
      <w:r w:rsidRPr="006A1F39">
        <w:rPr>
          <w:rFonts w:eastAsiaTheme="majorEastAsia"/>
          <w:lang w:val="en-AU"/>
        </w:rPr>
        <w:t xml:space="preserve"> </w:t>
      </w:r>
    </w:p>
    <w:p w14:paraId="579EF979" w14:textId="2030BC33" w:rsidR="00E753B8" w:rsidRPr="00E753B8" w:rsidRDefault="00E753B8" w:rsidP="00E753B8">
      <w:pPr>
        <w:pStyle w:val="ListParagraph"/>
        <w:numPr>
          <w:ilvl w:val="0"/>
          <w:numId w:val="28"/>
        </w:numPr>
        <w:shd w:val="clear" w:color="auto" w:fill="FFFFFF"/>
        <w:rPr>
          <w:lang w:val="en-AU"/>
        </w:rPr>
      </w:pPr>
      <w:r w:rsidRPr="002117DC">
        <w:rPr>
          <w:lang w:val="en-AU"/>
        </w:rPr>
        <w:t xml:space="preserve">Daniel Fiott and Marco Zeiss, </w:t>
      </w:r>
      <w:r>
        <w:rPr>
          <w:lang w:val="en-AU"/>
        </w:rPr>
        <w:t>‘Hybrid Threats’</w:t>
      </w:r>
      <w:r w:rsidRPr="007F3470">
        <w:rPr>
          <w:lang w:val="en-AU"/>
        </w:rPr>
        <w:t xml:space="preserve">, </w:t>
      </w:r>
      <w:r w:rsidRPr="007F3470">
        <w:rPr>
          <w:i/>
          <w:lang w:val="en-AU"/>
        </w:rPr>
        <w:t>Yearbook of European Security</w:t>
      </w:r>
      <w:r w:rsidRPr="007F3470">
        <w:rPr>
          <w:lang w:val="en-AU"/>
        </w:rPr>
        <w:t>, 2021, pp.</w:t>
      </w:r>
      <w:r>
        <w:rPr>
          <w:lang w:val="en-AU"/>
        </w:rPr>
        <w:t xml:space="preserve"> 180-192</w:t>
      </w:r>
      <w:r w:rsidRPr="007F3470">
        <w:rPr>
          <w:lang w:val="en-AU"/>
        </w:rPr>
        <w:t>, available at https://www.iss.europa.eu/sites/default/files/EUISSFiles</w:t>
      </w:r>
      <w:r w:rsidRPr="00290454">
        <w:rPr>
          <w:lang w:val="en-AU"/>
        </w:rPr>
        <w:t>/YES_2021.pdf</w:t>
      </w:r>
    </w:p>
    <w:p w14:paraId="3541AAFE" w14:textId="77777777" w:rsidR="00E753B8" w:rsidRPr="00CA4FBE" w:rsidRDefault="00E753B8" w:rsidP="00E753B8">
      <w:pPr>
        <w:pStyle w:val="ListParagraph"/>
        <w:rPr>
          <w:sz w:val="20"/>
          <w:szCs w:val="20"/>
          <w:lang w:val="it-IT" w:eastAsia="it-IT"/>
        </w:rPr>
      </w:pPr>
    </w:p>
    <w:p w14:paraId="040463B6" w14:textId="77777777" w:rsidR="006405D1" w:rsidRPr="006A1F39" w:rsidRDefault="006405D1" w:rsidP="006405D1">
      <w:pPr>
        <w:pStyle w:val="ListParagraph"/>
        <w:rPr>
          <w:rFonts w:eastAsiaTheme="majorEastAsia"/>
          <w:lang w:val="en-AU"/>
        </w:rPr>
      </w:pPr>
    </w:p>
    <w:p w14:paraId="3771F158" w14:textId="12D00E61" w:rsidR="006405D1" w:rsidRPr="00F43F06" w:rsidRDefault="00F43F06" w:rsidP="006405D1">
      <w:pPr>
        <w:pStyle w:val="ListParagraph"/>
        <w:ind w:left="0"/>
        <w:rPr>
          <w:bCs/>
          <w:lang w:val="en-AU"/>
        </w:rPr>
      </w:pPr>
      <w:r w:rsidRPr="00F43F06">
        <w:rPr>
          <w:bCs/>
          <w:lang w:val="en-AU"/>
        </w:rPr>
        <w:t xml:space="preserve">Optional: </w:t>
      </w:r>
    </w:p>
    <w:p w14:paraId="6CC9BFCD" w14:textId="77777777" w:rsidR="00F43F06" w:rsidRPr="006A1F39" w:rsidRDefault="00F43F06" w:rsidP="006405D1">
      <w:pPr>
        <w:pStyle w:val="ListParagraph"/>
        <w:ind w:left="0"/>
        <w:rPr>
          <w:bCs/>
          <w:u w:val="single"/>
          <w:lang w:val="en-AU"/>
        </w:rPr>
      </w:pPr>
    </w:p>
    <w:p w14:paraId="4512CF20" w14:textId="77777777" w:rsidR="006405D1" w:rsidRPr="006A1F39" w:rsidRDefault="006405D1" w:rsidP="006405D1">
      <w:pPr>
        <w:pStyle w:val="ListParagraph"/>
        <w:numPr>
          <w:ilvl w:val="0"/>
          <w:numId w:val="23"/>
        </w:numPr>
        <w:rPr>
          <w:bCs/>
          <w:lang w:val="en-AU"/>
        </w:rPr>
      </w:pPr>
      <w:r w:rsidRPr="006A1F39">
        <w:rPr>
          <w:bCs/>
          <w:lang w:val="en-AU"/>
        </w:rPr>
        <w:t xml:space="preserve">Barry Buzan, Ole Waeer, Japp DeWilde, </w:t>
      </w:r>
      <w:r w:rsidRPr="006A1F39">
        <w:rPr>
          <w:bCs/>
          <w:i/>
          <w:lang w:val="en-AU"/>
        </w:rPr>
        <w:t>Security: A New Framework of Analysis</w:t>
      </w:r>
      <w:r w:rsidRPr="006A1F39">
        <w:rPr>
          <w:bCs/>
          <w:lang w:val="en-AU"/>
        </w:rPr>
        <w:t xml:space="preserve">, (1998) </w:t>
      </w:r>
    </w:p>
    <w:p w14:paraId="7DA0D098" w14:textId="77777777" w:rsidR="006405D1" w:rsidRPr="006A1F39" w:rsidRDefault="006405D1" w:rsidP="006405D1">
      <w:pPr>
        <w:pStyle w:val="ListParagraph"/>
        <w:numPr>
          <w:ilvl w:val="0"/>
          <w:numId w:val="23"/>
        </w:numPr>
        <w:rPr>
          <w:bCs/>
          <w:lang w:val="en-AU"/>
        </w:rPr>
      </w:pPr>
      <w:r w:rsidRPr="006A1F39">
        <w:rPr>
          <w:bCs/>
          <w:lang w:val="en-AU"/>
        </w:rPr>
        <w:t xml:space="preserve">David A. Baldwin, ‘The Concept of Security’, </w:t>
      </w:r>
      <w:r w:rsidRPr="006A1F39">
        <w:rPr>
          <w:bCs/>
          <w:i/>
          <w:lang w:val="en-AU"/>
        </w:rPr>
        <w:t>Review of International Studies</w:t>
      </w:r>
      <w:r w:rsidRPr="006A1F39">
        <w:rPr>
          <w:bCs/>
          <w:lang w:val="en-AU"/>
        </w:rPr>
        <w:t xml:space="preserve"> 23, no. 1 (1997), pp. 5-26</w:t>
      </w:r>
    </w:p>
    <w:p w14:paraId="1D6F4C7C" w14:textId="109D2F5A" w:rsidR="00122A52" w:rsidRDefault="00122A52" w:rsidP="00122A52">
      <w:pPr>
        <w:pStyle w:val="ListParagraph"/>
        <w:numPr>
          <w:ilvl w:val="0"/>
          <w:numId w:val="23"/>
        </w:numPr>
        <w:rPr>
          <w:rFonts w:eastAsiaTheme="majorEastAsia"/>
          <w:lang w:val="en-AU"/>
        </w:rPr>
      </w:pPr>
      <w:r w:rsidRPr="006A1F39">
        <w:rPr>
          <w:rFonts w:eastAsiaTheme="majorEastAsia"/>
          <w:lang w:val="en-AU"/>
        </w:rPr>
        <w:t xml:space="preserve">Thierry Balzacz, </w:t>
      </w:r>
      <w:r w:rsidR="008A7560">
        <w:rPr>
          <w:rFonts w:eastAsiaTheme="majorEastAsia"/>
          <w:lang w:val="en-AU"/>
        </w:rPr>
        <w:t>Sara Leonard, and Jan Ruzicka, ‘’</w:t>
      </w:r>
      <w:r w:rsidRPr="006A1F39">
        <w:rPr>
          <w:rFonts w:eastAsiaTheme="majorEastAsia"/>
          <w:lang w:val="en-AU"/>
        </w:rPr>
        <w:t>Securitizatio</w:t>
      </w:r>
      <w:r w:rsidR="008A7560">
        <w:rPr>
          <w:rFonts w:eastAsiaTheme="majorEastAsia"/>
          <w:lang w:val="en-AU"/>
        </w:rPr>
        <w:t xml:space="preserve">n’ revisited: theory and </w:t>
      </w:r>
      <w:r w:rsidR="008A7560" w:rsidRPr="008A7560">
        <w:rPr>
          <w:rFonts w:eastAsiaTheme="majorEastAsia"/>
          <w:lang w:val="en-AU"/>
        </w:rPr>
        <w:t>cases</w:t>
      </w:r>
      <w:r w:rsidR="008A7560">
        <w:rPr>
          <w:rFonts w:eastAsiaTheme="majorEastAsia"/>
          <w:lang w:val="en-AU"/>
        </w:rPr>
        <w:t>’</w:t>
      </w:r>
      <w:r w:rsidR="008A7560">
        <w:rPr>
          <w:rFonts w:eastAsiaTheme="majorEastAsia"/>
          <w:i/>
          <w:lang w:val="en-AU"/>
        </w:rPr>
        <w:t xml:space="preserve">, </w:t>
      </w:r>
      <w:r w:rsidRPr="008A7560">
        <w:rPr>
          <w:rFonts w:eastAsiaTheme="majorEastAsia"/>
          <w:i/>
          <w:lang w:val="en-AU"/>
        </w:rPr>
        <w:t>International</w:t>
      </w:r>
      <w:r w:rsidRPr="006A1F39">
        <w:rPr>
          <w:rFonts w:eastAsiaTheme="majorEastAsia"/>
          <w:i/>
          <w:lang w:val="en-AU"/>
        </w:rPr>
        <w:t xml:space="preserve"> Relations</w:t>
      </w:r>
      <w:r w:rsidR="008A7560">
        <w:rPr>
          <w:rFonts w:eastAsiaTheme="majorEastAsia"/>
          <w:lang w:val="en-AU"/>
        </w:rPr>
        <w:t>, 2016, 30:4, pp.</w:t>
      </w:r>
      <w:r w:rsidR="00671605">
        <w:rPr>
          <w:rFonts w:eastAsiaTheme="majorEastAsia"/>
          <w:lang w:val="en-AU"/>
        </w:rPr>
        <w:t xml:space="preserve"> 494-51</w:t>
      </w:r>
    </w:p>
    <w:p w14:paraId="5E675499" w14:textId="77777777" w:rsidR="00671605" w:rsidRPr="006A1F39" w:rsidRDefault="00671605" w:rsidP="00671605">
      <w:pPr>
        <w:pStyle w:val="ListParagraph"/>
        <w:numPr>
          <w:ilvl w:val="0"/>
          <w:numId w:val="23"/>
        </w:numPr>
        <w:rPr>
          <w:bCs/>
          <w:lang w:val="en-AU"/>
        </w:rPr>
      </w:pPr>
      <w:r>
        <w:rPr>
          <w:rFonts w:eastAsiaTheme="majorEastAsia"/>
          <w:lang w:val="en-AU"/>
        </w:rPr>
        <w:t>François Heisbourg ‘</w:t>
      </w:r>
      <w:r w:rsidRPr="006A1F39">
        <w:rPr>
          <w:rFonts w:eastAsiaTheme="majorEastAsia"/>
          <w:lang w:val="en-AU"/>
        </w:rPr>
        <w:t>The Strategic Implications of the Syrian</w:t>
      </w:r>
      <w:r>
        <w:rPr>
          <w:rFonts w:eastAsiaTheme="majorEastAsia"/>
          <w:lang w:val="en-AU"/>
        </w:rPr>
        <w:t xml:space="preserve"> Refugee Crisis’</w:t>
      </w:r>
      <w:r w:rsidRPr="006A1F39">
        <w:rPr>
          <w:rFonts w:eastAsiaTheme="majorEastAsia"/>
          <w:i/>
          <w:lang w:val="en-AU"/>
        </w:rPr>
        <w:t>, Survival</w:t>
      </w:r>
      <w:r w:rsidRPr="006A1F39">
        <w:rPr>
          <w:rFonts w:eastAsiaTheme="majorEastAsia"/>
          <w:lang w:val="en-AU"/>
        </w:rPr>
        <w:t>, </w:t>
      </w:r>
      <w:r>
        <w:rPr>
          <w:rFonts w:eastAsiaTheme="majorEastAsia"/>
          <w:lang w:val="en-AU"/>
        </w:rPr>
        <w:t>2015, 57:6, pp. 7-20</w:t>
      </w:r>
      <w:r w:rsidRPr="006A1F39">
        <w:rPr>
          <w:rFonts w:eastAsiaTheme="majorEastAsia"/>
          <w:lang w:val="en-AU"/>
        </w:rPr>
        <w:t> </w:t>
      </w:r>
      <w:r w:rsidRPr="006A1F39">
        <w:rPr>
          <w:bCs/>
          <w:lang w:val="en-AU"/>
        </w:rPr>
        <w:t xml:space="preserve"> </w:t>
      </w:r>
    </w:p>
    <w:p w14:paraId="3D2559E2" w14:textId="5AFC69A2" w:rsidR="00671605" w:rsidRDefault="00671605" w:rsidP="00671605">
      <w:pPr>
        <w:pStyle w:val="ListParagraph"/>
        <w:numPr>
          <w:ilvl w:val="0"/>
          <w:numId w:val="28"/>
        </w:numPr>
        <w:rPr>
          <w:rFonts w:eastAsiaTheme="majorEastAsia"/>
          <w:lang w:val="en-AU"/>
        </w:rPr>
      </w:pPr>
      <w:r w:rsidRPr="006A1F39">
        <w:rPr>
          <w:rFonts w:eastAsiaTheme="majorEastAsia"/>
          <w:lang w:val="en-AU"/>
        </w:rPr>
        <w:t xml:space="preserve">Shahrazad </w:t>
      </w:r>
      <w:r>
        <w:rPr>
          <w:rFonts w:eastAsiaTheme="majorEastAsia"/>
          <w:lang w:val="en-AU"/>
        </w:rPr>
        <w:t>Far and Richard Youngs (2018), ‘</w:t>
      </w:r>
      <w:r w:rsidRPr="006A1F39">
        <w:rPr>
          <w:rFonts w:eastAsiaTheme="majorEastAsia"/>
          <w:lang w:val="en-AU"/>
        </w:rPr>
        <w:t>The EU’s distinctiv</w:t>
      </w:r>
      <w:r>
        <w:rPr>
          <w:rFonts w:eastAsiaTheme="majorEastAsia"/>
          <w:lang w:val="en-AU"/>
        </w:rPr>
        <w:t>e approach to climate security’,</w:t>
      </w:r>
      <w:r w:rsidRPr="006A1F39">
        <w:rPr>
          <w:rFonts w:eastAsiaTheme="majorEastAsia"/>
          <w:lang w:val="en-AU"/>
        </w:rPr>
        <w:t xml:space="preserve"> in </w:t>
      </w:r>
      <w:r w:rsidRPr="006A1F39">
        <w:rPr>
          <w:rFonts w:eastAsiaTheme="majorEastAsia"/>
          <w:i/>
          <w:lang w:val="en-AU"/>
        </w:rPr>
        <w:t>Climate Change and the UN Security Council</w:t>
      </w:r>
      <w:r w:rsidRPr="006A1F39">
        <w:rPr>
          <w:rFonts w:eastAsiaTheme="majorEastAsia"/>
          <w:lang w:val="en-AU"/>
        </w:rPr>
        <w:t>, edited by Shirley V. Scott and Charlotte Ku (Edward Elgar publis</w:t>
      </w:r>
      <w:r w:rsidR="009B383B">
        <w:rPr>
          <w:rFonts w:eastAsiaTheme="majorEastAsia"/>
          <w:lang w:val="en-AU"/>
        </w:rPr>
        <w:t>hing, elgaronline), pp. 147-161</w:t>
      </w:r>
    </w:p>
    <w:p w14:paraId="59AC98D9" w14:textId="77777777" w:rsidR="009B383B" w:rsidRPr="004F046C" w:rsidRDefault="009B383B" w:rsidP="009B383B">
      <w:pPr>
        <w:pStyle w:val="ListParagraph"/>
        <w:numPr>
          <w:ilvl w:val="0"/>
          <w:numId w:val="28"/>
        </w:numPr>
        <w:rPr>
          <w:sz w:val="20"/>
          <w:szCs w:val="20"/>
          <w:lang w:val="it-IT" w:eastAsia="it-IT"/>
        </w:rPr>
      </w:pPr>
      <w:r w:rsidRPr="00F61EE8">
        <w:rPr>
          <w:shd w:val="clear" w:color="auto" w:fill="FFFFFF"/>
          <w:lang w:val="it-IT" w:eastAsia="it-IT"/>
        </w:rPr>
        <w:t>Lucas J. Ruiz Díaz, ‘Designing the renewed European defence policy through permanent structured cooperation. Why?</w:t>
      </w:r>
      <w:r>
        <w:rPr>
          <w:shd w:val="clear" w:color="auto" w:fill="FFFFFF"/>
          <w:lang w:val="it-IT" w:eastAsia="it-IT"/>
        </w:rPr>
        <w:t>’</w:t>
      </w:r>
      <w:r w:rsidRPr="00F61EE8">
        <w:rPr>
          <w:shd w:val="clear" w:color="auto" w:fill="FFFFFF"/>
          <w:lang w:val="it-IT" w:eastAsia="it-IT"/>
        </w:rPr>
        <w:t>, </w:t>
      </w:r>
      <w:r w:rsidRPr="00F61EE8">
        <w:rPr>
          <w:i/>
          <w:shd w:val="clear" w:color="auto" w:fill="FFFFFF"/>
          <w:lang w:val="it-IT" w:eastAsia="it-IT"/>
        </w:rPr>
        <w:t>Defence Studies</w:t>
      </w:r>
      <w:r w:rsidRPr="00F61EE8">
        <w:rPr>
          <w:shd w:val="clear" w:color="auto" w:fill="FFFFFF"/>
          <w:lang w:val="it-IT" w:eastAsia="it-IT"/>
        </w:rPr>
        <w:t>, 2021, 21:2, pp. 162-180</w:t>
      </w:r>
    </w:p>
    <w:p w14:paraId="4D70AB6D" w14:textId="77777777" w:rsidR="009B383B" w:rsidRPr="00E753B8" w:rsidRDefault="009B383B" w:rsidP="009B383B">
      <w:pPr>
        <w:pStyle w:val="ListParagraph"/>
        <w:numPr>
          <w:ilvl w:val="0"/>
          <w:numId w:val="28"/>
        </w:numPr>
        <w:rPr>
          <w:sz w:val="20"/>
          <w:szCs w:val="20"/>
          <w:lang w:val="it-IT" w:eastAsia="it-IT"/>
        </w:rPr>
      </w:pPr>
      <w:r>
        <w:rPr>
          <w:shd w:val="clear" w:color="auto" w:fill="FFFFFF"/>
          <w:lang w:val="it-IT" w:eastAsia="it-IT"/>
        </w:rPr>
        <w:t xml:space="preserve">Ian Bond et al., ‘Lukashenka is the problem not the migrants’, Nov. 2021, </w:t>
      </w:r>
      <w:r>
        <w:rPr>
          <w:i/>
          <w:shd w:val="clear" w:color="auto" w:fill="FFFFFF"/>
          <w:lang w:val="it-IT" w:eastAsia="it-IT"/>
        </w:rPr>
        <w:t xml:space="preserve">Centre for European Policy Reform Working Paper, </w:t>
      </w:r>
      <w:r>
        <w:rPr>
          <w:shd w:val="clear" w:color="auto" w:fill="FFFFFF"/>
          <w:lang w:val="it-IT" w:eastAsia="it-IT"/>
        </w:rPr>
        <w:t>available at</w:t>
      </w:r>
      <w:r>
        <w:rPr>
          <w:i/>
          <w:shd w:val="clear" w:color="auto" w:fill="FFFFFF"/>
          <w:lang w:val="it-IT" w:eastAsia="it-IT"/>
        </w:rPr>
        <w:t xml:space="preserve">  </w:t>
      </w:r>
      <w:hyperlink r:id="rId15" w:history="1">
        <w:r w:rsidRPr="00A729E2">
          <w:rPr>
            <w:rStyle w:val="Hyperlink"/>
            <w:shd w:val="clear" w:color="auto" w:fill="FFFFFF"/>
            <w:lang w:val="it-IT" w:eastAsia="it-IT"/>
          </w:rPr>
          <w:t>https://www.cer.eu/sites/default/files/insight_IB_CMM_LS_KG_belarus_12.11.21.pdf</w:t>
        </w:r>
      </w:hyperlink>
    </w:p>
    <w:p w14:paraId="62C5CF3F" w14:textId="77777777" w:rsidR="009B383B" w:rsidRPr="006A1F39" w:rsidRDefault="009B383B" w:rsidP="009B383B">
      <w:pPr>
        <w:pStyle w:val="ListParagraph"/>
        <w:rPr>
          <w:rFonts w:eastAsiaTheme="majorEastAsia"/>
          <w:lang w:val="en-AU"/>
        </w:rPr>
      </w:pPr>
    </w:p>
    <w:p w14:paraId="10879800" w14:textId="77777777" w:rsidR="00CA4FBE" w:rsidRDefault="00CA4FBE" w:rsidP="006405D1">
      <w:pPr>
        <w:rPr>
          <w:b/>
          <w:bCs/>
          <w:lang w:val="en-AU"/>
        </w:rPr>
      </w:pPr>
    </w:p>
    <w:p w14:paraId="17396882" w14:textId="65755591" w:rsidR="006405D1" w:rsidRDefault="00671605" w:rsidP="006405D1">
      <w:pPr>
        <w:rPr>
          <w:b/>
          <w:bCs/>
          <w:lang w:val="en-AU"/>
        </w:rPr>
      </w:pPr>
      <w:r>
        <w:rPr>
          <w:b/>
          <w:bCs/>
          <w:lang w:val="en-AU"/>
        </w:rPr>
        <w:t>Session 4</w:t>
      </w:r>
      <w:r w:rsidR="00D76CBC" w:rsidRPr="00AD3F6B">
        <w:rPr>
          <w:b/>
          <w:bCs/>
          <w:lang w:val="en-AU"/>
        </w:rPr>
        <w:t>:</w:t>
      </w:r>
      <w:r w:rsidR="006405D1" w:rsidRPr="00AD3F6B">
        <w:rPr>
          <w:b/>
          <w:bCs/>
          <w:lang w:val="en-AU"/>
        </w:rPr>
        <w:t xml:space="preserve"> </w:t>
      </w:r>
      <w:r w:rsidR="00D7385F" w:rsidRPr="00AD3F6B">
        <w:rPr>
          <w:b/>
          <w:bCs/>
          <w:lang w:val="en-AU"/>
        </w:rPr>
        <w:t>Tuesday 2</w:t>
      </w:r>
      <w:r w:rsidR="00AD3F6B">
        <w:rPr>
          <w:b/>
          <w:bCs/>
          <w:lang w:val="en-AU"/>
        </w:rPr>
        <w:t xml:space="preserve"> </w:t>
      </w:r>
      <w:r w:rsidR="00D7385F" w:rsidRPr="00AD3F6B">
        <w:rPr>
          <w:b/>
          <w:bCs/>
          <w:lang w:val="en-AU"/>
        </w:rPr>
        <w:t xml:space="preserve">February </w:t>
      </w:r>
    </w:p>
    <w:p w14:paraId="1E566958" w14:textId="77777777" w:rsidR="00AD3F6B" w:rsidRPr="00AD3F6B" w:rsidRDefault="00AD3F6B" w:rsidP="006405D1">
      <w:pPr>
        <w:rPr>
          <w:b/>
          <w:bCs/>
          <w:lang w:val="en-AU"/>
        </w:rPr>
      </w:pPr>
    </w:p>
    <w:p w14:paraId="106AFD00" w14:textId="594DF254" w:rsidR="00604F27" w:rsidRPr="00AD3F6B" w:rsidRDefault="00BB5CCE" w:rsidP="00604F27">
      <w:pPr>
        <w:rPr>
          <w:bCs/>
          <w:lang w:val="en-AU"/>
        </w:rPr>
      </w:pPr>
      <w:r w:rsidRPr="00AD3F6B">
        <w:rPr>
          <w:b/>
          <w:bCs/>
          <w:lang w:val="en-AU"/>
        </w:rPr>
        <w:t xml:space="preserve">NATO </w:t>
      </w:r>
      <w:r w:rsidR="00AD3F6B" w:rsidRPr="00AD3F6B">
        <w:rPr>
          <w:b/>
          <w:bCs/>
          <w:lang w:val="en-AU"/>
        </w:rPr>
        <w:t xml:space="preserve">AND </w:t>
      </w:r>
      <w:r w:rsidR="00604F27" w:rsidRPr="00AD3F6B">
        <w:rPr>
          <w:b/>
          <w:bCs/>
          <w:lang w:val="en-AU"/>
        </w:rPr>
        <w:t xml:space="preserve">EUROPEAN SECURITY </w:t>
      </w:r>
      <w:r w:rsidR="00E836F7" w:rsidRPr="00AD3F6B">
        <w:rPr>
          <w:b/>
          <w:bCs/>
          <w:lang w:val="en-AU"/>
        </w:rPr>
        <w:t xml:space="preserve">DURING AND </w:t>
      </w:r>
      <w:r w:rsidR="00752A85" w:rsidRPr="00AD3F6B">
        <w:rPr>
          <w:b/>
          <w:bCs/>
          <w:lang w:val="en-AU"/>
        </w:rPr>
        <w:t>AFTER THE COLD WAR</w:t>
      </w:r>
      <w:r w:rsidR="00604F27" w:rsidRPr="00AD3F6B">
        <w:rPr>
          <w:b/>
          <w:bCs/>
          <w:lang w:val="en-AU"/>
        </w:rPr>
        <w:t xml:space="preserve">  </w:t>
      </w:r>
    </w:p>
    <w:p w14:paraId="60AD1E6E" w14:textId="77777777" w:rsidR="00AD3F6B" w:rsidRDefault="00AD3F6B" w:rsidP="00604F27">
      <w:pPr>
        <w:ind w:left="708"/>
        <w:rPr>
          <w:bCs/>
          <w:lang w:val="en-AU"/>
        </w:rPr>
      </w:pPr>
    </w:p>
    <w:p w14:paraId="3513C002" w14:textId="51B9D1A9" w:rsidR="00AD3F6B" w:rsidRDefault="00AD3F6B" w:rsidP="00604F27">
      <w:pPr>
        <w:ind w:left="708"/>
        <w:rPr>
          <w:bCs/>
          <w:lang w:val="en-AU"/>
        </w:rPr>
      </w:pPr>
      <w:r>
        <w:rPr>
          <w:bCs/>
          <w:lang w:val="en-AU"/>
        </w:rPr>
        <w:t>The North Atlantic Treaty</w:t>
      </w:r>
    </w:p>
    <w:p w14:paraId="6C753A39" w14:textId="68479BDC" w:rsidR="00AD3F6B" w:rsidRDefault="00AD3F6B" w:rsidP="00604F27">
      <w:pPr>
        <w:ind w:left="708"/>
        <w:rPr>
          <w:bCs/>
          <w:lang w:val="en-AU"/>
        </w:rPr>
      </w:pPr>
      <w:r>
        <w:rPr>
          <w:bCs/>
          <w:lang w:val="en-AU"/>
        </w:rPr>
        <w:t>Consensus decision-making</w:t>
      </w:r>
    </w:p>
    <w:p w14:paraId="73789E32" w14:textId="77777777" w:rsidR="00604F27" w:rsidRPr="006A1F39" w:rsidRDefault="00604F27" w:rsidP="00604F27">
      <w:pPr>
        <w:ind w:left="708"/>
        <w:rPr>
          <w:bCs/>
          <w:lang w:val="en-AU"/>
        </w:rPr>
      </w:pPr>
      <w:r w:rsidRPr="006A1F39">
        <w:rPr>
          <w:bCs/>
          <w:lang w:val="en-AU"/>
        </w:rPr>
        <w:t>Points of contradiction and interface with European approaches</w:t>
      </w:r>
    </w:p>
    <w:p w14:paraId="7559E304" w14:textId="77777777" w:rsidR="00604F27" w:rsidRPr="006A1F39" w:rsidRDefault="00604F27" w:rsidP="00604F27">
      <w:pPr>
        <w:ind w:left="708"/>
        <w:rPr>
          <w:bCs/>
          <w:lang w:val="en-AU"/>
        </w:rPr>
      </w:pPr>
      <w:r w:rsidRPr="006A1F39">
        <w:rPr>
          <w:bCs/>
          <w:lang w:val="en-AU"/>
        </w:rPr>
        <w:t>Coordination inside and outside of NATO</w:t>
      </w:r>
    </w:p>
    <w:p w14:paraId="1466FE3A" w14:textId="77777777" w:rsidR="008D5637" w:rsidRDefault="008D5637" w:rsidP="00604F27">
      <w:pPr>
        <w:ind w:left="708"/>
        <w:rPr>
          <w:bCs/>
          <w:lang w:val="en-AU"/>
        </w:rPr>
      </w:pPr>
      <w:r w:rsidRPr="006A1F39">
        <w:rPr>
          <w:bCs/>
          <w:lang w:val="en-AU"/>
        </w:rPr>
        <w:t>The impact of NATO on the EU</w:t>
      </w:r>
    </w:p>
    <w:p w14:paraId="04B79268" w14:textId="1178501D" w:rsidR="00671605" w:rsidRDefault="00671605" w:rsidP="00604F27">
      <w:pPr>
        <w:ind w:left="708"/>
        <w:rPr>
          <w:bCs/>
          <w:lang w:val="en-AU"/>
        </w:rPr>
      </w:pPr>
      <w:r>
        <w:rPr>
          <w:bCs/>
          <w:lang w:val="en-AU"/>
        </w:rPr>
        <w:t>Atlantic &amp; Carolingian Europe</w:t>
      </w:r>
    </w:p>
    <w:p w14:paraId="7B800399" w14:textId="3376464A" w:rsidR="00671605" w:rsidRPr="006A1F39" w:rsidRDefault="00671605" w:rsidP="00604F27">
      <w:pPr>
        <w:ind w:left="708"/>
        <w:rPr>
          <w:bCs/>
          <w:lang w:val="en-AU"/>
        </w:rPr>
      </w:pPr>
      <w:r>
        <w:rPr>
          <w:bCs/>
          <w:lang w:val="en-AU"/>
        </w:rPr>
        <w:t>Old &amp; New Europe</w:t>
      </w:r>
    </w:p>
    <w:p w14:paraId="4E33AE97" w14:textId="6BC2A297" w:rsidR="008D5637" w:rsidRDefault="008D5637" w:rsidP="00604F27">
      <w:pPr>
        <w:ind w:left="708"/>
        <w:rPr>
          <w:bCs/>
          <w:lang w:val="en-AU"/>
        </w:rPr>
      </w:pPr>
      <w:r w:rsidRPr="006A1F39">
        <w:rPr>
          <w:bCs/>
          <w:lang w:val="en-AU"/>
        </w:rPr>
        <w:t>EU-NATO relations</w:t>
      </w:r>
      <w:r w:rsidR="00F42974">
        <w:rPr>
          <w:bCs/>
          <w:lang w:val="en-AU"/>
        </w:rPr>
        <w:t xml:space="preserve"> after the Cold War</w:t>
      </w:r>
    </w:p>
    <w:p w14:paraId="3CDEF0CC" w14:textId="4FC88FCF" w:rsidR="00CA4FBE" w:rsidRPr="006A1F39" w:rsidRDefault="00CA4FBE" w:rsidP="00604F27">
      <w:pPr>
        <w:ind w:left="708"/>
        <w:rPr>
          <w:bCs/>
          <w:lang w:val="en-AU"/>
        </w:rPr>
      </w:pPr>
      <w:r>
        <w:rPr>
          <w:bCs/>
          <w:lang w:val="en-AU"/>
        </w:rPr>
        <w:t>NATO 2030</w:t>
      </w:r>
    </w:p>
    <w:p w14:paraId="2FBDC78D" w14:textId="77777777" w:rsidR="00604F27" w:rsidRPr="006A1F39" w:rsidRDefault="00604F27" w:rsidP="00604F27">
      <w:pPr>
        <w:ind w:left="708"/>
        <w:rPr>
          <w:bCs/>
          <w:lang w:val="en-AU"/>
        </w:rPr>
      </w:pPr>
    </w:p>
    <w:p w14:paraId="1E9D26E5" w14:textId="77777777" w:rsidR="00604F27" w:rsidRDefault="00604F27" w:rsidP="00604F27">
      <w:pPr>
        <w:rPr>
          <w:bCs/>
          <w:u w:val="single"/>
          <w:lang w:val="en-AU"/>
        </w:rPr>
      </w:pPr>
      <w:r w:rsidRPr="006A1F39">
        <w:rPr>
          <w:bCs/>
          <w:u w:val="single"/>
          <w:lang w:val="en-AU"/>
        </w:rPr>
        <w:t>Required:</w:t>
      </w:r>
    </w:p>
    <w:p w14:paraId="6E0E7233" w14:textId="77777777" w:rsidR="00CA4FBE" w:rsidRPr="00CA4FBE" w:rsidRDefault="00CA4FBE" w:rsidP="00604F27">
      <w:pPr>
        <w:rPr>
          <w:bCs/>
          <w:color w:val="FFFF00"/>
          <w:u w:val="single"/>
          <w:lang w:val="en-AU"/>
        </w:rPr>
      </w:pPr>
    </w:p>
    <w:p w14:paraId="21C6AE67" w14:textId="5FDDE8E1" w:rsidR="00AC4CEB" w:rsidRPr="00AC4CEB" w:rsidRDefault="00AC4CEB" w:rsidP="00622C26">
      <w:pPr>
        <w:pStyle w:val="ListParagraph"/>
        <w:numPr>
          <w:ilvl w:val="0"/>
          <w:numId w:val="21"/>
        </w:numPr>
        <w:rPr>
          <w:i/>
          <w:lang w:val="en-AU"/>
        </w:rPr>
      </w:pPr>
      <w:r>
        <w:rPr>
          <w:lang w:val="en-AU"/>
        </w:rPr>
        <w:t xml:space="preserve">Tania Latici. ‘Understanding EU-NATO Cooperation’, </w:t>
      </w:r>
      <w:r>
        <w:rPr>
          <w:i/>
          <w:lang w:val="en-AU"/>
        </w:rPr>
        <w:t xml:space="preserve">European Parliamentary Research </w:t>
      </w:r>
      <w:r w:rsidRPr="00AC4CEB">
        <w:rPr>
          <w:i/>
          <w:lang w:val="en-AU"/>
        </w:rPr>
        <w:t>Service</w:t>
      </w:r>
      <w:r>
        <w:rPr>
          <w:lang w:val="en-AU"/>
        </w:rPr>
        <w:t xml:space="preserve">, 2020, available at </w:t>
      </w:r>
      <w:hyperlink r:id="rId16" w:history="1">
        <w:r w:rsidRPr="00A729E2">
          <w:rPr>
            <w:rStyle w:val="Hyperlink"/>
            <w:lang w:val="en-AU"/>
          </w:rPr>
          <w:t>https://www.europarl.europa.eu/RegData/etudes/BRIE/2020/659269/EPRS_BRI(2020)659269_EN.pdf</w:t>
        </w:r>
      </w:hyperlink>
    </w:p>
    <w:p w14:paraId="59A0C888" w14:textId="6909ED83" w:rsidR="00452E53" w:rsidRPr="00452E53" w:rsidRDefault="00AC4CEB" w:rsidP="00452E53">
      <w:pPr>
        <w:pStyle w:val="ListParagraph"/>
        <w:numPr>
          <w:ilvl w:val="0"/>
          <w:numId w:val="21"/>
        </w:numPr>
        <w:rPr>
          <w:rFonts w:ascii="Times" w:hAnsi="Times"/>
          <w:sz w:val="20"/>
          <w:szCs w:val="20"/>
          <w:lang w:val="it-IT" w:eastAsia="it-IT"/>
        </w:rPr>
      </w:pPr>
      <w:r>
        <w:rPr>
          <w:color w:val="323232"/>
          <w:shd w:val="clear" w:color="auto" w:fill="FFFFFF"/>
          <w:lang w:val="it-IT" w:eastAsia="it-IT"/>
        </w:rPr>
        <w:t xml:space="preserve">Joylon </w:t>
      </w:r>
      <w:r w:rsidRPr="00AC4CEB">
        <w:rPr>
          <w:color w:val="323232"/>
          <w:shd w:val="clear" w:color="auto" w:fill="FFFFFF"/>
          <w:lang w:val="it-IT" w:eastAsia="it-IT"/>
        </w:rPr>
        <w:t xml:space="preserve">Howorth, </w:t>
      </w:r>
      <w:r>
        <w:rPr>
          <w:color w:val="323232"/>
          <w:shd w:val="clear" w:color="auto" w:fill="FFFFFF"/>
          <w:lang w:val="it-IT" w:eastAsia="it-IT"/>
        </w:rPr>
        <w:t>‘</w:t>
      </w:r>
      <w:r w:rsidRPr="00AC4CEB">
        <w:rPr>
          <w:color w:val="323232"/>
          <w:shd w:val="clear" w:color="auto" w:fill="FFFFFF"/>
          <w:lang w:val="it-IT" w:eastAsia="it-IT"/>
        </w:rPr>
        <w:t>NATO and ESDP: Institutional Compl</w:t>
      </w:r>
      <w:r>
        <w:rPr>
          <w:color w:val="323232"/>
          <w:shd w:val="clear" w:color="auto" w:fill="FFFFFF"/>
          <w:lang w:val="it-IT" w:eastAsia="it-IT"/>
        </w:rPr>
        <w:t>exities and Political Realities’,</w:t>
      </w:r>
      <w:r w:rsidRPr="00AC4CEB">
        <w:rPr>
          <w:color w:val="323232"/>
          <w:shd w:val="clear" w:color="auto" w:fill="FFFFFF"/>
          <w:lang w:val="it-IT" w:eastAsia="it-IT"/>
        </w:rPr>
        <w:t> </w:t>
      </w:r>
      <w:r w:rsidRPr="00AC4CEB">
        <w:rPr>
          <w:i/>
          <w:iCs/>
          <w:color w:val="323232"/>
          <w:shd w:val="clear" w:color="auto" w:fill="FFFFFF"/>
          <w:lang w:val="it-IT" w:eastAsia="it-IT"/>
        </w:rPr>
        <w:t>Politique étrangère</w:t>
      </w:r>
      <w:r>
        <w:rPr>
          <w:color w:val="323232"/>
          <w:shd w:val="clear" w:color="auto" w:fill="FFFFFF"/>
          <w:lang w:val="it-IT" w:eastAsia="it-IT"/>
        </w:rPr>
        <w:t>, 2009, pp.</w:t>
      </w:r>
      <w:r w:rsidRPr="00AC4CEB">
        <w:rPr>
          <w:color w:val="323232"/>
          <w:shd w:val="clear" w:color="auto" w:fill="FFFFFF"/>
          <w:lang w:val="it-IT" w:eastAsia="it-IT"/>
        </w:rPr>
        <w:t xml:space="preserve"> 95-10</w:t>
      </w:r>
      <w:r w:rsidR="00452E53">
        <w:rPr>
          <w:color w:val="323232"/>
          <w:shd w:val="clear" w:color="auto" w:fill="FFFFFF"/>
          <w:lang w:val="it-IT" w:eastAsia="it-IT"/>
        </w:rPr>
        <w:t xml:space="preserve">, available at </w:t>
      </w:r>
      <w:r w:rsidR="00452E53" w:rsidRPr="00452E53">
        <w:rPr>
          <w:color w:val="323232"/>
          <w:shd w:val="clear" w:color="auto" w:fill="FFFFFF"/>
          <w:lang w:val="it-IT" w:eastAsia="it-IT"/>
        </w:rPr>
        <w:t>https://www.cairn.info/revue-politique-etrangere-2009-5-page-95.htm</w:t>
      </w:r>
    </w:p>
    <w:p w14:paraId="5372997C" w14:textId="77777777" w:rsidR="00622C26" w:rsidRPr="00622C26" w:rsidRDefault="00622C26" w:rsidP="00622C26">
      <w:pPr>
        <w:pStyle w:val="ListParagraph"/>
        <w:numPr>
          <w:ilvl w:val="0"/>
          <w:numId w:val="21"/>
        </w:numPr>
        <w:rPr>
          <w:i/>
          <w:lang w:val="en-AU"/>
        </w:rPr>
      </w:pPr>
      <w:r>
        <w:rPr>
          <w:lang w:val="en-AU"/>
        </w:rPr>
        <w:t>Stanley Sloan,</w:t>
      </w:r>
      <w:r w:rsidRPr="006A1F39">
        <w:rPr>
          <w:lang w:val="en-AU"/>
        </w:rPr>
        <w:t xml:space="preserve"> </w:t>
      </w:r>
      <w:r w:rsidRPr="006A1F39">
        <w:rPr>
          <w:i/>
          <w:lang w:val="en-AU"/>
        </w:rPr>
        <w:t>Defense of the West. NATO, the European Union and the Transatlantic Bargain</w:t>
      </w:r>
      <w:r w:rsidRPr="006A1F39">
        <w:rPr>
          <w:lang w:val="en-AU"/>
        </w:rPr>
        <w:t xml:space="preserve"> (Manchester  University Press, 2016), Ch. 1 and Ch. 10</w:t>
      </w:r>
    </w:p>
    <w:p w14:paraId="10157F82" w14:textId="6FC4F64D" w:rsidR="00622C26" w:rsidRPr="00622C26" w:rsidRDefault="00622C26" w:rsidP="00622C26">
      <w:pPr>
        <w:pStyle w:val="ListParagraph"/>
        <w:numPr>
          <w:ilvl w:val="0"/>
          <w:numId w:val="21"/>
        </w:numPr>
        <w:rPr>
          <w:lang w:val="en-AU"/>
        </w:rPr>
      </w:pPr>
      <w:r>
        <w:rPr>
          <w:bCs/>
          <w:lang w:val="en-AU"/>
        </w:rPr>
        <w:t xml:space="preserve">Paul Cornish, ‘EU and NATO: Cooperation or Competition?’ </w:t>
      </w:r>
      <w:r>
        <w:rPr>
          <w:bCs/>
          <w:i/>
          <w:lang w:val="en-AU"/>
        </w:rPr>
        <w:t>European Parliament Briefing Paper</w:t>
      </w:r>
      <w:r>
        <w:rPr>
          <w:bCs/>
          <w:lang w:val="en-AU"/>
        </w:rPr>
        <w:t xml:space="preserve">, 2006, available at </w:t>
      </w:r>
      <w:r w:rsidRPr="00622C26">
        <w:rPr>
          <w:bCs/>
          <w:lang w:val="en-AU"/>
        </w:rPr>
        <w:t>https://www.europarl.europa.eu/meetdocs/2004_2009/documents/dv/eunatorelations_/eunatorelations_en.pdf</w:t>
      </w:r>
    </w:p>
    <w:p w14:paraId="5E760E40" w14:textId="00DA57CF" w:rsidR="00622C26" w:rsidRPr="00622C26" w:rsidRDefault="00622C26" w:rsidP="00F14A7B">
      <w:pPr>
        <w:pStyle w:val="ListParagraph"/>
        <w:numPr>
          <w:ilvl w:val="0"/>
          <w:numId w:val="21"/>
        </w:numPr>
        <w:rPr>
          <w:lang w:val="en-AU"/>
        </w:rPr>
      </w:pPr>
      <w:r>
        <w:rPr>
          <w:i/>
          <w:lang w:val="en-AU"/>
        </w:rPr>
        <w:t xml:space="preserve">NATO-EU cooperation factsheet, </w:t>
      </w:r>
      <w:r>
        <w:rPr>
          <w:lang w:val="en-AU"/>
        </w:rPr>
        <w:t>available at</w:t>
      </w:r>
      <w:r>
        <w:rPr>
          <w:i/>
          <w:lang w:val="en-AU"/>
        </w:rPr>
        <w:t xml:space="preserve"> </w:t>
      </w:r>
      <w:r w:rsidRPr="00622C26">
        <w:rPr>
          <w:lang w:val="en-AU"/>
        </w:rPr>
        <w:t>https://www.nato.int/nato_static_fl2014/assets/pdf/2021/3/pdf/2103-factsheet-nato-eu-en.pdf</w:t>
      </w:r>
    </w:p>
    <w:p w14:paraId="205FF1B1" w14:textId="5563BA77" w:rsidR="00CA4FBE" w:rsidRPr="00671605" w:rsidRDefault="00CA4FBE" w:rsidP="00F14A7B">
      <w:pPr>
        <w:pStyle w:val="ListParagraph"/>
        <w:numPr>
          <w:ilvl w:val="0"/>
          <w:numId w:val="21"/>
        </w:numPr>
        <w:rPr>
          <w:i/>
          <w:lang w:val="en-AU"/>
        </w:rPr>
      </w:pPr>
      <w:r w:rsidRPr="00671605">
        <w:rPr>
          <w:i/>
          <w:lang w:val="en-AU"/>
        </w:rPr>
        <w:t xml:space="preserve">NATO </w:t>
      </w:r>
      <w:r w:rsidR="00671605" w:rsidRPr="00671605">
        <w:rPr>
          <w:i/>
          <w:lang w:val="en-AU"/>
        </w:rPr>
        <w:t xml:space="preserve">Brussels summit communiqué, </w:t>
      </w:r>
      <w:r w:rsidR="00671605" w:rsidRPr="00671605">
        <w:rPr>
          <w:lang w:val="en-AU"/>
        </w:rPr>
        <w:t>June 2021, available at https://www.nato.int/cps/en/natohq/news_185000.htm?selectedLocale=en</w:t>
      </w:r>
    </w:p>
    <w:p w14:paraId="3D1CD8D0" w14:textId="77777777" w:rsidR="006405D1" w:rsidRPr="00622C26" w:rsidRDefault="006405D1" w:rsidP="006405D1">
      <w:pPr>
        <w:pStyle w:val="ListParagraph"/>
        <w:rPr>
          <w:lang w:val="en-AU"/>
        </w:rPr>
      </w:pPr>
    </w:p>
    <w:p w14:paraId="16B67F6D" w14:textId="77777777" w:rsidR="006405D1" w:rsidRDefault="006405D1" w:rsidP="006405D1">
      <w:pPr>
        <w:pStyle w:val="ListParagraph"/>
        <w:ind w:left="360"/>
        <w:rPr>
          <w:lang w:val="en-AU"/>
        </w:rPr>
      </w:pPr>
      <w:r w:rsidRPr="00622C26">
        <w:rPr>
          <w:lang w:val="en-AU"/>
        </w:rPr>
        <w:t>Optional:</w:t>
      </w:r>
    </w:p>
    <w:p w14:paraId="0F7624F2" w14:textId="77777777" w:rsidR="00452E53" w:rsidRPr="00622C26" w:rsidRDefault="00452E53" w:rsidP="006405D1">
      <w:pPr>
        <w:pStyle w:val="ListParagraph"/>
        <w:ind w:left="360"/>
        <w:rPr>
          <w:rStyle w:val="Strong"/>
          <w:b w:val="0"/>
          <w:bCs w:val="0"/>
          <w:lang w:val="en-AU"/>
        </w:rPr>
      </w:pPr>
    </w:p>
    <w:p w14:paraId="61DD8F3C" w14:textId="77777777" w:rsidR="00622C26" w:rsidRDefault="00671605" w:rsidP="00671605">
      <w:pPr>
        <w:rPr>
          <w:lang w:val="en-AU"/>
        </w:rPr>
      </w:pPr>
      <w:r w:rsidRPr="00622C26">
        <w:rPr>
          <w:lang w:val="en-AU"/>
        </w:rPr>
        <w:t xml:space="preserve">      </w:t>
      </w:r>
      <w:r w:rsidR="006405D1" w:rsidRPr="00622C26">
        <w:rPr>
          <w:lang w:val="en-AU"/>
        </w:rPr>
        <w:sym w:font="Symbol" w:char="F0B7"/>
      </w:r>
      <w:r w:rsidR="006405D1" w:rsidRPr="00622C26">
        <w:rPr>
          <w:lang w:val="en-AU"/>
        </w:rPr>
        <w:t xml:space="preserve"> </w:t>
      </w:r>
      <w:r w:rsidR="00622C26">
        <w:rPr>
          <w:lang w:val="en-AU"/>
        </w:rPr>
        <w:t xml:space="preserve">   </w:t>
      </w:r>
      <w:r w:rsidR="006405D1" w:rsidRPr="00622C26">
        <w:rPr>
          <w:lang w:val="en-AU"/>
        </w:rPr>
        <w:t xml:space="preserve">Jan Joel Andersson, et. al., </w:t>
      </w:r>
      <w:r w:rsidR="006405D1" w:rsidRPr="00622C26">
        <w:rPr>
          <w:i/>
          <w:lang w:val="en-AU"/>
        </w:rPr>
        <w:t>Envisioning European Defence. Five Futures</w:t>
      </w:r>
      <w:r w:rsidR="006405D1" w:rsidRPr="00622C26">
        <w:rPr>
          <w:lang w:val="en-AU"/>
        </w:rPr>
        <w:t xml:space="preserve"> (European </w:t>
      </w:r>
      <w:r w:rsidR="00622C26">
        <w:rPr>
          <w:lang w:val="en-AU"/>
        </w:rPr>
        <w:t xml:space="preserve">  </w:t>
      </w:r>
    </w:p>
    <w:p w14:paraId="19F838CC" w14:textId="0022D633" w:rsidR="00667328" w:rsidRPr="00622C26" w:rsidRDefault="00622C26" w:rsidP="00671605">
      <w:pPr>
        <w:rPr>
          <w:lang w:val="en-AU"/>
        </w:rPr>
      </w:pPr>
      <w:r>
        <w:rPr>
          <w:lang w:val="en-AU"/>
        </w:rPr>
        <w:t xml:space="preserve">            </w:t>
      </w:r>
      <w:r w:rsidR="006405D1" w:rsidRPr="00622C26">
        <w:rPr>
          <w:lang w:val="en-AU"/>
        </w:rPr>
        <w:t>Union Institute for Security Studies - Chaillot Papers, 137), Paris 2016</w:t>
      </w:r>
    </w:p>
    <w:p w14:paraId="08BEA588" w14:textId="77777777" w:rsidR="00622C26" w:rsidRDefault="00622C26" w:rsidP="00622C26">
      <w:pPr>
        <w:rPr>
          <w:rFonts w:ascii="Times" w:hAnsi="Times"/>
          <w:lang w:val="it-IT" w:eastAsia="it-IT"/>
        </w:rPr>
      </w:pPr>
      <w:r w:rsidRPr="00622C26">
        <w:rPr>
          <w:lang w:val="en-AU"/>
        </w:rPr>
        <w:t xml:space="preserve">      </w:t>
      </w:r>
      <w:r w:rsidRPr="00622C26">
        <w:rPr>
          <w:lang w:val="en-AU"/>
        </w:rPr>
        <w:sym w:font="Symbol" w:char="F0B7"/>
      </w:r>
      <w:r>
        <w:rPr>
          <w:lang w:val="en-AU"/>
        </w:rPr>
        <w:t xml:space="preserve">   </w:t>
      </w:r>
      <w:r w:rsidRPr="00622C26">
        <w:rPr>
          <w:lang w:val="en-AU"/>
        </w:rPr>
        <w:t xml:space="preserve"> Sven Biscop, ‘</w:t>
      </w:r>
      <w:r w:rsidRPr="00622C26">
        <w:rPr>
          <w:rFonts w:ascii="Times" w:hAnsi="Times"/>
          <w:lang w:val="it-IT" w:eastAsia="it-IT"/>
        </w:rPr>
        <w:t xml:space="preserve">EU-NATO Relations: A Long-Term Perspective’, </w:t>
      </w:r>
      <w:r w:rsidRPr="00622C26">
        <w:rPr>
          <w:rFonts w:ascii="Times" w:hAnsi="Times"/>
          <w:i/>
          <w:lang w:val="it-IT" w:eastAsia="it-IT"/>
        </w:rPr>
        <w:t xml:space="preserve">Nacao e Defesa, </w:t>
      </w:r>
      <w:r w:rsidRPr="00622C26">
        <w:rPr>
          <w:rFonts w:ascii="Times" w:hAnsi="Times"/>
          <w:lang w:val="it-IT" w:eastAsia="it-IT"/>
        </w:rPr>
        <w:t xml:space="preserve">2018, </w:t>
      </w:r>
    </w:p>
    <w:p w14:paraId="1D785F7B" w14:textId="77777777" w:rsidR="00622C26" w:rsidRDefault="00622C26" w:rsidP="00622C26">
      <w:pPr>
        <w:rPr>
          <w:rFonts w:ascii="Times" w:hAnsi="Times"/>
          <w:lang w:val="it-IT" w:eastAsia="it-IT"/>
        </w:rPr>
      </w:pPr>
      <w:r>
        <w:rPr>
          <w:rFonts w:ascii="Times" w:hAnsi="Times"/>
          <w:lang w:val="it-IT" w:eastAsia="it-IT"/>
        </w:rPr>
        <w:t xml:space="preserve">            </w:t>
      </w:r>
      <w:r w:rsidRPr="00622C26">
        <w:rPr>
          <w:rFonts w:ascii="Times" w:hAnsi="Times"/>
          <w:lang w:val="it-IT" w:eastAsia="it-IT"/>
        </w:rPr>
        <w:t>no.150 pp. 85-93, available</w:t>
      </w:r>
      <w:r>
        <w:rPr>
          <w:rFonts w:ascii="Times" w:hAnsi="Times"/>
          <w:lang w:val="it-IT" w:eastAsia="it-IT"/>
        </w:rPr>
        <w:t xml:space="preserve"> at  </w:t>
      </w:r>
    </w:p>
    <w:p w14:paraId="46D69BB8" w14:textId="7C04AEA9" w:rsidR="00622C26" w:rsidRDefault="00622C26" w:rsidP="00622C26">
      <w:pPr>
        <w:rPr>
          <w:rFonts w:ascii="Times" w:hAnsi="Times"/>
          <w:lang w:val="it-IT" w:eastAsia="it-IT"/>
        </w:rPr>
      </w:pPr>
      <w:r>
        <w:rPr>
          <w:rFonts w:ascii="Times" w:hAnsi="Times"/>
          <w:lang w:val="it-IT" w:eastAsia="it-IT"/>
        </w:rPr>
        <w:t xml:space="preserve">            </w:t>
      </w:r>
      <w:hyperlink r:id="rId17" w:history="1">
        <w:r w:rsidRPr="00A729E2">
          <w:rPr>
            <w:rStyle w:val="Hyperlink"/>
            <w:rFonts w:ascii="Times" w:hAnsi="Times"/>
            <w:lang w:val="it-IT" w:eastAsia="it-IT"/>
          </w:rPr>
          <w:t>https://www.egmontinstitute.be/content/uploads/2018/11/NeD150.pdf</w:t>
        </w:r>
      </w:hyperlink>
    </w:p>
    <w:p w14:paraId="1216E6DA" w14:textId="77777777" w:rsidR="00622C26" w:rsidRDefault="00622C26" w:rsidP="00622C26">
      <w:pPr>
        <w:pStyle w:val="ListParagraph"/>
        <w:numPr>
          <w:ilvl w:val="0"/>
          <w:numId w:val="21"/>
        </w:numPr>
        <w:rPr>
          <w:lang w:val="en-AU"/>
        </w:rPr>
      </w:pPr>
      <w:r w:rsidRPr="00622C26">
        <w:rPr>
          <w:lang w:val="en-AU"/>
        </w:rPr>
        <w:t xml:space="preserve">Simon Duke and Sophie Vanhooncker, ‘EU-NATO relations: Top-down strategic paralysis, bottom up cooperation’, in </w:t>
      </w:r>
      <w:r w:rsidRPr="00622C26">
        <w:rPr>
          <w:i/>
          <w:lang w:val="en-AU"/>
        </w:rPr>
        <w:t xml:space="preserve">The EU, Strategy, and Security Policy: Regional and Strategic Challenges, </w:t>
      </w:r>
      <w:r w:rsidRPr="00622C26">
        <w:rPr>
          <w:lang w:val="en-AU"/>
        </w:rPr>
        <w:t>in Laura Chappell, Jocelyn Mawdsley, Petar Patrov, eds (London: Routledge, 2016), pp. 154 -168</w:t>
      </w:r>
    </w:p>
    <w:p w14:paraId="21DE26C1" w14:textId="77777777" w:rsidR="00AC4CEB" w:rsidRPr="00452E53" w:rsidRDefault="00AC4CEB" w:rsidP="00AC4CEB">
      <w:pPr>
        <w:pStyle w:val="ListParagraph"/>
        <w:numPr>
          <w:ilvl w:val="0"/>
          <w:numId w:val="21"/>
        </w:numPr>
        <w:rPr>
          <w:lang w:val="en-AU"/>
        </w:rPr>
      </w:pPr>
      <w:r>
        <w:rPr>
          <w:lang w:val="en-AU"/>
        </w:rPr>
        <w:t>Joachim Koops, ‘NATO’</w:t>
      </w:r>
      <w:r w:rsidRPr="006A1F39">
        <w:rPr>
          <w:lang w:val="en-AU"/>
        </w:rPr>
        <w:t>s influence on the evolution of the European Un</w:t>
      </w:r>
      <w:r>
        <w:rPr>
          <w:lang w:val="en-AU"/>
        </w:rPr>
        <w:t>ion as a security actor’</w:t>
      </w:r>
      <w:r w:rsidRPr="006A1F39">
        <w:rPr>
          <w:lang w:val="en-AU"/>
        </w:rPr>
        <w:t>, in</w:t>
      </w:r>
      <w:r w:rsidRPr="006A1F39">
        <w:rPr>
          <w:i/>
          <w:lang w:val="en-AU"/>
        </w:rPr>
        <w:t xml:space="preserve"> </w:t>
      </w:r>
      <w:r w:rsidRPr="006A1F39">
        <w:rPr>
          <w:bCs/>
          <w:i/>
          <w:lang w:val="en-AU"/>
        </w:rPr>
        <w:t>The influence of inter</w:t>
      </w:r>
      <w:r>
        <w:rPr>
          <w:bCs/>
          <w:i/>
          <w:lang w:val="en-AU"/>
        </w:rPr>
        <w:t>national institutions on the EU</w:t>
      </w:r>
      <w:r w:rsidRPr="006A1F39">
        <w:rPr>
          <w:bCs/>
          <w:i/>
          <w:lang w:val="en-AU"/>
        </w:rPr>
        <w:t xml:space="preserve">: when multilateralism hits Brussels, </w:t>
      </w:r>
      <w:r>
        <w:rPr>
          <w:bCs/>
          <w:lang w:val="en-AU"/>
        </w:rPr>
        <w:t>in</w:t>
      </w:r>
      <w:r w:rsidRPr="006A1F39">
        <w:rPr>
          <w:bCs/>
          <w:lang w:val="en-AU"/>
        </w:rPr>
        <w:t xml:space="preserve"> Oriol Costa and Knud Erik Jørgensen</w:t>
      </w:r>
      <w:r>
        <w:rPr>
          <w:bCs/>
          <w:lang w:val="en-AU"/>
        </w:rPr>
        <w:t>, eds, (London and New York,</w:t>
      </w:r>
      <w:r w:rsidRPr="006A1F39">
        <w:rPr>
          <w:bCs/>
          <w:lang w:val="en-AU"/>
        </w:rPr>
        <w:t xml:space="preserve"> </w:t>
      </w:r>
      <w:r>
        <w:rPr>
          <w:bCs/>
          <w:lang w:val="en-AU"/>
        </w:rPr>
        <w:t xml:space="preserve">Palgrave: </w:t>
      </w:r>
      <w:r w:rsidRPr="006A1F39">
        <w:rPr>
          <w:bCs/>
          <w:lang w:val="en-AU"/>
        </w:rPr>
        <w:t>2012)</w:t>
      </w:r>
    </w:p>
    <w:p w14:paraId="50595DF3" w14:textId="15BD8DC3" w:rsidR="00452E53" w:rsidRPr="00622C26" w:rsidRDefault="00452E53" w:rsidP="00452E53">
      <w:pPr>
        <w:pStyle w:val="ListParagraph"/>
        <w:numPr>
          <w:ilvl w:val="0"/>
          <w:numId w:val="21"/>
        </w:numPr>
        <w:rPr>
          <w:rStyle w:val="Hyperlink"/>
          <w:color w:val="auto"/>
          <w:u w:val="none"/>
          <w:lang w:val="en-AU"/>
        </w:rPr>
      </w:pPr>
      <w:r w:rsidRPr="00671605">
        <w:rPr>
          <w:lang w:val="en-AU"/>
        </w:rPr>
        <w:t>Simon Lunn and Nicolas Williams</w:t>
      </w:r>
      <w:r w:rsidRPr="006A1F39">
        <w:rPr>
          <w:i/>
          <w:lang w:val="en-AU"/>
        </w:rPr>
        <w:t xml:space="preserve">, </w:t>
      </w:r>
      <w:r w:rsidR="008A7560">
        <w:rPr>
          <w:lang w:val="en-AU"/>
        </w:rPr>
        <w:t>‘</w:t>
      </w:r>
      <w:r w:rsidRPr="00671605">
        <w:rPr>
          <w:lang w:val="en-AU"/>
        </w:rPr>
        <w:t>NATO Defence Spending: The Irrationality of 2%</w:t>
      </w:r>
      <w:r w:rsidR="008A7560">
        <w:rPr>
          <w:lang w:val="en-AU"/>
        </w:rPr>
        <w:t>’</w:t>
      </w:r>
      <w:r w:rsidRPr="006A1F39">
        <w:rPr>
          <w:lang w:val="en-AU"/>
        </w:rPr>
        <w:t xml:space="preserve"> </w:t>
      </w:r>
      <w:r w:rsidRPr="00622C26">
        <w:rPr>
          <w:lang w:val="en-AU"/>
        </w:rPr>
        <w:t xml:space="preserve">(ELN  Issue Brief), London 2017,    </w:t>
      </w:r>
      <w:hyperlink r:id="rId18" w:history="1">
        <w:r w:rsidRPr="00622C26">
          <w:rPr>
            <w:rStyle w:val="Hyperlink"/>
            <w:lang w:val="en-AU"/>
          </w:rPr>
          <w:t>http://www.europeanleadershipnetwork.org/medialibrary/2017/06/12/6c4740de/170608%20ELN%20Issues%20Brief%20-%20Defence%20Spending.pdf</w:t>
        </w:r>
      </w:hyperlink>
    </w:p>
    <w:p w14:paraId="62A79C16" w14:textId="77777777" w:rsidR="006405D1" w:rsidRPr="00452E53" w:rsidRDefault="006405D1" w:rsidP="00452E53">
      <w:pPr>
        <w:rPr>
          <w:lang w:val="en-AU"/>
        </w:rPr>
      </w:pPr>
    </w:p>
    <w:p w14:paraId="6E30BFD5" w14:textId="2DC2B090" w:rsidR="00892A3A" w:rsidRPr="00CA4FBE" w:rsidRDefault="00452E53" w:rsidP="00892A3A">
      <w:pPr>
        <w:rPr>
          <w:b/>
          <w:bCs/>
          <w:lang w:val="en-AU"/>
        </w:rPr>
      </w:pPr>
      <w:r>
        <w:rPr>
          <w:b/>
          <w:bCs/>
          <w:lang w:val="en-AU"/>
        </w:rPr>
        <w:t>Session 5</w:t>
      </w:r>
      <w:r w:rsidR="00D76CBC" w:rsidRPr="006A1F39">
        <w:rPr>
          <w:b/>
          <w:bCs/>
          <w:lang w:val="en-AU"/>
        </w:rPr>
        <w:t>:</w:t>
      </w:r>
      <w:r w:rsidR="00892A3A" w:rsidRPr="006A1F39">
        <w:rPr>
          <w:b/>
          <w:bCs/>
          <w:lang w:val="en-AU"/>
        </w:rPr>
        <w:t xml:space="preserve"> </w:t>
      </w:r>
      <w:r w:rsidR="00D7385F">
        <w:rPr>
          <w:b/>
          <w:bCs/>
          <w:lang w:val="en-AU"/>
        </w:rPr>
        <w:t xml:space="preserve">Tuesday, 9 February </w:t>
      </w:r>
      <w:r w:rsidR="00146A49" w:rsidRPr="00CA4FBE">
        <w:rPr>
          <w:b/>
          <w:bCs/>
          <w:lang w:val="en-AU"/>
        </w:rPr>
        <w:t xml:space="preserve">THE </w:t>
      </w:r>
      <w:r w:rsidR="007453A3" w:rsidRPr="00CA4FBE">
        <w:rPr>
          <w:b/>
          <w:bCs/>
          <w:lang w:val="en-AU"/>
        </w:rPr>
        <w:t>INSTITU</w:t>
      </w:r>
      <w:r w:rsidR="008D20F2" w:rsidRPr="00CA4FBE">
        <w:rPr>
          <w:b/>
          <w:bCs/>
          <w:lang w:val="en-AU"/>
        </w:rPr>
        <w:t>T</w:t>
      </w:r>
      <w:r w:rsidR="007453A3" w:rsidRPr="00CA4FBE">
        <w:rPr>
          <w:b/>
          <w:bCs/>
          <w:lang w:val="en-AU"/>
        </w:rPr>
        <w:t xml:space="preserve">IONAL STRUCTURE </w:t>
      </w:r>
      <w:r w:rsidR="00E836F7" w:rsidRPr="00CA4FBE">
        <w:rPr>
          <w:b/>
          <w:bCs/>
          <w:lang w:val="en-AU"/>
        </w:rPr>
        <w:t xml:space="preserve">OF </w:t>
      </w:r>
      <w:r w:rsidR="00146A49" w:rsidRPr="00CA4FBE">
        <w:rPr>
          <w:b/>
          <w:bCs/>
          <w:lang w:val="en-AU"/>
        </w:rPr>
        <w:t>EU</w:t>
      </w:r>
      <w:r w:rsidR="00E836F7" w:rsidRPr="00CA4FBE">
        <w:rPr>
          <w:b/>
          <w:bCs/>
          <w:lang w:val="en-AU"/>
        </w:rPr>
        <w:t xml:space="preserve"> SECURITY AND DEFENCE</w:t>
      </w:r>
    </w:p>
    <w:p w14:paraId="5F3C3B79" w14:textId="77777777" w:rsidR="007453A3" w:rsidRPr="006A1F39" w:rsidRDefault="007453A3" w:rsidP="002E5631">
      <w:pPr>
        <w:pStyle w:val="ListParagraph"/>
        <w:ind w:left="0"/>
        <w:textAlignment w:val="baseline"/>
        <w:rPr>
          <w:u w:val="single"/>
          <w:lang w:val="en-AU"/>
        </w:rPr>
      </w:pPr>
    </w:p>
    <w:p w14:paraId="500272DC" w14:textId="423652AA" w:rsidR="00452E53" w:rsidRDefault="00452E53" w:rsidP="002E5631">
      <w:pPr>
        <w:pStyle w:val="ListParagraph"/>
        <w:ind w:left="0"/>
        <w:textAlignment w:val="baseline"/>
        <w:rPr>
          <w:lang w:val="en-AU"/>
        </w:rPr>
      </w:pPr>
      <w:r>
        <w:rPr>
          <w:lang w:val="en-AU"/>
        </w:rPr>
        <w:t>S</w:t>
      </w:r>
      <w:r w:rsidR="00AE5FBE" w:rsidRPr="006A1F39">
        <w:rPr>
          <w:lang w:val="en-AU"/>
        </w:rPr>
        <w:t>upranational and</w:t>
      </w:r>
      <w:r w:rsidR="00C17658" w:rsidRPr="006A1F39">
        <w:rPr>
          <w:lang w:val="en-AU"/>
        </w:rPr>
        <w:t xml:space="preserve"> inter</w:t>
      </w:r>
      <w:r w:rsidR="00AE5FBE" w:rsidRPr="006A1F39">
        <w:rPr>
          <w:lang w:val="en-AU"/>
        </w:rPr>
        <w:t>governmental methods</w:t>
      </w:r>
    </w:p>
    <w:p w14:paraId="463EF0FA" w14:textId="77777777" w:rsidR="00452E53" w:rsidRDefault="00452E53" w:rsidP="002E5631">
      <w:pPr>
        <w:pStyle w:val="ListParagraph"/>
        <w:ind w:left="0"/>
        <w:textAlignment w:val="baseline"/>
        <w:rPr>
          <w:lang w:val="en-AU"/>
        </w:rPr>
      </w:pPr>
      <w:r>
        <w:rPr>
          <w:lang w:val="en-AU"/>
        </w:rPr>
        <w:t>Unanimity</w:t>
      </w:r>
    </w:p>
    <w:p w14:paraId="1E63F13F" w14:textId="77777777" w:rsidR="00452E53" w:rsidRDefault="00452E53" w:rsidP="002E5631">
      <w:pPr>
        <w:pStyle w:val="ListParagraph"/>
        <w:ind w:left="0"/>
        <w:textAlignment w:val="baseline"/>
        <w:rPr>
          <w:lang w:val="en-AU"/>
        </w:rPr>
      </w:pPr>
      <w:r>
        <w:rPr>
          <w:lang w:val="en-AU"/>
        </w:rPr>
        <w:t>Mutual defence clause</w:t>
      </w:r>
    </w:p>
    <w:p w14:paraId="40552AF8" w14:textId="77777777" w:rsidR="00452E53" w:rsidRDefault="00452E53" w:rsidP="002E5631">
      <w:pPr>
        <w:pStyle w:val="ListParagraph"/>
        <w:ind w:left="0"/>
        <w:textAlignment w:val="baseline"/>
        <w:rPr>
          <w:lang w:val="en-AU"/>
        </w:rPr>
      </w:pPr>
      <w:r>
        <w:rPr>
          <w:lang w:val="en-AU"/>
        </w:rPr>
        <w:t>Solidarity clause</w:t>
      </w:r>
    </w:p>
    <w:p w14:paraId="059B2A6A" w14:textId="697ED821" w:rsidR="00452E53" w:rsidRDefault="00452E53" w:rsidP="002E5631">
      <w:pPr>
        <w:pStyle w:val="ListParagraph"/>
        <w:ind w:left="0"/>
        <w:textAlignment w:val="baseline"/>
        <w:rPr>
          <w:bCs/>
          <w:lang w:val="en-AU"/>
        </w:rPr>
      </w:pPr>
      <w:r>
        <w:rPr>
          <w:lang w:val="en-AU"/>
        </w:rPr>
        <w:t>O</w:t>
      </w:r>
      <w:r w:rsidR="008A7560">
        <w:rPr>
          <w:lang w:val="en-AU"/>
        </w:rPr>
        <w:t>pting outs</w:t>
      </w:r>
    </w:p>
    <w:p w14:paraId="73EED737" w14:textId="77777777" w:rsidR="00452E53" w:rsidRDefault="00452E53" w:rsidP="002E5631">
      <w:pPr>
        <w:pStyle w:val="ListParagraph"/>
        <w:ind w:left="0"/>
        <w:textAlignment w:val="baseline"/>
        <w:rPr>
          <w:lang w:val="en-AU"/>
        </w:rPr>
      </w:pPr>
      <w:r>
        <w:rPr>
          <w:bCs/>
          <w:lang w:val="en-AU"/>
        </w:rPr>
        <w:t>Pooling and sharing</w:t>
      </w:r>
      <w:r w:rsidR="00DE3918" w:rsidRPr="006A1F39">
        <w:rPr>
          <w:lang w:val="en-AU"/>
        </w:rPr>
        <w:t xml:space="preserve"> </w:t>
      </w:r>
    </w:p>
    <w:p w14:paraId="24C27CC8" w14:textId="2CC343D4" w:rsidR="008D20F2" w:rsidRPr="006A1F39" w:rsidRDefault="00AE5FBE" w:rsidP="002E5631">
      <w:pPr>
        <w:pStyle w:val="ListParagraph"/>
        <w:ind w:left="0"/>
        <w:textAlignment w:val="baseline"/>
        <w:rPr>
          <w:lang w:val="en-AU"/>
        </w:rPr>
      </w:pPr>
      <w:r w:rsidRPr="006A1F39">
        <w:rPr>
          <w:lang w:val="en-AU"/>
        </w:rPr>
        <w:t>European</w:t>
      </w:r>
      <w:r w:rsidR="00C17658" w:rsidRPr="006A1F39">
        <w:rPr>
          <w:lang w:val="en-AU"/>
        </w:rPr>
        <w:t xml:space="preserve"> Parliament</w:t>
      </w:r>
      <w:r w:rsidR="007E397E" w:rsidRPr="006A1F39">
        <w:rPr>
          <w:lang w:val="en-AU"/>
        </w:rPr>
        <w:t xml:space="preserve"> &amp; </w:t>
      </w:r>
      <w:r w:rsidR="007E397E" w:rsidRPr="006A1F39">
        <w:rPr>
          <w:bCs/>
          <w:lang w:val="en-AU"/>
        </w:rPr>
        <w:t>democratic deficit</w:t>
      </w:r>
    </w:p>
    <w:p w14:paraId="67FC8A28" w14:textId="5E4CFD84" w:rsidR="008A7560" w:rsidRDefault="008A7560" w:rsidP="002E5631">
      <w:pPr>
        <w:pStyle w:val="ListParagraph"/>
        <w:ind w:left="0"/>
        <w:textAlignment w:val="baseline"/>
        <w:rPr>
          <w:lang w:val="en-AU"/>
        </w:rPr>
      </w:pPr>
      <w:r>
        <w:rPr>
          <w:lang w:val="en-AU"/>
        </w:rPr>
        <w:t>Permanent Structured Cooperation</w:t>
      </w:r>
    </w:p>
    <w:p w14:paraId="5439C6BE" w14:textId="6C2538AD" w:rsidR="008D20F2" w:rsidRPr="008A7560" w:rsidRDefault="008A7560" w:rsidP="002E5631">
      <w:pPr>
        <w:pStyle w:val="ListParagraph"/>
        <w:ind w:left="0"/>
        <w:textAlignment w:val="baseline"/>
        <w:rPr>
          <w:lang w:val="en-AU"/>
        </w:rPr>
      </w:pPr>
      <w:r w:rsidRPr="008A7560">
        <w:rPr>
          <w:lang w:val="en-AU"/>
        </w:rPr>
        <w:t>European Defence Action Plan</w:t>
      </w:r>
    </w:p>
    <w:p w14:paraId="390E1415" w14:textId="68D28DFC" w:rsidR="008A7560" w:rsidRPr="008A7560" w:rsidRDefault="008A7560" w:rsidP="002E5631">
      <w:pPr>
        <w:pStyle w:val="ListParagraph"/>
        <w:ind w:left="0"/>
        <w:textAlignment w:val="baseline"/>
        <w:rPr>
          <w:lang w:val="en-AU"/>
        </w:rPr>
      </w:pPr>
      <w:r w:rsidRPr="008A7560">
        <w:rPr>
          <w:lang w:val="en-AU"/>
        </w:rPr>
        <w:t>European Defence Fund</w:t>
      </w:r>
    </w:p>
    <w:p w14:paraId="6AFC36E3" w14:textId="75FC3A2E" w:rsidR="008A7560" w:rsidRPr="008A7560" w:rsidRDefault="008A7560" w:rsidP="002E5631">
      <w:pPr>
        <w:pStyle w:val="ListParagraph"/>
        <w:ind w:left="0"/>
        <w:textAlignment w:val="baseline"/>
        <w:rPr>
          <w:lang w:val="en-AU"/>
        </w:rPr>
      </w:pPr>
      <w:r w:rsidRPr="008A7560">
        <w:rPr>
          <w:lang w:val="en-AU"/>
        </w:rPr>
        <w:t>European Defence Union</w:t>
      </w:r>
    </w:p>
    <w:p w14:paraId="709DEF8F" w14:textId="77777777" w:rsidR="008A7560" w:rsidRPr="006A1F39" w:rsidRDefault="008A7560" w:rsidP="002E5631">
      <w:pPr>
        <w:pStyle w:val="ListParagraph"/>
        <w:ind w:left="0"/>
        <w:textAlignment w:val="baseline"/>
        <w:rPr>
          <w:u w:val="single"/>
          <w:lang w:val="en-AU"/>
        </w:rPr>
      </w:pPr>
    </w:p>
    <w:p w14:paraId="478A48CE" w14:textId="77777777" w:rsidR="00892A3A" w:rsidRDefault="00892A3A" w:rsidP="002E5631">
      <w:pPr>
        <w:pStyle w:val="ListParagraph"/>
        <w:ind w:left="0"/>
        <w:textAlignment w:val="baseline"/>
        <w:rPr>
          <w:u w:val="single"/>
          <w:lang w:val="en-AU"/>
        </w:rPr>
      </w:pPr>
      <w:r w:rsidRPr="006A1F39">
        <w:rPr>
          <w:u w:val="single"/>
          <w:lang w:val="en-AU"/>
        </w:rPr>
        <w:t>Required</w:t>
      </w:r>
      <w:r w:rsidR="002E5631" w:rsidRPr="006A1F39">
        <w:rPr>
          <w:u w:val="single"/>
          <w:lang w:val="en-AU"/>
        </w:rPr>
        <w:t>:</w:t>
      </w:r>
    </w:p>
    <w:p w14:paraId="77CE3F9D" w14:textId="77777777" w:rsidR="00036A4B" w:rsidRPr="006A1F39" w:rsidRDefault="00036A4B" w:rsidP="002E5631">
      <w:pPr>
        <w:pStyle w:val="ListParagraph"/>
        <w:ind w:left="0"/>
        <w:textAlignment w:val="baseline"/>
        <w:rPr>
          <w:u w:val="single"/>
          <w:lang w:val="en-AU"/>
        </w:rPr>
      </w:pPr>
    </w:p>
    <w:p w14:paraId="4DD98E93" w14:textId="042C3D48" w:rsidR="00AA18D3" w:rsidRPr="00AA18D3" w:rsidRDefault="00AA18D3" w:rsidP="00AA18D3">
      <w:pPr>
        <w:pStyle w:val="ListParagraph"/>
        <w:numPr>
          <w:ilvl w:val="0"/>
          <w:numId w:val="20"/>
        </w:numPr>
        <w:shd w:val="clear" w:color="auto" w:fill="FFFFFF"/>
        <w:rPr>
          <w:lang w:val="en-AU"/>
        </w:rPr>
      </w:pPr>
      <w:r w:rsidRPr="002117DC">
        <w:rPr>
          <w:lang w:val="en-AU"/>
        </w:rPr>
        <w:t xml:space="preserve">Daniel Fiott and Marco Zeiss, </w:t>
      </w:r>
      <w:r>
        <w:rPr>
          <w:lang w:val="en-AU"/>
        </w:rPr>
        <w:t>‘Defence Cooperation’</w:t>
      </w:r>
      <w:r w:rsidRPr="007F3470">
        <w:rPr>
          <w:lang w:val="en-AU"/>
        </w:rPr>
        <w:t xml:space="preserve">, </w:t>
      </w:r>
      <w:r w:rsidRPr="007F3470">
        <w:rPr>
          <w:i/>
          <w:lang w:val="en-AU"/>
        </w:rPr>
        <w:t>Yearbook of European Security</w:t>
      </w:r>
      <w:r w:rsidRPr="007F3470">
        <w:rPr>
          <w:lang w:val="en-AU"/>
        </w:rPr>
        <w:t>, 2021, pp.</w:t>
      </w:r>
      <w:r>
        <w:rPr>
          <w:lang w:val="en-AU"/>
        </w:rPr>
        <w:t xml:space="preserve"> 161-179</w:t>
      </w:r>
      <w:r w:rsidRPr="007F3470">
        <w:rPr>
          <w:lang w:val="en-AU"/>
        </w:rPr>
        <w:t>, available at https://www.iss.europa.eu/sites/default/files/EUISSFiles</w:t>
      </w:r>
      <w:r w:rsidRPr="00290454">
        <w:rPr>
          <w:lang w:val="en-AU"/>
        </w:rPr>
        <w:t>/YES_2021.pdf</w:t>
      </w:r>
    </w:p>
    <w:p w14:paraId="107F26E1" w14:textId="4FA64865" w:rsidR="00036A4B" w:rsidRPr="00036A4B" w:rsidRDefault="00036A4B" w:rsidP="00036A4B">
      <w:pPr>
        <w:pStyle w:val="ListParagraph"/>
        <w:numPr>
          <w:ilvl w:val="0"/>
          <w:numId w:val="20"/>
        </w:numPr>
        <w:rPr>
          <w:sz w:val="20"/>
          <w:szCs w:val="20"/>
          <w:lang w:val="it-IT" w:eastAsia="it-IT"/>
        </w:rPr>
      </w:pPr>
      <w:r w:rsidRPr="00593397">
        <w:rPr>
          <w:shd w:val="clear" w:color="auto" w:fill="FFFFFF"/>
          <w:lang w:val="it-IT" w:eastAsia="it-IT"/>
        </w:rPr>
        <w:t>Calle Håkansson, ‘The European Commission’s new role in EU security and defence cooperation: the case of the European Defence Fund’, </w:t>
      </w:r>
      <w:r w:rsidRPr="00593397">
        <w:rPr>
          <w:i/>
          <w:shd w:val="clear" w:color="auto" w:fill="FFFFFF"/>
          <w:lang w:val="it-IT" w:eastAsia="it-IT"/>
        </w:rPr>
        <w:t>European Security</w:t>
      </w:r>
      <w:r w:rsidRPr="00593397">
        <w:rPr>
          <w:shd w:val="clear" w:color="auto" w:fill="FFFFFF"/>
          <w:lang w:val="it-IT" w:eastAsia="it-IT"/>
        </w:rPr>
        <w:t>, 2021, 30:4, pp. 589-608</w:t>
      </w:r>
    </w:p>
    <w:p w14:paraId="06223129" w14:textId="2BAD003F" w:rsidR="00036A4B" w:rsidRPr="00036A4B" w:rsidRDefault="00036A4B" w:rsidP="00036A4B">
      <w:pPr>
        <w:pStyle w:val="ListParagraph"/>
        <w:numPr>
          <w:ilvl w:val="0"/>
          <w:numId w:val="20"/>
        </w:numPr>
        <w:rPr>
          <w:lang w:val="en-AU"/>
        </w:rPr>
      </w:pPr>
      <w:r>
        <w:rPr>
          <w:lang w:val="en-AU"/>
        </w:rPr>
        <w:t xml:space="preserve">Katarina Engberg, ‘A European Defence Union by 2025?’, </w:t>
      </w:r>
      <w:r>
        <w:rPr>
          <w:i/>
          <w:lang w:val="en-AU"/>
        </w:rPr>
        <w:t>SIEPS</w:t>
      </w:r>
      <w:r>
        <w:rPr>
          <w:lang w:val="en-AU"/>
        </w:rPr>
        <w:t xml:space="preserve"> Policy Overview, January 2021, available at </w:t>
      </w:r>
      <w:r w:rsidRPr="00036A4B">
        <w:rPr>
          <w:lang w:val="en-AU"/>
        </w:rPr>
        <w:t>https://www.sieps.se/globalassets/publikationer/temasidor/european_defence_union_policy_overview.pdf</w:t>
      </w:r>
    </w:p>
    <w:p w14:paraId="724F7BCD" w14:textId="11300873" w:rsidR="00892A3A" w:rsidRPr="006A1F39" w:rsidRDefault="00892A3A" w:rsidP="00892A3A">
      <w:pPr>
        <w:pStyle w:val="ListParagraph"/>
        <w:numPr>
          <w:ilvl w:val="0"/>
          <w:numId w:val="20"/>
        </w:numPr>
        <w:rPr>
          <w:lang w:val="en-AU"/>
        </w:rPr>
      </w:pPr>
      <w:r w:rsidRPr="006A1F39">
        <w:rPr>
          <w:lang w:val="en-AU"/>
        </w:rPr>
        <w:t>Patrick Müller</w:t>
      </w:r>
      <w:r w:rsidRPr="006A1F39">
        <w:rPr>
          <w:rStyle w:val="hlfld-contribauthor"/>
          <w:lang w:val="en-AU"/>
        </w:rPr>
        <w:t xml:space="preserve">, </w:t>
      </w:r>
      <w:r w:rsidRPr="006A1F39">
        <w:rPr>
          <w:lang w:val="en-AU"/>
        </w:rPr>
        <w:t>EU foreign policy: no major breakthrough despite multiple crises</w:t>
      </w:r>
      <w:r w:rsidRPr="006A1F39">
        <w:rPr>
          <w:rStyle w:val="hlfld-title"/>
          <w:lang w:val="en-AU"/>
        </w:rPr>
        <w:t xml:space="preserve">, </w:t>
      </w:r>
      <w:r w:rsidRPr="006A1F39">
        <w:rPr>
          <w:i/>
          <w:lang w:val="en-AU"/>
        </w:rPr>
        <w:t>Journal of European Integration</w:t>
      </w:r>
      <w:r w:rsidRPr="006A1F39">
        <w:rPr>
          <w:lang w:val="en-AU"/>
        </w:rPr>
        <w:t>, </w:t>
      </w:r>
      <w:r w:rsidR="00452E53">
        <w:rPr>
          <w:lang w:val="en-AU"/>
        </w:rPr>
        <w:t>2016, 38, no. 3, pp. 359-374</w:t>
      </w:r>
    </w:p>
    <w:p w14:paraId="6E4D5D68" w14:textId="394D1468" w:rsidR="00892A3A" w:rsidRPr="006A1F39" w:rsidRDefault="00A5642D" w:rsidP="00892A3A">
      <w:pPr>
        <w:pStyle w:val="ListParagraph"/>
        <w:numPr>
          <w:ilvl w:val="0"/>
          <w:numId w:val="20"/>
        </w:numPr>
        <w:rPr>
          <w:rStyle w:val="Hyperlink"/>
          <w:color w:val="auto"/>
          <w:u w:val="none"/>
          <w:lang w:val="en-AU"/>
        </w:rPr>
      </w:pPr>
      <w:hyperlink r:id="rId19" w:history="1">
        <w:r w:rsidR="00892A3A" w:rsidRPr="006A1F39">
          <w:rPr>
            <w:rStyle w:val="Hyperlink"/>
            <w:color w:val="auto"/>
            <w:u w:val="none"/>
            <w:lang w:val="en-AU"/>
          </w:rPr>
          <w:t>Olivier Schmitt</w:t>
        </w:r>
      </w:hyperlink>
      <w:r w:rsidR="00892A3A" w:rsidRPr="006A1F39">
        <w:rPr>
          <w:rStyle w:val="Hyperlink"/>
          <w:color w:val="auto"/>
          <w:u w:val="none"/>
          <w:lang w:val="en-AU"/>
        </w:rPr>
        <w:t xml:space="preserve">, </w:t>
      </w:r>
      <w:r w:rsidR="00452E53">
        <w:rPr>
          <w:rStyle w:val="Hyperlink"/>
          <w:color w:val="auto"/>
          <w:u w:val="none"/>
          <w:lang w:val="en-AU"/>
        </w:rPr>
        <w:t>‘</w:t>
      </w:r>
      <w:r w:rsidR="00892A3A" w:rsidRPr="006A1F39">
        <w:rPr>
          <w:lang w:val="en-AU"/>
        </w:rPr>
        <w:t>A Tragic Lack of Ambition: Why EU Security Policy is no Strategy</w:t>
      </w:r>
      <w:r w:rsidR="00452E53">
        <w:rPr>
          <w:lang w:val="en-AU"/>
        </w:rPr>
        <w:t>’</w:t>
      </w:r>
      <w:r w:rsidR="00892A3A" w:rsidRPr="006A1F39">
        <w:rPr>
          <w:lang w:val="en-AU"/>
        </w:rPr>
        <w:t xml:space="preserve">, </w:t>
      </w:r>
      <w:r w:rsidR="00892A3A" w:rsidRPr="006A1F39">
        <w:rPr>
          <w:i/>
          <w:lang w:val="en-AU"/>
        </w:rPr>
        <w:t>Contemporary Security Policy</w:t>
      </w:r>
      <w:r w:rsidR="00892A3A" w:rsidRPr="006A1F39">
        <w:rPr>
          <w:lang w:val="en-AU"/>
        </w:rPr>
        <w:t>, 34, no.2, 2013</w:t>
      </w:r>
      <w:r w:rsidR="00452E53">
        <w:rPr>
          <w:lang w:val="en-AU"/>
        </w:rPr>
        <w:t>, pp.413-416</w:t>
      </w:r>
    </w:p>
    <w:p w14:paraId="3F2856AE" w14:textId="77777777" w:rsidR="00892A3A" w:rsidRPr="006A1F39" w:rsidRDefault="00892A3A" w:rsidP="00892A3A">
      <w:pPr>
        <w:pStyle w:val="ListParagraph"/>
        <w:ind w:left="0"/>
        <w:rPr>
          <w:shd w:val="clear" w:color="auto" w:fill="FFFFFF"/>
          <w:lang w:val="en-AU"/>
        </w:rPr>
      </w:pPr>
    </w:p>
    <w:p w14:paraId="09922CED" w14:textId="6D89A592" w:rsidR="00892A3A" w:rsidRPr="006A1F39" w:rsidRDefault="00F43F06" w:rsidP="00892A3A">
      <w:pPr>
        <w:pStyle w:val="ListParagraph"/>
        <w:ind w:left="0"/>
        <w:rPr>
          <w:lang w:val="en-AU"/>
        </w:rPr>
      </w:pPr>
      <w:r>
        <w:rPr>
          <w:shd w:val="clear" w:color="auto" w:fill="FFFFFF"/>
          <w:lang w:val="en-AU"/>
        </w:rPr>
        <w:t>Optional</w:t>
      </w:r>
      <w:r w:rsidR="00892A3A" w:rsidRPr="006A1F39">
        <w:rPr>
          <w:shd w:val="clear" w:color="auto" w:fill="FFFFFF"/>
          <w:lang w:val="en-AU"/>
        </w:rPr>
        <w:t>:</w:t>
      </w:r>
    </w:p>
    <w:p w14:paraId="47D24029" w14:textId="77777777" w:rsidR="001B2E79" w:rsidRPr="006A1F39" w:rsidRDefault="001B2E79" w:rsidP="00892A3A">
      <w:pPr>
        <w:rPr>
          <w:b/>
          <w:bCs/>
          <w:lang w:val="en-AU"/>
        </w:rPr>
      </w:pPr>
    </w:p>
    <w:p w14:paraId="67F44A58" w14:textId="789C094D" w:rsidR="001B2E79" w:rsidRPr="006A1F39" w:rsidRDefault="001B2E79" w:rsidP="006F0DFF">
      <w:pPr>
        <w:pStyle w:val="ListParagraph"/>
        <w:numPr>
          <w:ilvl w:val="0"/>
          <w:numId w:val="20"/>
        </w:numPr>
        <w:shd w:val="clear" w:color="auto" w:fill="FFFFFF"/>
        <w:rPr>
          <w:lang w:val="en-AU"/>
        </w:rPr>
      </w:pPr>
      <w:r w:rsidRPr="006A1F39">
        <w:rPr>
          <w:lang w:val="en-AU"/>
        </w:rPr>
        <w:t xml:space="preserve">Nicola Chelotti, </w:t>
      </w:r>
      <w:r w:rsidR="00786AF2">
        <w:rPr>
          <w:lang w:val="en-AU"/>
        </w:rPr>
        <w:t>‘</w:t>
      </w:r>
      <w:r w:rsidRPr="006A1F39">
        <w:rPr>
          <w:lang w:val="en-AU"/>
        </w:rPr>
        <w:t>Analysing the Links between National Capitals and Brussels in EU Foreign Policy</w:t>
      </w:r>
      <w:r w:rsidR="00786AF2">
        <w:rPr>
          <w:lang w:val="en-AU"/>
        </w:rPr>
        <w:t>’</w:t>
      </w:r>
      <w:r w:rsidRPr="006A1F39">
        <w:rPr>
          <w:rStyle w:val="hlfld-title"/>
          <w:lang w:val="en-AU"/>
        </w:rPr>
        <w:t xml:space="preserve">, </w:t>
      </w:r>
      <w:r w:rsidRPr="006A1F39">
        <w:rPr>
          <w:rStyle w:val="hlfld-title"/>
          <w:i/>
          <w:lang w:val="en-AU"/>
        </w:rPr>
        <w:t>West European Politics</w:t>
      </w:r>
      <w:r w:rsidRPr="006A1F39">
        <w:rPr>
          <w:rStyle w:val="hlfld-title"/>
          <w:lang w:val="en-AU"/>
        </w:rPr>
        <w:t xml:space="preserve">, </w:t>
      </w:r>
      <w:r w:rsidR="00786AF2">
        <w:rPr>
          <w:rStyle w:val="hlfld-title"/>
          <w:lang w:val="en-AU"/>
        </w:rPr>
        <w:t xml:space="preserve">2013, </w:t>
      </w:r>
      <w:r w:rsidRPr="00786AF2">
        <w:rPr>
          <w:lang w:val="en-AU"/>
        </w:rPr>
        <w:t>36</w:t>
      </w:r>
      <w:r w:rsidR="00786AF2" w:rsidRPr="00786AF2">
        <w:rPr>
          <w:lang w:val="en-AU"/>
        </w:rPr>
        <w:t>:</w:t>
      </w:r>
      <w:r w:rsidRPr="00786AF2">
        <w:rPr>
          <w:lang w:val="en-AU"/>
        </w:rPr>
        <w:t xml:space="preserve"> 5, </w:t>
      </w:r>
      <w:r w:rsidR="00786AF2" w:rsidRPr="00786AF2">
        <w:rPr>
          <w:lang w:val="en-AU"/>
        </w:rPr>
        <w:t>pp.</w:t>
      </w:r>
      <w:r w:rsidRPr="00786AF2">
        <w:rPr>
          <w:lang w:val="en-AU"/>
        </w:rPr>
        <w:t xml:space="preserve"> </w:t>
      </w:r>
      <w:r w:rsidR="00786AF2">
        <w:rPr>
          <w:lang w:val="en-AU"/>
        </w:rPr>
        <w:t>1052-1072</w:t>
      </w:r>
    </w:p>
    <w:p w14:paraId="21D50FED" w14:textId="53621865" w:rsidR="001B2E79" w:rsidRPr="006A1F39" w:rsidRDefault="001B2E79" w:rsidP="006F0DFF">
      <w:pPr>
        <w:pStyle w:val="ListParagraph"/>
        <w:numPr>
          <w:ilvl w:val="0"/>
          <w:numId w:val="20"/>
        </w:numPr>
        <w:shd w:val="clear" w:color="auto" w:fill="FFFFFF"/>
        <w:rPr>
          <w:lang w:val="en-AU"/>
        </w:rPr>
      </w:pPr>
      <w:r w:rsidRPr="006A1F39">
        <w:rPr>
          <w:rStyle w:val="hlfld-contribauthor"/>
          <w:lang w:val="en-AU"/>
        </w:rPr>
        <w:t>Ralph Dietl,</w:t>
      </w:r>
      <w:r w:rsidRPr="006A1F39">
        <w:rPr>
          <w:lang w:val="en-AU"/>
        </w:rPr>
        <w:t xml:space="preserve"> </w:t>
      </w:r>
      <w:r w:rsidR="001A0FAC">
        <w:rPr>
          <w:lang w:val="en-AU"/>
        </w:rPr>
        <w:t>‘</w:t>
      </w:r>
      <w:r w:rsidRPr="006A1F39">
        <w:rPr>
          <w:rStyle w:val="hlfld-title"/>
          <w:lang w:val="en-AU"/>
        </w:rPr>
        <w:t>The WEU: a Europe of the Seven, 1954–1969</w:t>
      </w:r>
      <w:r w:rsidR="001A0FAC">
        <w:rPr>
          <w:rStyle w:val="hlfld-title"/>
          <w:lang w:val="en-AU"/>
        </w:rPr>
        <w:t>’</w:t>
      </w:r>
      <w:r w:rsidRPr="006A1F39">
        <w:rPr>
          <w:rStyle w:val="hlfld-title"/>
          <w:lang w:val="en-AU"/>
        </w:rPr>
        <w:t xml:space="preserve">, </w:t>
      </w:r>
      <w:r w:rsidRPr="006A1F39">
        <w:rPr>
          <w:rStyle w:val="hlfld-title"/>
          <w:i/>
          <w:lang w:val="en-AU"/>
        </w:rPr>
        <w:t>Journal of Transatlantic Studies</w:t>
      </w:r>
      <w:r w:rsidR="00786AF2">
        <w:rPr>
          <w:lang w:val="en-AU"/>
        </w:rPr>
        <w:t xml:space="preserve">, </w:t>
      </w:r>
      <w:r w:rsidRPr="006A1F39">
        <w:rPr>
          <w:lang w:val="en-AU"/>
        </w:rPr>
        <w:t>2009</w:t>
      </w:r>
      <w:r w:rsidR="00786AF2">
        <w:rPr>
          <w:lang w:val="en-AU"/>
        </w:rPr>
        <w:t>,</w:t>
      </w:r>
      <w:r w:rsidRPr="006A1F39">
        <w:rPr>
          <w:lang w:val="en-AU"/>
        </w:rPr>
        <w:t xml:space="preserve"> </w:t>
      </w:r>
      <w:r w:rsidR="00786AF2">
        <w:rPr>
          <w:lang w:val="en-AU"/>
        </w:rPr>
        <w:t>7:4, pp. 431-452</w:t>
      </w:r>
    </w:p>
    <w:p w14:paraId="05D0B78A" w14:textId="5B2C4769" w:rsidR="00892A3A" w:rsidRPr="006A1F39" w:rsidRDefault="00892A3A" w:rsidP="00892A3A">
      <w:pPr>
        <w:pStyle w:val="ListParagraph"/>
        <w:numPr>
          <w:ilvl w:val="0"/>
          <w:numId w:val="20"/>
        </w:numPr>
        <w:rPr>
          <w:lang w:val="en-AU"/>
        </w:rPr>
      </w:pPr>
      <w:r w:rsidRPr="006A1F39">
        <w:rPr>
          <w:lang w:val="en-AU"/>
        </w:rPr>
        <w:t>Hylke Dijkstra</w:t>
      </w:r>
      <w:r w:rsidRPr="006A1F39">
        <w:rPr>
          <w:rStyle w:val="hlfld-contribauthor"/>
          <w:lang w:val="en-AU"/>
        </w:rPr>
        <w:t xml:space="preserve">, </w:t>
      </w:r>
      <w:r w:rsidR="001A0FAC">
        <w:rPr>
          <w:rStyle w:val="hlfld-contribauthor"/>
          <w:lang w:val="en-AU"/>
        </w:rPr>
        <w:t>‘</w:t>
      </w:r>
      <w:r w:rsidRPr="006A1F39">
        <w:rPr>
          <w:lang w:val="en-AU"/>
        </w:rPr>
        <w:t>The influence of EU officials in European Security and Defence</w:t>
      </w:r>
      <w:r w:rsidR="001A0FAC">
        <w:rPr>
          <w:lang w:val="en-AU"/>
        </w:rPr>
        <w:t>’</w:t>
      </w:r>
      <w:r w:rsidRPr="006A1F39">
        <w:rPr>
          <w:rStyle w:val="Hyperlink"/>
          <w:color w:val="auto"/>
          <w:u w:val="none"/>
          <w:lang w:val="en-AU"/>
        </w:rPr>
        <w:t>,</w:t>
      </w:r>
    </w:p>
    <w:p w14:paraId="331DE4B4" w14:textId="299EB43B" w:rsidR="00892A3A" w:rsidRPr="006A1F39" w:rsidRDefault="00A5642D" w:rsidP="00892A3A">
      <w:pPr>
        <w:pStyle w:val="ListParagraph"/>
        <w:shd w:val="clear" w:color="auto" w:fill="FFFFFF"/>
        <w:rPr>
          <w:lang w:val="en-AU"/>
        </w:rPr>
      </w:pPr>
      <w:hyperlink r:id="rId20" w:history="1">
        <w:r w:rsidR="00892A3A" w:rsidRPr="006A1F39">
          <w:rPr>
            <w:rStyle w:val="Hyperlink"/>
            <w:i/>
            <w:color w:val="auto"/>
            <w:u w:val="none"/>
            <w:lang w:val="en-AU"/>
          </w:rPr>
          <w:t>European Security</w:t>
        </w:r>
      </w:hyperlink>
      <w:r w:rsidR="00892A3A" w:rsidRPr="006A1F39">
        <w:rPr>
          <w:lang w:val="en-AU"/>
        </w:rPr>
        <w:t xml:space="preserve">, </w:t>
      </w:r>
      <w:r w:rsidR="00786AF2" w:rsidRPr="006A1F39">
        <w:rPr>
          <w:lang w:val="en-AU"/>
        </w:rPr>
        <w:t>2012</w:t>
      </w:r>
      <w:r w:rsidR="00786AF2">
        <w:rPr>
          <w:lang w:val="en-AU"/>
        </w:rPr>
        <w:t xml:space="preserve">, </w:t>
      </w:r>
      <w:r w:rsidR="00892A3A" w:rsidRPr="006A1F39">
        <w:rPr>
          <w:lang w:val="en-AU"/>
        </w:rPr>
        <w:t>21</w:t>
      </w:r>
      <w:r w:rsidR="00786AF2">
        <w:rPr>
          <w:lang w:val="en-AU"/>
        </w:rPr>
        <w:t xml:space="preserve">: </w:t>
      </w:r>
      <w:r w:rsidR="00892A3A" w:rsidRPr="006A1F39">
        <w:rPr>
          <w:lang w:val="en-AU"/>
        </w:rPr>
        <w:t xml:space="preserve">3, </w:t>
      </w:r>
      <w:r w:rsidR="00786AF2">
        <w:rPr>
          <w:lang w:val="en-AU"/>
        </w:rPr>
        <w:t>pp. 311-327</w:t>
      </w:r>
    </w:p>
    <w:p w14:paraId="1CDB9061" w14:textId="60C4165F" w:rsidR="001B2E79" w:rsidRPr="006A1F39" w:rsidRDefault="001B2E79" w:rsidP="001B2E79">
      <w:pPr>
        <w:pStyle w:val="ListParagraph"/>
        <w:numPr>
          <w:ilvl w:val="0"/>
          <w:numId w:val="20"/>
        </w:numPr>
        <w:shd w:val="clear" w:color="auto" w:fill="FFFFFF"/>
        <w:rPr>
          <w:lang w:val="en-AU"/>
        </w:rPr>
      </w:pPr>
      <w:r w:rsidRPr="006A1F39">
        <w:rPr>
          <w:rStyle w:val="Hyperlink"/>
          <w:color w:val="auto"/>
          <w:u w:val="none"/>
          <w:lang w:val="en-AU"/>
        </w:rPr>
        <w:t xml:space="preserve">Daniel Fiott, </w:t>
      </w:r>
      <w:r w:rsidR="00841F20">
        <w:rPr>
          <w:rStyle w:val="Hyperlink"/>
          <w:color w:val="auto"/>
          <w:u w:val="none"/>
          <w:lang w:val="en-AU"/>
        </w:rPr>
        <w:t>‘</w:t>
      </w:r>
      <w:r w:rsidRPr="006A1F39">
        <w:rPr>
          <w:lang w:val="en-AU" w:eastAsia="it-IT"/>
        </w:rPr>
        <w:t>Strategic autonomy: towards ‘European sovereignty’ in defence?</w:t>
      </w:r>
      <w:r w:rsidR="00841F20">
        <w:rPr>
          <w:lang w:val="en-AU" w:eastAsia="it-IT"/>
        </w:rPr>
        <w:t>’</w:t>
      </w:r>
      <w:r w:rsidRPr="006A1F39">
        <w:rPr>
          <w:lang w:val="en-AU" w:eastAsia="it-IT"/>
        </w:rPr>
        <w:t xml:space="preserve">, </w:t>
      </w:r>
      <w:r w:rsidRPr="006A1F39">
        <w:rPr>
          <w:i/>
          <w:lang w:val="en-AU" w:eastAsia="it-IT"/>
        </w:rPr>
        <w:t>European Union Institute for Security Studies Brief</w:t>
      </w:r>
      <w:r w:rsidRPr="006A1F39">
        <w:rPr>
          <w:lang w:val="en-AU" w:eastAsia="it-IT"/>
        </w:rPr>
        <w:t xml:space="preserve">, December 2018, </w:t>
      </w:r>
      <w:r w:rsidRPr="006A1F39">
        <w:rPr>
          <w:rStyle w:val="Hyperlink"/>
          <w:color w:val="auto"/>
          <w:u w:val="none"/>
          <w:lang w:val="en-AU"/>
        </w:rPr>
        <w:t>https://www.iss.europa.eu/sites/default/files/EUISSFiles/Brief%2012__Strategic%20Autonomy.pdf</w:t>
      </w:r>
    </w:p>
    <w:p w14:paraId="32E2408C" w14:textId="2A3D4BB2" w:rsidR="00892A3A" w:rsidRPr="006A1F39" w:rsidRDefault="00892A3A" w:rsidP="00892A3A">
      <w:pPr>
        <w:pStyle w:val="ListParagraph"/>
        <w:numPr>
          <w:ilvl w:val="0"/>
          <w:numId w:val="20"/>
        </w:numPr>
        <w:shd w:val="clear" w:color="auto" w:fill="FFFFFF"/>
        <w:rPr>
          <w:lang w:val="en-AU"/>
        </w:rPr>
      </w:pPr>
      <w:r w:rsidRPr="006A1F39">
        <w:rPr>
          <w:rStyle w:val="hlfld-contribauthor"/>
          <w:lang w:val="en-AU"/>
        </w:rPr>
        <w:t>Berthold Rittberger</w:t>
      </w:r>
      <w:r w:rsidRPr="006A1F39">
        <w:rPr>
          <w:lang w:val="en-AU"/>
        </w:rPr>
        <w:t xml:space="preserve">, </w:t>
      </w:r>
      <w:r w:rsidRPr="006A1F39">
        <w:rPr>
          <w:rStyle w:val="hlfld-title"/>
          <w:lang w:val="en-AU"/>
        </w:rPr>
        <w:t>‘No integration without representation!’ European integration, parliamentary democracy, and two forgotten Communities</w:t>
      </w:r>
      <w:r w:rsidR="00786AF2">
        <w:rPr>
          <w:rStyle w:val="hlfld-title"/>
          <w:lang w:val="en-AU"/>
        </w:rPr>
        <w:t>’</w:t>
      </w:r>
      <w:r w:rsidRPr="006A1F39">
        <w:rPr>
          <w:rStyle w:val="hlfld-title"/>
          <w:lang w:val="en-AU"/>
        </w:rPr>
        <w:t>,</w:t>
      </w:r>
      <w:r w:rsidRPr="006A1F39">
        <w:rPr>
          <w:lang w:val="en-AU"/>
        </w:rPr>
        <w:t xml:space="preserve"> </w:t>
      </w:r>
      <w:r w:rsidRPr="006A1F39">
        <w:rPr>
          <w:rStyle w:val="hlfld-title"/>
          <w:i/>
          <w:lang w:val="en-AU"/>
        </w:rPr>
        <w:t>Journal of European Public Policy</w:t>
      </w:r>
      <w:r w:rsidRPr="006A1F39">
        <w:rPr>
          <w:lang w:val="en-AU"/>
        </w:rPr>
        <w:t xml:space="preserve">, </w:t>
      </w:r>
      <w:r w:rsidR="00786AF2">
        <w:rPr>
          <w:lang w:val="en-AU"/>
        </w:rPr>
        <w:t xml:space="preserve">2006, </w:t>
      </w:r>
      <w:r w:rsidRPr="006A1F39">
        <w:rPr>
          <w:lang w:val="en-AU"/>
        </w:rPr>
        <w:t>13</w:t>
      </w:r>
      <w:r w:rsidR="00786AF2">
        <w:rPr>
          <w:lang w:val="en-AU"/>
        </w:rPr>
        <w:t xml:space="preserve">: </w:t>
      </w:r>
      <w:r w:rsidRPr="006A1F39">
        <w:rPr>
          <w:lang w:val="en-AU"/>
        </w:rPr>
        <w:t xml:space="preserve">8, </w:t>
      </w:r>
      <w:r w:rsidR="00841F20">
        <w:rPr>
          <w:lang w:val="en-AU"/>
        </w:rPr>
        <w:t>pp. 1211-1229</w:t>
      </w:r>
      <w:r w:rsidRPr="006A1F39">
        <w:rPr>
          <w:lang w:val="en-AU"/>
        </w:rPr>
        <w:t xml:space="preserve"> </w:t>
      </w:r>
    </w:p>
    <w:p w14:paraId="2CD309E9" w14:textId="1424DB66" w:rsidR="00892A3A" w:rsidRPr="006A1F39" w:rsidRDefault="00892A3A" w:rsidP="00892A3A">
      <w:pPr>
        <w:pStyle w:val="ListParagraph"/>
        <w:numPr>
          <w:ilvl w:val="0"/>
          <w:numId w:val="20"/>
        </w:numPr>
        <w:shd w:val="clear" w:color="auto" w:fill="FFFFFF"/>
        <w:rPr>
          <w:lang w:val="en-AU"/>
        </w:rPr>
      </w:pPr>
      <w:r w:rsidRPr="006A1F39">
        <w:rPr>
          <w:rStyle w:val="contribdegrees"/>
          <w:lang w:val="en-AU"/>
        </w:rPr>
        <w:t>Mette Eilstrup Sangiovanni</w:t>
      </w:r>
      <w:r w:rsidRPr="006A1F39">
        <w:rPr>
          <w:rStyle w:val="nlmarticle-title"/>
          <w:lang w:val="en-AU"/>
        </w:rPr>
        <w:t xml:space="preserve">, </w:t>
      </w:r>
      <w:r w:rsidR="00841F20">
        <w:rPr>
          <w:rStyle w:val="nlmarticle-title"/>
          <w:lang w:val="en-AU"/>
        </w:rPr>
        <w:t>‘</w:t>
      </w:r>
      <w:r w:rsidRPr="006A1F39">
        <w:rPr>
          <w:rStyle w:val="nlmarticle-title"/>
          <w:lang w:val="en-AU"/>
        </w:rPr>
        <w:t>Why a Common Security and Defence Policy is Bad for Europe</w:t>
      </w:r>
      <w:r w:rsidR="00841F20">
        <w:rPr>
          <w:rStyle w:val="nlmarticle-title"/>
          <w:lang w:val="en-AU"/>
        </w:rPr>
        <w:t>’</w:t>
      </w:r>
      <w:r w:rsidRPr="006A1F39">
        <w:rPr>
          <w:rStyle w:val="nlmarticle-title"/>
          <w:lang w:val="en-AU"/>
        </w:rPr>
        <w:t>,</w:t>
      </w:r>
      <w:r w:rsidRPr="006A1F39">
        <w:rPr>
          <w:lang w:val="en-AU"/>
        </w:rPr>
        <w:t xml:space="preserve"> </w:t>
      </w:r>
      <w:r w:rsidRPr="006A1F39">
        <w:rPr>
          <w:i/>
          <w:lang w:val="en-AU"/>
        </w:rPr>
        <w:t>Survival</w:t>
      </w:r>
      <w:r w:rsidRPr="006A1F39">
        <w:rPr>
          <w:lang w:val="en-AU"/>
        </w:rPr>
        <w:t xml:space="preserve">, </w:t>
      </w:r>
      <w:r w:rsidR="00841F20">
        <w:rPr>
          <w:lang w:val="en-AU"/>
        </w:rPr>
        <w:t>2003, 45</w:t>
      </w:r>
      <w:r w:rsidR="00786AF2">
        <w:rPr>
          <w:lang w:val="en-AU"/>
        </w:rPr>
        <w:t>:</w:t>
      </w:r>
      <w:r w:rsidR="00841F20">
        <w:rPr>
          <w:lang w:val="en-AU"/>
        </w:rPr>
        <w:t xml:space="preserve"> 4, pp. 193-206</w:t>
      </w:r>
    </w:p>
    <w:p w14:paraId="46C96429" w14:textId="069ABA5C" w:rsidR="00892A3A" w:rsidRDefault="00A5642D" w:rsidP="00841F20">
      <w:pPr>
        <w:pStyle w:val="ListParagraph"/>
        <w:numPr>
          <w:ilvl w:val="0"/>
          <w:numId w:val="20"/>
        </w:numPr>
        <w:shd w:val="clear" w:color="auto" w:fill="FFFFFF"/>
        <w:rPr>
          <w:rStyle w:val="Hyperlink"/>
          <w:color w:val="auto"/>
          <w:u w:val="none"/>
          <w:lang w:val="en-AU"/>
        </w:rPr>
      </w:pPr>
      <w:hyperlink r:id="rId21" w:history="1">
        <w:r w:rsidR="00892A3A" w:rsidRPr="006A1F39">
          <w:rPr>
            <w:rStyle w:val="Hyperlink"/>
            <w:color w:val="auto"/>
            <w:u w:val="none"/>
            <w:lang w:val="en-AU"/>
          </w:rPr>
          <w:t>Chiara Steindler</w:t>
        </w:r>
      </w:hyperlink>
      <w:r w:rsidR="00892A3A" w:rsidRPr="006A1F39">
        <w:rPr>
          <w:rStyle w:val="hlfld-contribauthor"/>
          <w:lang w:val="en-AU"/>
        </w:rPr>
        <w:t xml:space="preserve">, </w:t>
      </w:r>
      <w:r w:rsidR="00841F20">
        <w:rPr>
          <w:rStyle w:val="hlfld-contribauthor"/>
          <w:lang w:val="en-AU"/>
        </w:rPr>
        <w:t>‘</w:t>
      </w:r>
      <w:r w:rsidR="00892A3A" w:rsidRPr="006A1F39">
        <w:rPr>
          <w:lang w:val="en-AU"/>
        </w:rPr>
        <w:t>Mapping out the institutional geography of external security in the EU</w:t>
      </w:r>
      <w:r w:rsidR="00841F20">
        <w:rPr>
          <w:lang w:val="en-AU"/>
        </w:rPr>
        <w:t>’</w:t>
      </w:r>
      <w:r w:rsidR="00892A3A" w:rsidRPr="006A1F39">
        <w:rPr>
          <w:rStyle w:val="Hyperlink"/>
          <w:color w:val="auto"/>
          <w:u w:val="none"/>
          <w:lang w:val="en-AU"/>
        </w:rPr>
        <w:t>,</w:t>
      </w:r>
      <w:r w:rsidR="00841F20">
        <w:rPr>
          <w:rStyle w:val="Hyperlink"/>
          <w:color w:val="auto"/>
          <w:u w:val="none"/>
          <w:lang w:val="en-AU"/>
        </w:rPr>
        <w:t xml:space="preserve"> </w:t>
      </w:r>
      <w:r w:rsidR="00892A3A" w:rsidRPr="00841F20">
        <w:rPr>
          <w:i/>
          <w:lang w:val="en-AU"/>
        </w:rPr>
        <w:t>European Security</w:t>
      </w:r>
      <w:r w:rsidR="00892A3A" w:rsidRPr="00841F20">
        <w:rPr>
          <w:lang w:val="en-AU"/>
        </w:rPr>
        <w:t>,</w:t>
      </w:r>
      <w:r w:rsidR="00841F20" w:rsidRPr="00841F20">
        <w:rPr>
          <w:lang w:val="en-AU"/>
        </w:rPr>
        <w:t xml:space="preserve"> 2015,</w:t>
      </w:r>
      <w:r w:rsidR="00892A3A" w:rsidRPr="00841F20">
        <w:rPr>
          <w:lang w:val="en-AU"/>
        </w:rPr>
        <w:t> </w:t>
      </w:r>
      <w:hyperlink r:id="rId22" w:history="1">
        <w:r w:rsidR="00841F20">
          <w:rPr>
            <w:rStyle w:val="Hyperlink"/>
            <w:color w:val="auto"/>
            <w:u w:val="none"/>
            <w:lang w:val="en-AU"/>
          </w:rPr>
          <w:t>24</w:t>
        </w:r>
        <w:r w:rsidR="00786AF2">
          <w:rPr>
            <w:rStyle w:val="Hyperlink"/>
            <w:color w:val="auto"/>
            <w:u w:val="none"/>
            <w:lang w:val="en-AU"/>
          </w:rPr>
          <w:t>:</w:t>
        </w:r>
        <w:r w:rsidR="00841F20">
          <w:rPr>
            <w:rStyle w:val="Hyperlink"/>
            <w:color w:val="auto"/>
            <w:u w:val="none"/>
            <w:lang w:val="en-AU"/>
          </w:rPr>
          <w:t xml:space="preserve"> 3, </w:t>
        </w:r>
      </w:hyperlink>
      <w:r w:rsidR="00841F20">
        <w:rPr>
          <w:rStyle w:val="Hyperlink"/>
          <w:color w:val="auto"/>
          <w:u w:val="none"/>
          <w:lang w:val="en-AU"/>
        </w:rPr>
        <w:t>pp. 402-419</w:t>
      </w:r>
    </w:p>
    <w:p w14:paraId="7A94A6B0" w14:textId="77777777" w:rsidR="005841A5" w:rsidRPr="006A1F39" w:rsidRDefault="005841A5" w:rsidP="005841A5">
      <w:pPr>
        <w:pStyle w:val="ListParagraph"/>
        <w:numPr>
          <w:ilvl w:val="0"/>
          <w:numId w:val="20"/>
        </w:numPr>
        <w:rPr>
          <w:rStyle w:val="pagerange"/>
          <w:lang w:val="en-AU"/>
        </w:rPr>
      </w:pPr>
      <w:r w:rsidRPr="006A1F39">
        <w:rPr>
          <w:rStyle w:val="pagerange"/>
          <w:lang w:val="en-AU"/>
        </w:rPr>
        <w:t xml:space="preserve">Jochen Rehrl (ed.), </w:t>
      </w:r>
      <w:r w:rsidRPr="006A1F39">
        <w:rPr>
          <w:rStyle w:val="pagerange"/>
          <w:i/>
          <w:lang w:val="en-AU"/>
        </w:rPr>
        <w:t>Handbook on CSDP</w:t>
      </w:r>
      <w:r w:rsidRPr="006A1F39">
        <w:rPr>
          <w:rStyle w:val="pagerange"/>
          <w:lang w:val="en-AU"/>
        </w:rPr>
        <w:t xml:space="preserve"> (Vienna, 2017. Third Edition), pp. 42-73</w:t>
      </w:r>
    </w:p>
    <w:p w14:paraId="33CB96FD" w14:textId="77777777" w:rsidR="005841A5" w:rsidRDefault="005841A5" w:rsidP="005841A5">
      <w:pPr>
        <w:pStyle w:val="ListParagraph"/>
        <w:numPr>
          <w:ilvl w:val="0"/>
          <w:numId w:val="20"/>
        </w:numPr>
        <w:rPr>
          <w:rStyle w:val="contribdegrees"/>
          <w:lang w:val="en-AU"/>
        </w:rPr>
      </w:pPr>
      <w:r w:rsidRPr="006A1F39">
        <w:rPr>
          <w:rStyle w:val="contribdegrees"/>
          <w:lang w:val="en-AU"/>
        </w:rPr>
        <w:t>Alistair Shepherd,</w:t>
      </w:r>
      <w:r w:rsidRPr="006A1F39">
        <w:rPr>
          <w:rStyle w:val="nlmarticle-title"/>
          <w:lang w:val="en-AU"/>
        </w:rPr>
        <w:t xml:space="preserve"> </w:t>
      </w:r>
      <w:r>
        <w:rPr>
          <w:rStyle w:val="nlmarticle-title"/>
          <w:lang w:val="en-AU"/>
        </w:rPr>
        <w:t>‘</w:t>
      </w:r>
      <w:r w:rsidRPr="006A1F39">
        <w:rPr>
          <w:rStyle w:val="nlmarticle-title"/>
          <w:lang w:val="en-AU"/>
        </w:rPr>
        <w:t>The European Union’s Security and Defence Policy: a policy without substance?</w:t>
      </w:r>
      <w:r>
        <w:rPr>
          <w:rStyle w:val="nlmarticle-title"/>
          <w:lang w:val="en-AU"/>
        </w:rPr>
        <w:t>’</w:t>
      </w:r>
      <w:r w:rsidRPr="006A1F39">
        <w:rPr>
          <w:rStyle w:val="nlmarticle-title"/>
          <w:lang w:val="en-AU"/>
        </w:rPr>
        <w:t xml:space="preserve">, </w:t>
      </w:r>
      <w:r w:rsidRPr="006A1F39">
        <w:rPr>
          <w:rStyle w:val="contribdegrees"/>
          <w:i/>
          <w:lang w:val="en-AU"/>
        </w:rPr>
        <w:t>European Security</w:t>
      </w:r>
      <w:r w:rsidRPr="006A1F39">
        <w:rPr>
          <w:rStyle w:val="contribdegrees"/>
          <w:lang w:val="en-AU"/>
        </w:rPr>
        <w:t>, 12, no.1, 2003</w:t>
      </w:r>
      <w:r>
        <w:rPr>
          <w:rStyle w:val="contribdegrees"/>
          <w:lang w:val="en-AU"/>
        </w:rPr>
        <w:t>, pp. 39-63</w:t>
      </w:r>
    </w:p>
    <w:p w14:paraId="246C34DD" w14:textId="77777777" w:rsidR="005841A5" w:rsidRPr="00786AF2" w:rsidRDefault="00A5642D" w:rsidP="005841A5">
      <w:pPr>
        <w:pStyle w:val="ListParagraph"/>
        <w:numPr>
          <w:ilvl w:val="0"/>
          <w:numId w:val="20"/>
        </w:numPr>
        <w:shd w:val="clear" w:color="auto" w:fill="FFFFFF"/>
        <w:rPr>
          <w:rStyle w:val="contribdegrees"/>
          <w:lang w:val="en-AU"/>
        </w:rPr>
      </w:pPr>
      <w:hyperlink r:id="rId23" w:history="1">
        <w:r w:rsidR="005841A5" w:rsidRPr="006A1F39">
          <w:rPr>
            <w:rStyle w:val="Hyperlink"/>
            <w:color w:val="auto"/>
            <w:u w:val="none"/>
            <w:lang w:val="en-AU"/>
          </w:rPr>
          <w:t>Ariella Huff</w:t>
        </w:r>
      </w:hyperlink>
      <w:r w:rsidR="005841A5" w:rsidRPr="006A1F39">
        <w:rPr>
          <w:rStyle w:val="hlfld-contribauthor"/>
          <w:lang w:val="en-AU"/>
        </w:rPr>
        <w:t xml:space="preserve">, </w:t>
      </w:r>
      <w:r w:rsidR="005841A5">
        <w:rPr>
          <w:rStyle w:val="hlfld-contribauthor"/>
          <w:lang w:val="en-AU"/>
        </w:rPr>
        <w:t>‘</w:t>
      </w:r>
      <w:r w:rsidR="005841A5" w:rsidRPr="006A1F39">
        <w:rPr>
          <w:lang w:val="en-AU"/>
        </w:rPr>
        <w:t>Executive Privilege Reaffirmed? Parliamentary Scrutiny of the CFSP and CSDP</w:t>
      </w:r>
      <w:r w:rsidR="005841A5">
        <w:rPr>
          <w:lang w:val="en-AU"/>
        </w:rPr>
        <w:t>’</w:t>
      </w:r>
      <w:r w:rsidR="005841A5" w:rsidRPr="006A1F39">
        <w:rPr>
          <w:lang w:val="en-AU"/>
        </w:rPr>
        <w:t>,</w:t>
      </w:r>
      <w:r w:rsidR="005841A5" w:rsidRPr="006A1F39">
        <w:rPr>
          <w:rStyle w:val="hlfld-title"/>
          <w:lang w:val="en-AU"/>
        </w:rPr>
        <w:t xml:space="preserve"> </w:t>
      </w:r>
      <w:r w:rsidR="005841A5" w:rsidRPr="006A1F39">
        <w:rPr>
          <w:i/>
          <w:lang w:val="en-AU"/>
        </w:rPr>
        <w:t>West European Politics</w:t>
      </w:r>
      <w:r w:rsidR="005841A5" w:rsidRPr="006A1F39">
        <w:rPr>
          <w:lang w:val="en-AU"/>
        </w:rPr>
        <w:t>, </w:t>
      </w:r>
      <w:r w:rsidR="005841A5">
        <w:rPr>
          <w:lang w:val="en-AU"/>
        </w:rPr>
        <w:t xml:space="preserve">2015, </w:t>
      </w:r>
      <w:r w:rsidR="005841A5" w:rsidRPr="006A1F39">
        <w:rPr>
          <w:lang w:val="en-AU"/>
        </w:rPr>
        <w:t>38</w:t>
      </w:r>
      <w:r w:rsidR="005841A5">
        <w:rPr>
          <w:lang w:val="en-AU"/>
        </w:rPr>
        <w:t xml:space="preserve">: </w:t>
      </w:r>
      <w:r w:rsidR="005841A5" w:rsidRPr="006A1F39">
        <w:rPr>
          <w:lang w:val="en-AU"/>
        </w:rPr>
        <w:t xml:space="preserve">2, </w:t>
      </w:r>
      <w:r w:rsidR="005841A5">
        <w:rPr>
          <w:lang w:val="en-AU"/>
        </w:rPr>
        <w:t>pp. 396-415</w:t>
      </w:r>
    </w:p>
    <w:p w14:paraId="69A503EE" w14:textId="77777777" w:rsidR="005841A5" w:rsidRPr="00841F20" w:rsidRDefault="005841A5" w:rsidP="005841A5">
      <w:pPr>
        <w:pStyle w:val="ListParagraph"/>
        <w:shd w:val="clear" w:color="auto" w:fill="FFFFFF"/>
        <w:rPr>
          <w:rStyle w:val="Hyperlink"/>
          <w:color w:val="auto"/>
          <w:u w:val="none"/>
          <w:lang w:val="en-AU"/>
        </w:rPr>
      </w:pPr>
    </w:p>
    <w:p w14:paraId="37145DE6" w14:textId="77777777" w:rsidR="00892A3A" w:rsidRPr="006A1F39" w:rsidRDefault="00892A3A" w:rsidP="00892A3A">
      <w:pPr>
        <w:rPr>
          <w:b/>
          <w:bCs/>
          <w:lang w:val="en-AU"/>
        </w:rPr>
      </w:pPr>
    </w:p>
    <w:p w14:paraId="236314B4" w14:textId="69A38B80" w:rsidR="00892A3A" w:rsidRPr="00593397" w:rsidRDefault="00892A3A" w:rsidP="00892A3A">
      <w:pPr>
        <w:rPr>
          <w:b/>
          <w:bCs/>
          <w:lang w:val="en-AU"/>
        </w:rPr>
      </w:pPr>
      <w:r w:rsidRPr="006A1F39">
        <w:rPr>
          <w:b/>
          <w:bCs/>
          <w:lang w:val="en-AU"/>
        </w:rPr>
        <w:t xml:space="preserve">Session </w:t>
      </w:r>
      <w:r w:rsidR="00EE4DCA">
        <w:rPr>
          <w:b/>
          <w:bCs/>
          <w:lang w:val="en-AU"/>
        </w:rPr>
        <w:t>6</w:t>
      </w:r>
      <w:r w:rsidRPr="006A1F39">
        <w:rPr>
          <w:b/>
          <w:bCs/>
          <w:lang w:val="en-AU"/>
        </w:rPr>
        <w:t xml:space="preserve">: </w:t>
      </w:r>
      <w:r w:rsidR="00D7385F" w:rsidRPr="00593397">
        <w:rPr>
          <w:b/>
          <w:bCs/>
          <w:lang w:val="en-AU"/>
        </w:rPr>
        <w:t>Tuesday</w:t>
      </w:r>
      <w:r w:rsidRPr="00593397">
        <w:rPr>
          <w:b/>
          <w:bCs/>
          <w:lang w:val="en-AU"/>
        </w:rPr>
        <w:t xml:space="preserve">, </w:t>
      </w:r>
      <w:r w:rsidR="00D7385F" w:rsidRPr="00593397">
        <w:rPr>
          <w:b/>
          <w:bCs/>
          <w:lang w:val="en-AU"/>
        </w:rPr>
        <w:t>16 February</w:t>
      </w:r>
      <w:r w:rsidRPr="00593397">
        <w:rPr>
          <w:b/>
          <w:bCs/>
          <w:lang w:val="en-AU"/>
        </w:rPr>
        <w:t xml:space="preserve"> </w:t>
      </w:r>
    </w:p>
    <w:p w14:paraId="2B1DF032" w14:textId="019903C9" w:rsidR="00892A3A" w:rsidRPr="00593397" w:rsidRDefault="006E3F4E" w:rsidP="00892A3A">
      <w:pPr>
        <w:rPr>
          <w:b/>
          <w:bCs/>
          <w:lang w:val="en-AU"/>
        </w:rPr>
      </w:pPr>
      <w:r w:rsidRPr="00593397">
        <w:rPr>
          <w:b/>
          <w:bCs/>
          <w:lang w:val="en-AU"/>
        </w:rPr>
        <w:t>THEORETICAL APPROACHES TO</w:t>
      </w:r>
      <w:r w:rsidR="007453A3" w:rsidRPr="00593397">
        <w:rPr>
          <w:b/>
          <w:bCs/>
          <w:lang w:val="en-AU"/>
        </w:rPr>
        <w:t xml:space="preserve"> </w:t>
      </w:r>
      <w:r w:rsidRPr="00593397">
        <w:rPr>
          <w:b/>
          <w:bCs/>
          <w:lang w:val="en-AU"/>
        </w:rPr>
        <w:t>EUROPEAN SECURITY</w:t>
      </w:r>
    </w:p>
    <w:p w14:paraId="3694677C" w14:textId="77777777" w:rsidR="00144433" w:rsidRPr="006A1F39" w:rsidRDefault="00144433" w:rsidP="00892A3A">
      <w:pPr>
        <w:rPr>
          <w:b/>
          <w:bCs/>
          <w:lang w:val="en-AU"/>
        </w:rPr>
      </w:pPr>
    </w:p>
    <w:p w14:paraId="78EC09A6" w14:textId="5BCF8B84" w:rsidR="00786AF2" w:rsidRDefault="00F43F06" w:rsidP="00F8769C">
      <w:pPr>
        <w:rPr>
          <w:bCs/>
          <w:lang w:val="en-AU"/>
        </w:rPr>
      </w:pPr>
      <w:r>
        <w:rPr>
          <w:bCs/>
          <w:lang w:val="en-AU"/>
        </w:rPr>
        <w:t>Realism</w:t>
      </w:r>
    </w:p>
    <w:p w14:paraId="62D01EA4" w14:textId="77777777" w:rsidR="00786AF2" w:rsidRDefault="0063208F" w:rsidP="00F8769C">
      <w:pPr>
        <w:rPr>
          <w:bCs/>
          <w:lang w:val="en-AU"/>
        </w:rPr>
      </w:pPr>
      <w:r w:rsidRPr="006A1F39">
        <w:rPr>
          <w:bCs/>
          <w:lang w:val="en-AU"/>
        </w:rPr>
        <w:t>Institutionali</w:t>
      </w:r>
      <w:r w:rsidR="00786AF2">
        <w:rPr>
          <w:bCs/>
          <w:lang w:val="en-AU"/>
        </w:rPr>
        <w:t>sm</w:t>
      </w:r>
    </w:p>
    <w:p w14:paraId="73013FAC" w14:textId="77777777" w:rsidR="00786AF2" w:rsidRDefault="00786AF2" w:rsidP="00F8769C">
      <w:pPr>
        <w:rPr>
          <w:bCs/>
          <w:lang w:val="en-AU"/>
        </w:rPr>
      </w:pPr>
      <w:r>
        <w:rPr>
          <w:bCs/>
          <w:lang w:val="en-AU"/>
        </w:rPr>
        <w:t>Functionalism</w:t>
      </w:r>
    </w:p>
    <w:p w14:paraId="1D292AA4" w14:textId="77777777" w:rsidR="00786AF2" w:rsidRDefault="00786AF2" w:rsidP="00F8769C">
      <w:pPr>
        <w:rPr>
          <w:bCs/>
          <w:lang w:val="en-AU"/>
        </w:rPr>
      </w:pPr>
      <w:r>
        <w:rPr>
          <w:bCs/>
          <w:lang w:val="en-AU"/>
        </w:rPr>
        <w:t>Normative Power</w:t>
      </w:r>
    </w:p>
    <w:p w14:paraId="34BB26AA" w14:textId="77777777" w:rsidR="00786AF2" w:rsidRDefault="00786AF2" w:rsidP="00F8769C">
      <w:pPr>
        <w:rPr>
          <w:bCs/>
          <w:lang w:val="en-AU"/>
        </w:rPr>
      </w:pPr>
      <w:r>
        <w:rPr>
          <w:bCs/>
          <w:lang w:val="en-AU"/>
        </w:rPr>
        <w:t>Civilian Power</w:t>
      </w:r>
    </w:p>
    <w:p w14:paraId="7669AC53" w14:textId="77777777" w:rsidR="00786AF2" w:rsidRDefault="00786AF2" w:rsidP="00F8769C">
      <w:pPr>
        <w:rPr>
          <w:bCs/>
          <w:lang w:val="en-AU"/>
        </w:rPr>
      </w:pPr>
      <w:r>
        <w:rPr>
          <w:bCs/>
          <w:lang w:val="en-AU"/>
        </w:rPr>
        <w:t>Hegemony</w:t>
      </w:r>
    </w:p>
    <w:p w14:paraId="40E53CED" w14:textId="77777777" w:rsidR="00786AF2" w:rsidRDefault="00F8769C" w:rsidP="00F8769C">
      <w:pPr>
        <w:rPr>
          <w:bCs/>
          <w:lang w:val="en-AU"/>
        </w:rPr>
      </w:pPr>
      <w:r w:rsidRPr="006A1F39">
        <w:rPr>
          <w:bCs/>
          <w:lang w:val="en-AU"/>
        </w:rPr>
        <w:t xml:space="preserve">Balance </w:t>
      </w:r>
      <w:r w:rsidR="00786AF2">
        <w:rPr>
          <w:bCs/>
          <w:lang w:val="en-AU"/>
        </w:rPr>
        <w:t>of Power</w:t>
      </w:r>
      <w:r w:rsidRPr="00593397">
        <w:rPr>
          <w:bCs/>
          <w:lang w:val="en-AU"/>
        </w:rPr>
        <w:t xml:space="preserve"> </w:t>
      </w:r>
    </w:p>
    <w:p w14:paraId="5BFC8A0E" w14:textId="77777777" w:rsidR="00786AF2" w:rsidRDefault="00786AF2" w:rsidP="00F8769C">
      <w:pPr>
        <w:rPr>
          <w:bCs/>
          <w:lang w:val="en-AU"/>
        </w:rPr>
      </w:pPr>
      <w:r>
        <w:rPr>
          <w:bCs/>
          <w:lang w:val="en-AU"/>
        </w:rPr>
        <w:t>Bandwagoning</w:t>
      </w:r>
      <w:r w:rsidR="00F8769C" w:rsidRPr="00593397">
        <w:rPr>
          <w:bCs/>
          <w:lang w:val="en-AU"/>
        </w:rPr>
        <w:t xml:space="preserve"> </w:t>
      </w:r>
    </w:p>
    <w:p w14:paraId="4BEAB4C8" w14:textId="77777777" w:rsidR="00786AF2" w:rsidRDefault="00DE3918" w:rsidP="00F8769C">
      <w:pPr>
        <w:rPr>
          <w:bCs/>
          <w:lang w:val="en-AU"/>
        </w:rPr>
      </w:pPr>
      <w:r w:rsidRPr="00593397">
        <w:rPr>
          <w:bCs/>
          <w:lang w:val="en-AU"/>
        </w:rPr>
        <w:t>Eclecticism</w:t>
      </w:r>
      <w:r w:rsidR="00D76CBC" w:rsidRPr="00593397">
        <w:rPr>
          <w:bCs/>
          <w:lang w:val="en-AU"/>
        </w:rPr>
        <w:t xml:space="preserve"> </w:t>
      </w:r>
    </w:p>
    <w:p w14:paraId="1CACD305" w14:textId="77777777" w:rsidR="00786AF2" w:rsidRDefault="00D76CBC" w:rsidP="00F8769C">
      <w:pPr>
        <w:rPr>
          <w:bCs/>
          <w:lang w:val="en-AU"/>
        </w:rPr>
      </w:pPr>
      <w:r w:rsidRPr="00593397">
        <w:rPr>
          <w:bCs/>
          <w:lang w:val="en-AU"/>
        </w:rPr>
        <w:t>Security Consumer &amp; Producer</w:t>
      </w:r>
      <w:r w:rsidR="0063208F" w:rsidRPr="00593397">
        <w:rPr>
          <w:bCs/>
          <w:lang w:val="en-AU"/>
        </w:rPr>
        <w:t xml:space="preserve"> </w:t>
      </w:r>
    </w:p>
    <w:p w14:paraId="51497E23" w14:textId="77777777" w:rsidR="00786AF2" w:rsidRDefault="0063208F" w:rsidP="00F8769C">
      <w:pPr>
        <w:rPr>
          <w:bCs/>
          <w:lang w:val="en-AU"/>
        </w:rPr>
      </w:pPr>
      <w:r w:rsidRPr="00593397">
        <w:rPr>
          <w:bCs/>
          <w:lang w:val="en-AU"/>
        </w:rPr>
        <w:t>Governmentality</w:t>
      </w:r>
      <w:r w:rsidR="00B0646B" w:rsidRPr="00593397">
        <w:rPr>
          <w:bCs/>
          <w:lang w:val="en-AU"/>
        </w:rPr>
        <w:t xml:space="preserve"> </w:t>
      </w:r>
    </w:p>
    <w:p w14:paraId="244FDD7B" w14:textId="77777777" w:rsidR="00786AF2" w:rsidRDefault="00786AF2" w:rsidP="00F8769C">
      <w:pPr>
        <w:rPr>
          <w:bCs/>
          <w:lang w:val="en-AU"/>
        </w:rPr>
      </w:pPr>
      <w:r>
        <w:rPr>
          <w:bCs/>
          <w:lang w:val="en-AU"/>
        </w:rPr>
        <w:t>Logrolling</w:t>
      </w:r>
      <w:r w:rsidR="00533F5A" w:rsidRPr="00593397">
        <w:rPr>
          <w:bCs/>
          <w:lang w:val="en-AU"/>
        </w:rPr>
        <w:t xml:space="preserve"> </w:t>
      </w:r>
    </w:p>
    <w:p w14:paraId="7652D829" w14:textId="26F08815" w:rsidR="00F8769C" w:rsidRPr="00786AF2" w:rsidRDefault="00533F5A" w:rsidP="00F8769C">
      <w:pPr>
        <w:rPr>
          <w:bCs/>
          <w:lang w:val="en-AU"/>
        </w:rPr>
      </w:pPr>
      <w:r w:rsidRPr="00593397">
        <w:rPr>
          <w:bCs/>
          <w:lang w:val="en-AU"/>
        </w:rPr>
        <w:t>Competitive Bargaining</w:t>
      </w:r>
    </w:p>
    <w:p w14:paraId="633B8E1C" w14:textId="77777777" w:rsidR="00144433" w:rsidRPr="006A1F39" w:rsidRDefault="00144433" w:rsidP="00892A3A">
      <w:pPr>
        <w:rPr>
          <w:b/>
          <w:bCs/>
          <w:lang w:val="en-AU"/>
        </w:rPr>
      </w:pPr>
    </w:p>
    <w:p w14:paraId="7EC7B3B1" w14:textId="77777777" w:rsidR="00892A3A" w:rsidRPr="00593397" w:rsidRDefault="00892A3A" w:rsidP="00892A3A">
      <w:pPr>
        <w:rPr>
          <w:bCs/>
          <w:u w:val="single"/>
          <w:lang w:val="en-AU"/>
        </w:rPr>
      </w:pPr>
      <w:r w:rsidRPr="00593397">
        <w:rPr>
          <w:bCs/>
          <w:u w:val="single"/>
          <w:lang w:val="en-AU"/>
        </w:rPr>
        <w:t>Required:</w:t>
      </w:r>
    </w:p>
    <w:p w14:paraId="61A5105E" w14:textId="77777777" w:rsidR="007D241D" w:rsidRPr="00593397" w:rsidRDefault="007D241D" w:rsidP="007D241D">
      <w:pPr>
        <w:shd w:val="clear" w:color="auto" w:fill="FFFFFF"/>
        <w:rPr>
          <w:lang w:val="en-AU"/>
        </w:rPr>
      </w:pPr>
    </w:p>
    <w:p w14:paraId="4E45803E" w14:textId="65902D3A" w:rsidR="00892A3A" w:rsidRPr="00593397" w:rsidRDefault="00892A3A" w:rsidP="00892A3A">
      <w:pPr>
        <w:pStyle w:val="ListParagraph"/>
        <w:numPr>
          <w:ilvl w:val="0"/>
          <w:numId w:val="20"/>
        </w:numPr>
        <w:shd w:val="clear" w:color="auto" w:fill="FFFFFF"/>
        <w:rPr>
          <w:rStyle w:val="Hyperlink"/>
          <w:color w:val="auto"/>
          <w:u w:val="none"/>
          <w:lang w:val="en-AU"/>
        </w:rPr>
      </w:pPr>
      <w:r w:rsidRPr="00593397">
        <w:rPr>
          <w:lang w:val="en-AU"/>
        </w:rPr>
        <w:t>Adrian Hyde-Price</w:t>
      </w:r>
      <w:r w:rsidRPr="00593397">
        <w:rPr>
          <w:rStyle w:val="hlfld-contribauthor"/>
          <w:lang w:val="en-AU"/>
        </w:rPr>
        <w:t xml:space="preserve">, </w:t>
      </w:r>
      <w:r w:rsidR="00841F20">
        <w:rPr>
          <w:rStyle w:val="hlfld-contribauthor"/>
          <w:lang w:val="en-AU"/>
        </w:rPr>
        <w:t>‘</w:t>
      </w:r>
      <w:r w:rsidRPr="00593397">
        <w:rPr>
          <w:lang w:val="en-AU"/>
        </w:rPr>
        <w:t>Neither Realism nor Liberalism: New Directions in Theorizing EU Security Policy</w:t>
      </w:r>
      <w:r w:rsidR="00841F20">
        <w:rPr>
          <w:lang w:val="en-AU"/>
        </w:rPr>
        <w:t>’</w:t>
      </w:r>
      <w:r w:rsidRPr="00593397">
        <w:rPr>
          <w:rStyle w:val="hlfld-title"/>
          <w:lang w:val="en-AU"/>
        </w:rPr>
        <w:t xml:space="preserve">, </w:t>
      </w:r>
      <w:r w:rsidRPr="00593397">
        <w:rPr>
          <w:i/>
          <w:lang w:val="en-AU"/>
        </w:rPr>
        <w:t>Contemporary Security Policy</w:t>
      </w:r>
      <w:r w:rsidRPr="00593397">
        <w:rPr>
          <w:lang w:val="en-AU"/>
        </w:rPr>
        <w:t>, </w:t>
      </w:r>
      <w:r w:rsidR="00786AF2">
        <w:rPr>
          <w:lang w:val="en-AU"/>
        </w:rPr>
        <w:t xml:space="preserve">2013, </w:t>
      </w:r>
      <w:r w:rsidRPr="00786AF2">
        <w:rPr>
          <w:lang w:val="en-AU"/>
        </w:rPr>
        <w:t>34</w:t>
      </w:r>
      <w:r w:rsidR="00786AF2">
        <w:rPr>
          <w:lang w:val="en-AU"/>
        </w:rPr>
        <w:t xml:space="preserve">: </w:t>
      </w:r>
      <w:r w:rsidRPr="00786AF2">
        <w:rPr>
          <w:lang w:val="en-AU"/>
        </w:rPr>
        <w:t>2,</w:t>
      </w:r>
      <w:r w:rsidR="00841F20">
        <w:rPr>
          <w:rStyle w:val="Hyperlink"/>
          <w:color w:val="auto"/>
          <w:u w:val="none"/>
          <w:lang w:val="en-AU"/>
        </w:rPr>
        <w:t xml:space="preserve"> pp. 397-408</w:t>
      </w:r>
    </w:p>
    <w:p w14:paraId="706EACD7" w14:textId="0AF01042" w:rsidR="00593397" w:rsidRPr="005047BB" w:rsidRDefault="00593397" w:rsidP="00593397">
      <w:pPr>
        <w:pStyle w:val="ListParagraph"/>
        <w:numPr>
          <w:ilvl w:val="0"/>
          <w:numId w:val="20"/>
        </w:numPr>
        <w:rPr>
          <w:sz w:val="20"/>
          <w:szCs w:val="20"/>
          <w:lang w:val="it-IT" w:eastAsia="it-IT"/>
        </w:rPr>
      </w:pPr>
      <w:r w:rsidRPr="005047BB">
        <w:rPr>
          <w:shd w:val="clear" w:color="auto" w:fill="FFFFFF"/>
          <w:lang w:val="it-IT" w:eastAsia="it-IT"/>
        </w:rPr>
        <w:t>Pernille Rieker &amp; Marianne Riddervol, ‘Not so unique after all? Urgency and norms in EU foreign and security policy’, </w:t>
      </w:r>
      <w:r w:rsidRPr="005047BB">
        <w:rPr>
          <w:i/>
          <w:shd w:val="clear" w:color="auto" w:fill="FFFFFF"/>
          <w:lang w:val="it-IT" w:eastAsia="it-IT"/>
        </w:rPr>
        <w:t>Journal of European Integration, </w:t>
      </w:r>
      <w:r w:rsidRPr="005047BB">
        <w:rPr>
          <w:shd w:val="clear" w:color="auto" w:fill="FFFFFF"/>
          <w:lang w:val="it-IT" w:eastAsia="it-IT"/>
        </w:rPr>
        <w:t>2021</w:t>
      </w:r>
      <w:r w:rsidR="005047BB" w:rsidRPr="005047BB">
        <w:rPr>
          <w:shd w:val="clear" w:color="auto" w:fill="FFFFFF"/>
          <w:lang w:val="it-IT" w:eastAsia="it-IT"/>
        </w:rPr>
        <w:t>,</w:t>
      </w:r>
      <w:r w:rsidR="005047BB" w:rsidRPr="005047BB">
        <w:t xml:space="preserve"> 43:6, available at </w:t>
      </w:r>
      <w:r w:rsidR="005047BB" w:rsidRPr="005047BB">
        <w:rPr>
          <w:shd w:val="clear" w:color="auto" w:fill="FFFFFF"/>
          <w:lang w:val="it-IT" w:eastAsia="it-IT"/>
        </w:rPr>
        <w:t>https://www.tandfonline.com/doi/full/10.1080/07036337.2021.1977293?af=R</w:t>
      </w:r>
    </w:p>
    <w:p w14:paraId="469F82EE" w14:textId="202B057F" w:rsidR="00593397" w:rsidRPr="005047BB" w:rsidRDefault="00593397" w:rsidP="00593397">
      <w:pPr>
        <w:pStyle w:val="ListParagraph"/>
        <w:numPr>
          <w:ilvl w:val="0"/>
          <w:numId w:val="20"/>
        </w:numPr>
        <w:rPr>
          <w:rStyle w:val="Hyperlink"/>
          <w:color w:val="auto"/>
          <w:sz w:val="20"/>
          <w:szCs w:val="20"/>
          <w:u w:val="none"/>
          <w:lang w:val="it-IT" w:eastAsia="it-IT"/>
        </w:rPr>
      </w:pPr>
      <w:r w:rsidRPr="005047BB">
        <w:rPr>
          <w:shd w:val="clear" w:color="auto" w:fill="FFFFFF"/>
          <w:lang w:val="it-IT" w:eastAsia="it-IT"/>
        </w:rPr>
        <w:t>Daniel C. Thomas, ‘The Return of Intergovernmentalism? De-Europeanisation and EU Foreign Policy Decision-making’, </w:t>
      </w:r>
      <w:r w:rsidRPr="005047BB">
        <w:rPr>
          <w:i/>
          <w:shd w:val="clear" w:color="auto" w:fill="FFFFFF"/>
          <w:lang w:val="it-IT" w:eastAsia="it-IT"/>
        </w:rPr>
        <w:t>Journal of European Integration</w:t>
      </w:r>
      <w:r w:rsidRPr="005047BB">
        <w:rPr>
          <w:shd w:val="clear" w:color="auto" w:fill="FFFFFF"/>
          <w:lang w:val="it-IT" w:eastAsia="it-IT"/>
        </w:rPr>
        <w:t>, 2021</w:t>
      </w:r>
      <w:r w:rsidR="005047BB" w:rsidRPr="005047BB">
        <w:rPr>
          <w:shd w:val="clear" w:color="auto" w:fill="FFFFFF"/>
          <w:lang w:val="it-IT" w:eastAsia="it-IT"/>
        </w:rPr>
        <w:t>,</w:t>
      </w:r>
      <w:r w:rsidR="005047BB">
        <w:rPr>
          <w:shd w:val="clear" w:color="auto" w:fill="FFFFFF"/>
          <w:lang w:val="it-IT" w:eastAsia="it-IT"/>
        </w:rPr>
        <w:t xml:space="preserve"> 43:5,</w:t>
      </w:r>
      <w:r w:rsidR="005047BB" w:rsidRPr="005047BB">
        <w:rPr>
          <w:shd w:val="clear" w:color="auto" w:fill="FFFFFF"/>
          <w:lang w:val="it-IT" w:eastAsia="it-IT"/>
        </w:rPr>
        <w:t xml:space="preserve"> available at https://www.tandfonline.com/doi/full/10.1080/07036337.2021.1927013</w:t>
      </w:r>
    </w:p>
    <w:p w14:paraId="7D7E6D40" w14:textId="696B2308" w:rsidR="00CE38E3" w:rsidRPr="00786AF2" w:rsidRDefault="00CE38E3" w:rsidP="00786AF2">
      <w:pPr>
        <w:pStyle w:val="ListParagraph"/>
        <w:numPr>
          <w:ilvl w:val="0"/>
          <w:numId w:val="20"/>
        </w:numPr>
        <w:shd w:val="clear" w:color="auto" w:fill="FFFFFF"/>
        <w:rPr>
          <w:lang w:val="en-AU"/>
        </w:rPr>
      </w:pPr>
      <w:r w:rsidRPr="00593397">
        <w:rPr>
          <w:lang w:val="en-AU"/>
        </w:rPr>
        <w:t xml:space="preserve">Anand Menon, </w:t>
      </w:r>
      <w:r w:rsidR="00841F20">
        <w:rPr>
          <w:lang w:val="en-AU"/>
        </w:rPr>
        <w:t>‘</w:t>
      </w:r>
      <w:r w:rsidRPr="00593397">
        <w:rPr>
          <w:lang w:val="en-AU"/>
        </w:rPr>
        <w:t>Power, Institutions and the CSDP: The Promise of Institutionalist Theory</w:t>
      </w:r>
      <w:r w:rsidR="00841F20">
        <w:rPr>
          <w:lang w:val="en-AU"/>
        </w:rPr>
        <w:t>’</w:t>
      </w:r>
      <w:r w:rsidRPr="00593397">
        <w:rPr>
          <w:lang w:val="en-AU"/>
        </w:rPr>
        <w:t>,</w:t>
      </w:r>
      <w:r w:rsidR="00786AF2">
        <w:rPr>
          <w:lang w:val="en-AU"/>
        </w:rPr>
        <w:t xml:space="preserve"> </w:t>
      </w:r>
      <w:r w:rsidRPr="00786AF2">
        <w:rPr>
          <w:i/>
          <w:bdr w:val="none" w:sz="0" w:space="0" w:color="auto" w:frame="1"/>
          <w:lang w:val="en-AU"/>
        </w:rPr>
        <w:t>Journal of Common Market Studies</w:t>
      </w:r>
      <w:r w:rsidRPr="00786AF2">
        <w:rPr>
          <w:lang w:val="en-AU"/>
        </w:rPr>
        <w:t xml:space="preserve">, </w:t>
      </w:r>
      <w:r w:rsidR="00841F20" w:rsidRPr="00786AF2">
        <w:rPr>
          <w:lang w:val="en-AU"/>
        </w:rPr>
        <w:t xml:space="preserve">2010, </w:t>
      </w:r>
      <w:r w:rsidRPr="00786AF2">
        <w:rPr>
          <w:lang w:val="en-AU"/>
        </w:rPr>
        <w:t>49</w:t>
      </w:r>
      <w:r w:rsidR="00786AF2">
        <w:rPr>
          <w:lang w:val="en-AU"/>
        </w:rPr>
        <w:t>:</w:t>
      </w:r>
      <w:r w:rsidRPr="00786AF2">
        <w:rPr>
          <w:lang w:val="en-AU"/>
        </w:rPr>
        <w:t xml:space="preserve">1, </w:t>
      </w:r>
      <w:r w:rsidR="00234B09" w:rsidRPr="00786AF2">
        <w:rPr>
          <w:lang w:val="en-AU"/>
        </w:rPr>
        <w:t>pp. 83-100</w:t>
      </w:r>
    </w:p>
    <w:p w14:paraId="76322702" w14:textId="0F80BAE3" w:rsidR="00892A3A" w:rsidRPr="00593397" w:rsidRDefault="00A5642D" w:rsidP="00892A3A">
      <w:pPr>
        <w:pStyle w:val="ListParagraph"/>
        <w:numPr>
          <w:ilvl w:val="0"/>
          <w:numId w:val="20"/>
        </w:numPr>
        <w:rPr>
          <w:lang w:val="en-AU"/>
        </w:rPr>
      </w:pPr>
      <w:hyperlink r:id="rId24" w:history="1">
        <w:r w:rsidR="00892A3A" w:rsidRPr="00593397">
          <w:rPr>
            <w:rStyle w:val="Hyperlink"/>
            <w:color w:val="auto"/>
            <w:u w:val="none"/>
            <w:lang w:val="en-AU"/>
          </w:rPr>
          <w:t>Benjamin Pohl</w:t>
        </w:r>
      </w:hyperlink>
      <w:r w:rsidR="00892A3A" w:rsidRPr="00593397">
        <w:rPr>
          <w:rStyle w:val="hlfld-contribauthor"/>
          <w:lang w:val="en-AU"/>
        </w:rPr>
        <w:t xml:space="preserve">, </w:t>
      </w:r>
      <w:r w:rsidR="00234B09">
        <w:rPr>
          <w:rStyle w:val="hlfld-contribauthor"/>
          <w:lang w:val="en-AU"/>
        </w:rPr>
        <w:t>‘</w:t>
      </w:r>
      <w:r w:rsidR="00892A3A" w:rsidRPr="00593397">
        <w:rPr>
          <w:lang w:val="en-AU"/>
        </w:rPr>
        <w:t>Neither Bandwagoning nor Balancing: Explaining Europe’s Security Policy</w:t>
      </w:r>
      <w:r w:rsidR="00234B09">
        <w:rPr>
          <w:lang w:val="en-AU"/>
        </w:rPr>
        <w:t>’</w:t>
      </w:r>
      <w:r w:rsidR="00892A3A" w:rsidRPr="00593397">
        <w:rPr>
          <w:rStyle w:val="hlfld-title"/>
          <w:lang w:val="en-AU"/>
        </w:rPr>
        <w:t xml:space="preserve">, </w:t>
      </w:r>
      <w:hyperlink r:id="rId25" w:history="1">
        <w:r w:rsidR="00892A3A" w:rsidRPr="00593397">
          <w:rPr>
            <w:rStyle w:val="Hyperlink"/>
            <w:i/>
            <w:color w:val="auto"/>
            <w:u w:val="none"/>
            <w:lang w:val="en-AU"/>
          </w:rPr>
          <w:t>Contemporary Security Policy</w:t>
        </w:r>
      </w:hyperlink>
      <w:r w:rsidR="00892A3A" w:rsidRPr="00593397">
        <w:rPr>
          <w:lang w:val="en-AU"/>
        </w:rPr>
        <w:t>, </w:t>
      </w:r>
      <w:r w:rsidR="00786AF2">
        <w:rPr>
          <w:lang w:val="en-AU"/>
        </w:rPr>
        <w:t xml:space="preserve">2013, </w:t>
      </w:r>
      <w:r w:rsidR="00892A3A" w:rsidRPr="00593397">
        <w:rPr>
          <w:lang w:val="en-AU"/>
        </w:rPr>
        <w:t>34</w:t>
      </w:r>
      <w:r w:rsidR="00786AF2">
        <w:rPr>
          <w:lang w:val="en-AU"/>
        </w:rPr>
        <w:t>:2</w:t>
      </w:r>
      <w:r w:rsidR="00234B09">
        <w:rPr>
          <w:lang w:val="en-AU"/>
        </w:rPr>
        <w:t>, pp. 353-373</w:t>
      </w:r>
      <w:r w:rsidR="00892A3A" w:rsidRPr="00593397">
        <w:rPr>
          <w:lang w:val="en-AU"/>
        </w:rPr>
        <w:t xml:space="preserve"> </w:t>
      </w:r>
    </w:p>
    <w:p w14:paraId="7D0F742E" w14:textId="68536389" w:rsidR="00892A3A" w:rsidRPr="00593397" w:rsidRDefault="00892A3A" w:rsidP="00892A3A">
      <w:pPr>
        <w:pStyle w:val="ListParagraph"/>
        <w:numPr>
          <w:ilvl w:val="0"/>
          <w:numId w:val="20"/>
        </w:numPr>
        <w:shd w:val="clear" w:color="auto" w:fill="FFFFFF"/>
        <w:rPr>
          <w:lang w:val="en-AU"/>
        </w:rPr>
      </w:pPr>
      <w:r w:rsidRPr="00593397">
        <w:rPr>
          <w:lang w:val="en-AU"/>
        </w:rPr>
        <w:t>Benjamin Pohl &amp; Niels van Willigen</w:t>
      </w:r>
      <w:r w:rsidRPr="00593397">
        <w:rPr>
          <w:rStyle w:val="hlfld-contribauthor"/>
          <w:lang w:val="en-AU"/>
        </w:rPr>
        <w:t xml:space="preserve">, </w:t>
      </w:r>
      <w:r w:rsidR="00234B09">
        <w:rPr>
          <w:rStyle w:val="hlfld-contribauthor"/>
          <w:lang w:val="en-AU"/>
        </w:rPr>
        <w:t>‘</w:t>
      </w:r>
      <w:r w:rsidRPr="00593397">
        <w:rPr>
          <w:lang w:val="en-AU"/>
        </w:rPr>
        <w:t>Analytic Eclecticism and EU Foreign Policy (In)action</w:t>
      </w:r>
      <w:r w:rsidR="00234B09">
        <w:rPr>
          <w:lang w:val="en-AU"/>
        </w:rPr>
        <w:t>’</w:t>
      </w:r>
      <w:r w:rsidRPr="00593397">
        <w:rPr>
          <w:rStyle w:val="hlfld-title"/>
          <w:lang w:val="en-AU"/>
        </w:rPr>
        <w:t xml:space="preserve">, </w:t>
      </w:r>
      <w:hyperlink r:id="rId26" w:history="1">
        <w:r w:rsidRPr="00593397">
          <w:rPr>
            <w:rStyle w:val="Hyperlink"/>
            <w:i/>
            <w:color w:val="auto"/>
            <w:u w:val="none"/>
            <w:lang w:val="en-AU"/>
          </w:rPr>
          <w:t>Global Society</w:t>
        </w:r>
      </w:hyperlink>
      <w:r w:rsidRPr="00593397">
        <w:rPr>
          <w:lang w:val="en-AU"/>
        </w:rPr>
        <w:t>, </w:t>
      </w:r>
      <w:r w:rsidR="00786AF2">
        <w:rPr>
          <w:lang w:val="en-AU"/>
        </w:rPr>
        <w:t xml:space="preserve">2015, </w:t>
      </w:r>
      <w:r w:rsidRPr="00593397">
        <w:rPr>
          <w:lang w:val="en-AU"/>
        </w:rPr>
        <w:t>29</w:t>
      </w:r>
      <w:r w:rsidR="00786AF2">
        <w:rPr>
          <w:lang w:val="en-AU"/>
        </w:rPr>
        <w:t xml:space="preserve">: </w:t>
      </w:r>
      <w:r w:rsidRPr="00593397">
        <w:rPr>
          <w:lang w:val="en-AU"/>
        </w:rPr>
        <w:t xml:space="preserve">2, </w:t>
      </w:r>
      <w:r w:rsidR="00234B09">
        <w:rPr>
          <w:lang w:val="en-AU"/>
        </w:rPr>
        <w:t>pp. 175-198</w:t>
      </w:r>
    </w:p>
    <w:p w14:paraId="54E8FDAC" w14:textId="45450740" w:rsidR="00892A3A" w:rsidRDefault="00A5642D" w:rsidP="00892A3A">
      <w:pPr>
        <w:pStyle w:val="ListParagraph"/>
        <w:numPr>
          <w:ilvl w:val="0"/>
          <w:numId w:val="20"/>
        </w:numPr>
        <w:rPr>
          <w:rStyle w:val="Hyperlink"/>
          <w:color w:val="auto"/>
          <w:u w:val="none"/>
          <w:lang w:val="en-AU"/>
        </w:rPr>
      </w:pPr>
      <w:hyperlink r:id="rId27" w:history="1">
        <w:r w:rsidR="00892A3A" w:rsidRPr="006A1F39">
          <w:rPr>
            <w:rStyle w:val="Hyperlink"/>
            <w:color w:val="auto"/>
            <w:u w:val="none"/>
            <w:lang w:val="en-AU"/>
          </w:rPr>
          <w:t>Jens Ringsmose</w:t>
        </w:r>
      </w:hyperlink>
      <w:r w:rsidR="00892A3A" w:rsidRPr="006A1F39">
        <w:rPr>
          <w:rStyle w:val="hlfld-contribauthor"/>
          <w:lang w:val="en-AU"/>
        </w:rPr>
        <w:t xml:space="preserve">, </w:t>
      </w:r>
      <w:r w:rsidR="00234B09">
        <w:rPr>
          <w:rStyle w:val="hlfld-contribauthor"/>
          <w:lang w:val="en-AU"/>
        </w:rPr>
        <w:t>‘</w:t>
      </w:r>
      <w:r w:rsidR="00892A3A" w:rsidRPr="006A1F39">
        <w:rPr>
          <w:lang w:val="en-AU"/>
        </w:rPr>
        <w:t>Balancing or Bandwagoning? Europe’s Many Relation</w:t>
      </w:r>
      <w:r w:rsidR="00892A3A" w:rsidRPr="006A1F39">
        <w:rPr>
          <w:i/>
          <w:iCs/>
          <w:lang w:val="en-AU"/>
        </w:rPr>
        <w:t>s</w:t>
      </w:r>
      <w:r w:rsidR="00892A3A" w:rsidRPr="006A1F39">
        <w:rPr>
          <w:lang w:val="en-AU"/>
        </w:rPr>
        <w:t> with the United States</w:t>
      </w:r>
      <w:r w:rsidR="00234B09">
        <w:rPr>
          <w:lang w:val="en-AU"/>
        </w:rPr>
        <w:t>’</w:t>
      </w:r>
      <w:r w:rsidR="00892A3A" w:rsidRPr="006A1F39">
        <w:rPr>
          <w:rStyle w:val="hlfld-title"/>
          <w:lang w:val="en-AU"/>
        </w:rPr>
        <w:t xml:space="preserve">, </w:t>
      </w:r>
      <w:r w:rsidR="00892A3A" w:rsidRPr="006A1F39">
        <w:rPr>
          <w:i/>
          <w:lang w:val="en-AU"/>
        </w:rPr>
        <w:t>Contemporary Security Policy</w:t>
      </w:r>
      <w:r w:rsidR="00892A3A" w:rsidRPr="006A1F39">
        <w:rPr>
          <w:lang w:val="en-AU"/>
        </w:rPr>
        <w:t>, </w:t>
      </w:r>
      <w:hyperlink r:id="rId28" w:history="1">
        <w:r w:rsidR="00892A3A" w:rsidRPr="006A1F39">
          <w:rPr>
            <w:rStyle w:val="Hyperlink"/>
            <w:color w:val="auto"/>
            <w:u w:val="none"/>
            <w:lang w:val="en-AU"/>
          </w:rPr>
          <w:t>2013</w:t>
        </w:r>
        <w:r w:rsidR="00234B09">
          <w:rPr>
            <w:rStyle w:val="Hyperlink"/>
            <w:color w:val="auto"/>
            <w:u w:val="none"/>
            <w:lang w:val="en-AU"/>
          </w:rPr>
          <w:t>,</w:t>
        </w:r>
        <w:r w:rsidR="00786AF2">
          <w:rPr>
            <w:rStyle w:val="Hyperlink"/>
            <w:color w:val="auto"/>
            <w:u w:val="none"/>
            <w:lang w:val="en-AU"/>
          </w:rPr>
          <w:t xml:space="preserve"> 34:2,</w:t>
        </w:r>
        <w:r w:rsidR="00234B09">
          <w:rPr>
            <w:rStyle w:val="Hyperlink"/>
            <w:color w:val="auto"/>
            <w:u w:val="none"/>
            <w:lang w:val="en-AU"/>
          </w:rPr>
          <w:t xml:space="preserve"> pp. 409-412</w:t>
        </w:r>
        <w:r w:rsidR="00892A3A" w:rsidRPr="006A1F39">
          <w:rPr>
            <w:rStyle w:val="Hyperlink"/>
            <w:color w:val="auto"/>
            <w:u w:val="none"/>
            <w:lang w:val="en-AU"/>
          </w:rPr>
          <w:t xml:space="preserve"> </w:t>
        </w:r>
      </w:hyperlink>
    </w:p>
    <w:p w14:paraId="09589E28" w14:textId="77777777" w:rsidR="00892A3A" w:rsidRPr="00F43F06" w:rsidRDefault="00892A3A" w:rsidP="00892A3A">
      <w:pPr>
        <w:shd w:val="clear" w:color="auto" w:fill="FFFFFF"/>
        <w:rPr>
          <w:lang w:val="en-AU"/>
        </w:rPr>
      </w:pPr>
    </w:p>
    <w:p w14:paraId="27B822E0" w14:textId="5DB706B9" w:rsidR="00892A3A" w:rsidRPr="00F43F06" w:rsidRDefault="00F43F06" w:rsidP="00892A3A">
      <w:pPr>
        <w:shd w:val="clear" w:color="auto" w:fill="FFFFFF"/>
        <w:rPr>
          <w:lang w:val="en-AU"/>
        </w:rPr>
      </w:pPr>
      <w:r w:rsidRPr="00F43F06">
        <w:rPr>
          <w:lang w:val="en-AU"/>
        </w:rPr>
        <w:t>Optional</w:t>
      </w:r>
      <w:r w:rsidR="00892A3A" w:rsidRPr="00F43F06">
        <w:rPr>
          <w:lang w:val="en-AU"/>
        </w:rPr>
        <w:t>:</w:t>
      </w:r>
    </w:p>
    <w:p w14:paraId="5E1EA3A5" w14:textId="69A5FAEA" w:rsidR="00892A3A" w:rsidRPr="006A1F39" w:rsidRDefault="00A5642D" w:rsidP="00892A3A">
      <w:pPr>
        <w:pStyle w:val="ListParagraph"/>
        <w:numPr>
          <w:ilvl w:val="0"/>
          <w:numId w:val="20"/>
        </w:numPr>
        <w:shd w:val="clear" w:color="auto" w:fill="FFFFFF"/>
        <w:rPr>
          <w:rStyle w:val="Hyperlink"/>
          <w:color w:val="auto"/>
          <w:u w:val="none"/>
          <w:lang w:val="en-AU"/>
        </w:rPr>
      </w:pPr>
      <w:hyperlink r:id="rId29" w:history="1">
        <w:r w:rsidR="00892A3A" w:rsidRPr="006A1F39">
          <w:rPr>
            <w:rStyle w:val="Hyperlink"/>
            <w:color w:val="auto"/>
            <w:u w:val="none"/>
            <w:lang w:val="en-AU"/>
          </w:rPr>
          <w:t>Julian Bergmann</w:t>
        </w:r>
      </w:hyperlink>
      <w:r w:rsidR="00892A3A" w:rsidRPr="006A1F39">
        <w:rPr>
          <w:rStyle w:val="hlfld-contribauthor"/>
          <w:lang w:val="en-AU"/>
        </w:rPr>
        <w:t xml:space="preserve">, </w:t>
      </w:r>
      <w:r w:rsidR="00234B09">
        <w:rPr>
          <w:rStyle w:val="hlfld-contribauthor"/>
          <w:lang w:val="en-AU"/>
        </w:rPr>
        <w:t>‘</w:t>
      </w:r>
      <w:r w:rsidR="00892A3A" w:rsidRPr="006A1F39">
        <w:rPr>
          <w:lang w:val="en-AU"/>
        </w:rPr>
        <w:t>Neofunctionalism and EU external policy integration: the case of capacity building in support of security and development (CBSD)</w:t>
      </w:r>
      <w:r w:rsidR="00234B09">
        <w:rPr>
          <w:lang w:val="en-AU"/>
        </w:rPr>
        <w:t>’</w:t>
      </w:r>
      <w:r w:rsidR="00892A3A" w:rsidRPr="006A1F39">
        <w:rPr>
          <w:rStyle w:val="Hyperlink"/>
          <w:color w:val="auto"/>
          <w:u w:val="none"/>
          <w:lang w:val="en-AU"/>
        </w:rPr>
        <w:t xml:space="preserve">, </w:t>
      </w:r>
      <w:r w:rsidR="00892A3A" w:rsidRPr="006A1F39">
        <w:rPr>
          <w:i/>
          <w:lang w:val="en-AU"/>
        </w:rPr>
        <w:t>Journal of European Public Policy</w:t>
      </w:r>
      <w:r w:rsidR="00892A3A" w:rsidRPr="006A1F39">
        <w:rPr>
          <w:rStyle w:val="Hyperlink"/>
          <w:color w:val="auto"/>
          <w:u w:val="none"/>
          <w:lang w:val="en-AU"/>
        </w:rPr>
        <w:t>, 2018</w:t>
      </w:r>
      <w:r w:rsidR="00234B09">
        <w:rPr>
          <w:rStyle w:val="Hyperlink"/>
          <w:color w:val="auto"/>
          <w:u w:val="none"/>
          <w:lang w:val="en-AU"/>
        </w:rPr>
        <w:t xml:space="preserve">, pp. 1253-1272 available at </w:t>
      </w:r>
      <w:r w:rsidR="00234B09" w:rsidRPr="00234B09">
        <w:rPr>
          <w:rStyle w:val="Hyperlink"/>
          <w:color w:val="auto"/>
          <w:u w:val="none"/>
          <w:lang w:val="en-AU"/>
        </w:rPr>
        <w:t>https://www.tandfonline.com/doi/full/10.1080/13501763.2018.1526204</w:t>
      </w:r>
    </w:p>
    <w:p w14:paraId="5878DA97" w14:textId="59F8E8EA" w:rsidR="00892A3A" w:rsidRPr="006A1F39" w:rsidRDefault="00A5642D" w:rsidP="00892A3A">
      <w:pPr>
        <w:pStyle w:val="ListParagraph"/>
        <w:numPr>
          <w:ilvl w:val="0"/>
          <w:numId w:val="20"/>
        </w:numPr>
        <w:shd w:val="clear" w:color="auto" w:fill="FFFFFF"/>
        <w:rPr>
          <w:lang w:val="en-AU"/>
        </w:rPr>
      </w:pPr>
      <w:hyperlink r:id="rId30" w:history="1">
        <w:r w:rsidR="00892A3A" w:rsidRPr="006A1F39">
          <w:rPr>
            <w:rStyle w:val="Hyperlink"/>
            <w:color w:val="auto"/>
            <w:u w:val="none"/>
            <w:lang w:val="en-AU"/>
          </w:rPr>
          <w:t>Maria-Adriana Deiana</w:t>
        </w:r>
      </w:hyperlink>
      <w:r w:rsidR="00892A3A" w:rsidRPr="006A1F39">
        <w:rPr>
          <w:lang w:val="en-AU"/>
        </w:rPr>
        <w:t> &amp; </w:t>
      </w:r>
      <w:hyperlink r:id="rId31" w:history="1">
        <w:r w:rsidR="00892A3A" w:rsidRPr="006A1F39">
          <w:rPr>
            <w:rStyle w:val="Hyperlink"/>
            <w:color w:val="auto"/>
            <w:u w:val="none"/>
            <w:lang w:val="en-AU"/>
          </w:rPr>
          <w:t>Kenneth McDonagh</w:t>
        </w:r>
      </w:hyperlink>
      <w:r w:rsidR="00892A3A" w:rsidRPr="006A1F39">
        <w:rPr>
          <w:rStyle w:val="Hyperlink"/>
          <w:color w:val="auto"/>
          <w:u w:val="none"/>
          <w:lang w:val="en-AU"/>
        </w:rPr>
        <w:t xml:space="preserve">, </w:t>
      </w:r>
      <w:r w:rsidR="00892A3A" w:rsidRPr="006A1F39">
        <w:rPr>
          <w:lang w:val="en-AU"/>
        </w:rPr>
        <w:t>‘It is important, but…’: translating the Women Peace and Security (WPS) Agenda into the planning of EU peacekeeping missions</w:t>
      </w:r>
      <w:r w:rsidR="00234B09">
        <w:rPr>
          <w:lang w:val="en-AU"/>
        </w:rPr>
        <w:t>;</w:t>
      </w:r>
      <w:r w:rsidR="00892A3A" w:rsidRPr="006A1F39">
        <w:rPr>
          <w:rStyle w:val="Hyperlink"/>
          <w:color w:val="auto"/>
          <w:u w:val="none"/>
          <w:lang w:val="en-AU"/>
        </w:rPr>
        <w:t>,</w:t>
      </w:r>
      <w:r w:rsidR="00892A3A" w:rsidRPr="006A1F39">
        <w:rPr>
          <w:lang w:val="en-AU"/>
        </w:rPr>
        <w:t xml:space="preserve"> </w:t>
      </w:r>
      <w:r w:rsidR="00892A3A" w:rsidRPr="006A1F39">
        <w:rPr>
          <w:i/>
          <w:lang w:val="en-AU"/>
        </w:rPr>
        <w:t>Peacebuilding</w:t>
      </w:r>
      <w:r w:rsidR="00892A3A" w:rsidRPr="006A1F39">
        <w:rPr>
          <w:lang w:val="en-AU"/>
        </w:rPr>
        <w:t>, </w:t>
      </w:r>
      <w:r w:rsidR="00234B09">
        <w:rPr>
          <w:lang w:val="en-AU"/>
        </w:rPr>
        <w:t xml:space="preserve">2018, </w:t>
      </w:r>
      <w:r w:rsidR="00892A3A" w:rsidRPr="006A1F39">
        <w:rPr>
          <w:lang w:val="en-AU"/>
        </w:rPr>
        <w:t>6</w:t>
      </w:r>
      <w:r w:rsidR="00786AF2">
        <w:rPr>
          <w:lang w:val="en-AU"/>
        </w:rPr>
        <w:t>:</w:t>
      </w:r>
      <w:r w:rsidR="00892A3A" w:rsidRPr="006A1F39">
        <w:rPr>
          <w:lang w:val="en-AU"/>
        </w:rPr>
        <w:t xml:space="preserve">1, </w:t>
      </w:r>
      <w:r w:rsidR="00234B09">
        <w:rPr>
          <w:lang w:val="en-AU"/>
        </w:rPr>
        <w:t>pp. 34-48</w:t>
      </w:r>
    </w:p>
    <w:p w14:paraId="2F66B10B" w14:textId="187D5B34" w:rsidR="00892A3A" w:rsidRPr="006A1F39" w:rsidRDefault="00892A3A" w:rsidP="00892A3A">
      <w:pPr>
        <w:pStyle w:val="ListParagraph"/>
        <w:numPr>
          <w:ilvl w:val="0"/>
          <w:numId w:val="20"/>
        </w:numPr>
        <w:shd w:val="clear" w:color="auto" w:fill="FFFFFF"/>
        <w:rPr>
          <w:lang w:val="en-AU"/>
        </w:rPr>
      </w:pPr>
      <w:r w:rsidRPr="006A1F39">
        <w:rPr>
          <w:lang w:val="en-AU"/>
        </w:rPr>
        <w:t>Mette Eilstrup-Sangiovanni</w:t>
      </w:r>
      <w:r w:rsidRPr="006A1F39">
        <w:rPr>
          <w:rStyle w:val="hlfld-contribauthor"/>
          <w:lang w:val="en-AU"/>
        </w:rPr>
        <w:t xml:space="preserve">, </w:t>
      </w:r>
      <w:r w:rsidR="00234B09">
        <w:rPr>
          <w:rStyle w:val="hlfld-contribauthor"/>
          <w:lang w:val="en-AU"/>
        </w:rPr>
        <w:t>‘</w:t>
      </w:r>
      <w:r w:rsidRPr="006A1F39">
        <w:rPr>
          <w:lang w:val="en-AU"/>
        </w:rPr>
        <w:t>Europe’s Defence Dilemma</w:t>
      </w:r>
      <w:r w:rsidR="00234B09">
        <w:rPr>
          <w:lang w:val="en-AU"/>
        </w:rPr>
        <w:t>’</w:t>
      </w:r>
      <w:r w:rsidRPr="006A1F39">
        <w:rPr>
          <w:rStyle w:val="hlfld-title"/>
          <w:lang w:val="en-AU"/>
        </w:rPr>
        <w:t xml:space="preserve">, </w:t>
      </w:r>
      <w:r w:rsidRPr="006A1F39">
        <w:rPr>
          <w:i/>
          <w:lang w:val="en-AU"/>
        </w:rPr>
        <w:t>The International Spectator</w:t>
      </w:r>
      <w:r w:rsidRPr="006A1F39">
        <w:rPr>
          <w:lang w:val="en-AU"/>
        </w:rPr>
        <w:t>, </w:t>
      </w:r>
      <w:r w:rsidR="00234B09">
        <w:rPr>
          <w:lang w:val="en-AU"/>
        </w:rPr>
        <w:t xml:space="preserve">2014, </w:t>
      </w:r>
      <w:r w:rsidRPr="00234B09">
        <w:rPr>
          <w:lang w:val="en-AU"/>
        </w:rPr>
        <w:t>49</w:t>
      </w:r>
      <w:r w:rsidR="00786AF2">
        <w:rPr>
          <w:lang w:val="en-AU"/>
        </w:rPr>
        <w:t>:</w:t>
      </w:r>
      <w:r w:rsidRPr="00234B09">
        <w:rPr>
          <w:lang w:val="en-AU"/>
        </w:rPr>
        <w:t xml:space="preserve"> 2,</w:t>
      </w:r>
      <w:r w:rsidR="00234B09" w:rsidRPr="00234B09">
        <w:rPr>
          <w:lang w:val="en-AU"/>
        </w:rPr>
        <w:t xml:space="preserve"> pp.</w:t>
      </w:r>
      <w:r w:rsidR="00234B09">
        <w:rPr>
          <w:lang w:val="en-AU"/>
        </w:rPr>
        <w:t xml:space="preserve"> </w:t>
      </w:r>
      <w:r w:rsidR="00234B09" w:rsidRPr="00234B09">
        <w:rPr>
          <w:lang w:val="en-AU"/>
        </w:rPr>
        <w:t>83-116</w:t>
      </w:r>
      <w:r w:rsidRPr="00234B09">
        <w:rPr>
          <w:lang w:val="en-AU"/>
        </w:rPr>
        <w:t xml:space="preserve">  </w:t>
      </w:r>
    </w:p>
    <w:p w14:paraId="11A2B2D7" w14:textId="1C8AC021" w:rsidR="00892A3A" w:rsidRPr="00B0769B" w:rsidRDefault="00892A3A" w:rsidP="00892A3A">
      <w:pPr>
        <w:pStyle w:val="ListParagraph"/>
        <w:numPr>
          <w:ilvl w:val="0"/>
          <w:numId w:val="20"/>
        </w:numPr>
        <w:shd w:val="clear" w:color="auto" w:fill="FFFFFF"/>
        <w:rPr>
          <w:lang w:val="en-AU"/>
        </w:rPr>
      </w:pPr>
      <w:r w:rsidRPr="006A1F39">
        <w:rPr>
          <w:lang w:val="en-AU"/>
        </w:rPr>
        <w:t>Evangelos Fanoulis</w:t>
      </w:r>
      <w:r w:rsidRPr="006A1F39">
        <w:rPr>
          <w:rStyle w:val="Hyperlink"/>
          <w:color w:val="auto"/>
          <w:u w:val="none"/>
          <w:lang w:val="en-AU"/>
        </w:rPr>
        <w:t xml:space="preserve">, </w:t>
      </w:r>
      <w:r w:rsidR="00234B09">
        <w:rPr>
          <w:rStyle w:val="Hyperlink"/>
          <w:color w:val="auto"/>
          <w:u w:val="none"/>
          <w:lang w:val="en-AU"/>
        </w:rPr>
        <w:t>‘</w:t>
      </w:r>
      <w:r w:rsidRPr="006A1F39">
        <w:rPr>
          <w:lang w:val="en-AU"/>
        </w:rPr>
        <w:t xml:space="preserve">Understanding the social construction of the democratic deficit in CSDP: a </w:t>
      </w:r>
      <w:r w:rsidRPr="00B0769B">
        <w:rPr>
          <w:lang w:val="en-AU"/>
        </w:rPr>
        <w:t>Foucauldian approach</w:t>
      </w:r>
      <w:r w:rsidR="00B0769B" w:rsidRPr="00B0769B">
        <w:rPr>
          <w:lang w:val="en-AU"/>
        </w:rPr>
        <w:t>’</w:t>
      </w:r>
      <w:r w:rsidRPr="00B0769B">
        <w:rPr>
          <w:rStyle w:val="Hyperlink"/>
          <w:color w:val="auto"/>
          <w:u w:val="none"/>
          <w:lang w:val="en-AU"/>
        </w:rPr>
        <w:t xml:space="preserve">, </w:t>
      </w:r>
      <w:r w:rsidRPr="00B0769B">
        <w:rPr>
          <w:i/>
          <w:lang w:val="en-AU"/>
        </w:rPr>
        <w:t>European Security</w:t>
      </w:r>
      <w:r w:rsidRPr="00B0769B">
        <w:rPr>
          <w:lang w:val="en-AU"/>
        </w:rPr>
        <w:t>, </w:t>
      </w:r>
      <w:r w:rsidRPr="002117DC">
        <w:rPr>
          <w:lang w:val="en-AU"/>
        </w:rPr>
        <w:t>23</w:t>
      </w:r>
      <w:r w:rsidR="002117DC">
        <w:rPr>
          <w:lang w:val="en-AU"/>
        </w:rPr>
        <w:t>:</w:t>
      </w:r>
      <w:r w:rsidRPr="002117DC">
        <w:rPr>
          <w:lang w:val="en-AU"/>
        </w:rPr>
        <w:t>4, 2014</w:t>
      </w:r>
      <w:r w:rsidR="00B0769B" w:rsidRPr="00B0769B">
        <w:rPr>
          <w:rStyle w:val="Hyperlink"/>
          <w:color w:val="auto"/>
          <w:u w:val="none"/>
          <w:lang w:val="en-AU"/>
        </w:rPr>
        <w:t>, pp. 466-483</w:t>
      </w:r>
    </w:p>
    <w:p w14:paraId="29B38C4B" w14:textId="2737DD98" w:rsidR="00892A3A" w:rsidRPr="00B0769B" w:rsidRDefault="00892A3A" w:rsidP="00892A3A">
      <w:pPr>
        <w:pStyle w:val="ListParagraph"/>
        <w:numPr>
          <w:ilvl w:val="0"/>
          <w:numId w:val="20"/>
        </w:numPr>
        <w:shd w:val="clear" w:color="auto" w:fill="FFFFFF"/>
        <w:rPr>
          <w:lang w:val="en-AU"/>
        </w:rPr>
      </w:pPr>
      <w:r w:rsidRPr="00B0769B">
        <w:rPr>
          <w:lang w:val="en-AU"/>
        </w:rPr>
        <w:t>Ronja Kempin &amp; Jocelyn Mawdsley</w:t>
      </w:r>
      <w:r w:rsidRPr="00B0769B">
        <w:rPr>
          <w:rStyle w:val="hlfld-contribauthor"/>
          <w:lang w:val="en-AU"/>
        </w:rPr>
        <w:t xml:space="preserve">, </w:t>
      </w:r>
      <w:r w:rsidR="00B0769B">
        <w:rPr>
          <w:rStyle w:val="hlfld-contribauthor"/>
          <w:lang w:val="en-AU"/>
        </w:rPr>
        <w:t>‘</w:t>
      </w:r>
      <w:r w:rsidRPr="00B0769B">
        <w:rPr>
          <w:lang w:val="en-AU"/>
        </w:rPr>
        <w:t>The Common Security and Defence Policy as an act of American hegemony</w:t>
      </w:r>
      <w:r w:rsidR="00B0769B">
        <w:rPr>
          <w:rStyle w:val="Hyperlink"/>
          <w:color w:val="auto"/>
          <w:u w:val="none"/>
          <w:lang w:val="en-AU"/>
        </w:rPr>
        <w:t>’</w:t>
      </w:r>
      <w:r w:rsidRPr="00B0769B">
        <w:rPr>
          <w:rStyle w:val="Hyperlink"/>
          <w:color w:val="auto"/>
          <w:u w:val="none"/>
          <w:lang w:val="en-AU"/>
        </w:rPr>
        <w:t>,</w:t>
      </w:r>
      <w:r w:rsidRPr="00B0769B">
        <w:rPr>
          <w:rStyle w:val="hlfld-title"/>
          <w:lang w:val="en-AU"/>
        </w:rPr>
        <w:t xml:space="preserve"> </w:t>
      </w:r>
      <w:r w:rsidRPr="00B0769B">
        <w:rPr>
          <w:i/>
          <w:lang w:val="en-AU"/>
        </w:rPr>
        <w:t>European Security</w:t>
      </w:r>
      <w:r w:rsidRPr="00B0769B">
        <w:rPr>
          <w:lang w:val="en-AU"/>
        </w:rPr>
        <w:t>, </w:t>
      </w:r>
      <w:r w:rsidR="00B0769B">
        <w:rPr>
          <w:lang w:val="en-AU"/>
        </w:rPr>
        <w:t xml:space="preserve">2013, </w:t>
      </w:r>
      <w:r w:rsidRPr="00B0769B">
        <w:rPr>
          <w:lang w:val="en-AU"/>
        </w:rPr>
        <w:t>22</w:t>
      </w:r>
      <w:r w:rsidR="002117DC">
        <w:rPr>
          <w:lang w:val="en-AU"/>
        </w:rPr>
        <w:t>:</w:t>
      </w:r>
      <w:r w:rsidRPr="00B0769B">
        <w:rPr>
          <w:lang w:val="en-AU"/>
        </w:rPr>
        <w:t xml:space="preserve">1, </w:t>
      </w:r>
      <w:r w:rsidR="00B0769B">
        <w:rPr>
          <w:lang w:val="en-AU"/>
        </w:rPr>
        <w:t>pp. 55-73</w:t>
      </w:r>
    </w:p>
    <w:p w14:paraId="6819D6D6" w14:textId="6410C84A" w:rsidR="00892A3A" w:rsidRPr="006A1F39" w:rsidRDefault="00892A3A" w:rsidP="00892A3A">
      <w:pPr>
        <w:pStyle w:val="ListParagraph"/>
        <w:numPr>
          <w:ilvl w:val="0"/>
          <w:numId w:val="20"/>
        </w:numPr>
        <w:shd w:val="clear" w:color="auto" w:fill="FFFFFF"/>
        <w:rPr>
          <w:rStyle w:val="Hyperlink"/>
          <w:color w:val="auto"/>
          <w:u w:val="none"/>
          <w:lang w:val="en-AU"/>
        </w:rPr>
      </w:pPr>
      <w:r w:rsidRPr="006A1F39">
        <w:rPr>
          <w:lang w:val="en-AU"/>
        </w:rPr>
        <w:t>Iraklis Oikonomou</w:t>
      </w:r>
      <w:r w:rsidRPr="006A1F39">
        <w:rPr>
          <w:rStyle w:val="Hyperlink"/>
          <w:color w:val="auto"/>
          <w:u w:val="none"/>
          <w:lang w:val="en-AU"/>
        </w:rPr>
        <w:t xml:space="preserve">, </w:t>
      </w:r>
      <w:r w:rsidR="00B0769B">
        <w:rPr>
          <w:rStyle w:val="Hyperlink"/>
          <w:color w:val="auto"/>
          <w:u w:val="none"/>
          <w:lang w:val="en-AU"/>
        </w:rPr>
        <w:t>‘</w:t>
      </w:r>
      <w:r w:rsidRPr="006A1F39">
        <w:rPr>
          <w:lang w:val="en-AU"/>
        </w:rPr>
        <w:t>The political economy of European security</w:t>
      </w:r>
      <w:r w:rsidR="00B0769B">
        <w:rPr>
          <w:lang w:val="en-AU"/>
        </w:rPr>
        <w:t>’</w:t>
      </w:r>
      <w:r w:rsidRPr="006A1F39">
        <w:rPr>
          <w:rStyle w:val="Hyperlink"/>
          <w:color w:val="auto"/>
          <w:u w:val="none"/>
          <w:lang w:val="en-AU"/>
        </w:rPr>
        <w:t xml:space="preserve">, </w:t>
      </w:r>
      <w:r w:rsidRPr="006A1F39">
        <w:rPr>
          <w:i/>
          <w:lang w:val="en-AU"/>
        </w:rPr>
        <w:t>European Security</w:t>
      </w:r>
      <w:r w:rsidRPr="006A1F39">
        <w:rPr>
          <w:lang w:val="en-AU"/>
        </w:rPr>
        <w:t>, </w:t>
      </w:r>
      <w:r w:rsidRPr="002117DC">
        <w:rPr>
          <w:lang w:val="en-AU"/>
        </w:rPr>
        <w:t>27</w:t>
      </w:r>
      <w:r w:rsidR="002117DC">
        <w:rPr>
          <w:lang w:val="en-AU"/>
        </w:rPr>
        <w:t xml:space="preserve">: </w:t>
      </w:r>
      <w:r w:rsidRPr="002117DC">
        <w:rPr>
          <w:lang w:val="en-AU"/>
        </w:rPr>
        <w:t>4, 2018</w:t>
      </w:r>
      <w:r w:rsidR="00B0769B" w:rsidRPr="002117DC">
        <w:rPr>
          <w:lang w:val="en-AU"/>
        </w:rPr>
        <w:t>, pp. 537-540</w:t>
      </w:r>
      <w:r w:rsidRPr="002117DC">
        <w:rPr>
          <w:lang w:val="en-AU"/>
        </w:rPr>
        <w:t xml:space="preserve"> </w:t>
      </w:r>
    </w:p>
    <w:p w14:paraId="33A6DB51" w14:textId="77777777" w:rsidR="007042E2" w:rsidRDefault="007042E2" w:rsidP="00892A3A">
      <w:pPr>
        <w:rPr>
          <w:b/>
          <w:bCs/>
          <w:lang w:val="en-AU"/>
        </w:rPr>
      </w:pPr>
    </w:p>
    <w:p w14:paraId="746A2A23" w14:textId="77777777" w:rsidR="00F43F06" w:rsidRDefault="00F43F06" w:rsidP="00892A3A">
      <w:pPr>
        <w:rPr>
          <w:b/>
          <w:bCs/>
          <w:u w:val="single"/>
          <w:lang w:val="en-AU"/>
        </w:rPr>
      </w:pPr>
    </w:p>
    <w:p w14:paraId="27DF7D8C" w14:textId="77777777" w:rsidR="00F43F06" w:rsidRDefault="00F43F06" w:rsidP="00892A3A">
      <w:pPr>
        <w:rPr>
          <w:b/>
          <w:bCs/>
          <w:u w:val="single"/>
          <w:lang w:val="en-AU"/>
        </w:rPr>
      </w:pPr>
    </w:p>
    <w:p w14:paraId="4C1C165B" w14:textId="5E7B0AF9" w:rsidR="007042E2" w:rsidRDefault="007042E2" w:rsidP="00892A3A">
      <w:pPr>
        <w:rPr>
          <w:b/>
          <w:bCs/>
          <w:u w:val="single"/>
          <w:lang w:val="en-AU"/>
        </w:rPr>
      </w:pPr>
      <w:r w:rsidRPr="008C149B">
        <w:rPr>
          <w:b/>
          <w:bCs/>
          <w:u w:val="single"/>
          <w:lang w:val="en-AU"/>
        </w:rPr>
        <w:t>Tuesday 23 February no class</w:t>
      </w:r>
      <w:r w:rsidR="00F43F06">
        <w:rPr>
          <w:b/>
          <w:bCs/>
          <w:u w:val="single"/>
          <w:lang w:val="en-AU"/>
        </w:rPr>
        <w:t xml:space="preserve">, </w:t>
      </w:r>
      <w:r w:rsidRPr="008C149B">
        <w:rPr>
          <w:b/>
          <w:bCs/>
          <w:u w:val="single"/>
          <w:lang w:val="en-AU"/>
        </w:rPr>
        <w:t>break</w:t>
      </w:r>
      <w:r w:rsidR="00F43F06">
        <w:rPr>
          <w:b/>
          <w:bCs/>
          <w:u w:val="single"/>
          <w:lang w:val="en-AU"/>
        </w:rPr>
        <w:t xml:space="preserve"> week</w:t>
      </w:r>
    </w:p>
    <w:p w14:paraId="6C92877C" w14:textId="77777777" w:rsidR="007042E2" w:rsidRDefault="007042E2" w:rsidP="00892A3A">
      <w:pPr>
        <w:rPr>
          <w:b/>
          <w:bCs/>
          <w:u w:val="single"/>
          <w:lang w:val="en-AU"/>
        </w:rPr>
      </w:pPr>
    </w:p>
    <w:p w14:paraId="6634CAAA" w14:textId="77777777" w:rsidR="005841A5" w:rsidRPr="006A1F39" w:rsidRDefault="005841A5" w:rsidP="00892A3A">
      <w:pPr>
        <w:rPr>
          <w:b/>
          <w:bCs/>
          <w:lang w:val="en-AU"/>
        </w:rPr>
      </w:pPr>
    </w:p>
    <w:p w14:paraId="2063B65F" w14:textId="1834C2DA" w:rsidR="00E921D2" w:rsidRPr="00557157" w:rsidRDefault="00DE5A02" w:rsidP="00E921D2">
      <w:pPr>
        <w:rPr>
          <w:b/>
          <w:bCs/>
          <w:lang w:val="en-AU"/>
        </w:rPr>
      </w:pPr>
      <w:r>
        <w:rPr>
          <w:b/>
          <w:bCs/>
          <w:lang w:val="en-AU"/>
        </w:rPr>
        <w:t xml:space="preserve">Session </w:t>
      </w:r>
      <w:r w:rsidR="00EE4DCA">
        <w:rPr>
          <w:b/>
          <w:bCs/>
          <w:lang w:val="en-AU"/>
        </w:rPr>
        <w:t>7</w:t>
      </w:r>
      <w:r w:rsidR="006043B5" w:rsidRPr="00557157">
        <w:rPr>
          <w:b/>
          <w:bCs/>
          <w:lang w:val="en-AU"/>
        </w:rPr>
        <w:t>:</w:t>
      </w:r>
      <w:r w:rsidR="00E921D2" w:rsidRPr="00557157">
        <w:rPr>
          <w:b/>
          <w:bCs/>
          <w:lang w:val="en-AU"/>
        </w:rPr>
        <w:t xml:space="preserve"> </w:t>
      </w:r>
      <w:r w:rsidR="00AF13E2" w:rsidRPr="00557157">
        <w:rPr>
          <w:b/>
          <w:bCs/>
          <w:lang w:val="en-AU"/>
        </w:rPr>
        <w:t xml:space="preserve">Tuesday </w:t>
      </w:r>
      <w:r w:rsidR="007042E2" w:rsidRPr="00557157">
        <w:rPr>
          <w:b/>
          <w:bCs/>
          <w:lang w:val="en-AU"/>
        </w:rPr>
        <w:t>1 March</w:t>
      </w:r>
      <w:r w:rsidR="00E921D2" w:rsidRPr="00557157">
        <w:rPr>
          <w:b/>
          <w:bCs/>
          <w:lang w:val="en-AU"/>
        </w:rPr>
        <w:t xml:space="preserve"> </w:t>
      </w:r>
    </w:p>
    <w:p w14:paraId="2C580E97" w14:textId="208165DE" w:rsidR="00E921D2" w:rsidRPr="006A1F39" w:rsidRDefault="00E921D2" w:rsidP="00E921D2">
      <w:pPr>
        <w:rPr>
          <w:b/>
          <w:bCs/>
          <w:lang w:val="en-AU"/>
        </w:rPr>
      </w:pPr>
      <w:r w:rsidRPr="00557157">
        <w:rPr>
          <w:b/>
          <w:bCs/>
          <w:lang w:val="en-AU"/>
        </w:rPr>
        <w:t>THE BALKANS</w:t>
      </w:r>
      <w:r w:rsidR="00DE5A02" w:rsidRPr="00557157">
        <w:rPr>
          <w:b/>
          <w:bCs/>
          <w:lang w:val="en-AU"/>
        </w:rPr>
        <w:t>, TURKEY</w:t>
      </w:r>
      <w:r w:rsidRPr="00557157">
        <w:rPr>
          <w:b/>
          <w:bCs/>
          <w:lang w:val="en-AU"/>
        </w:rPr>
        <w:t xml:space="preserve"> AND EUROPEAN SECURITY</w:t>
      </w:r>
    </w:p>
    <w:p w14:paraId="4934738C" w14:textId="77777777" w:rsidR="00E921D2" w:rsidRPr="006A1F39" w:rsidRDefault="00E921D2" w:rsidP="00E921D2">
      <w:pPr>
        <w:rPr>
          <w:b/>
          <w:bCs/>
          <w:lang w:val="en-AU"/>
        </w:rPr>
      </w:pPr>
    </w:p>
    <w:p w14:paraId="559D40F2" w14:textId="40AC7CD4" w:rsidR="00B0769B" w:rsidRDefault="0026683B" w:rsidP="00F8769C">
      <w:pPr>
        <w:jc w:val="both"/>
        <w:rPr>
          <w:bCs/>
          <w:lang w:val="en-AU"/>
        </w:rPr>
      </w:pPr>
      <w:r>
        <w:rPr>
          <w:bCs/>
          <w:lang w:val="en-AU"/>
        </w:rPr>
        <w:t>Dayton Peace Treaty</w:t>
      </w:r>
      <w:r w:rsidR="00DE3918" w:rsidRPr="006A1F39">
        <w:rPr>
          <w:bCs/>
          <w:lang w:val="en-AU"/>
        </w:rPr>
        <w:t xml:space="preserve"> </w:t>
      </w:r>
    </w:p>
    <w:p w14:paraId="56938BF5" w14:textId="528D7C8B" w:rsidR="00B0769B" w:rsidRDefault="00215500" w:rsidP="00F8769C">
      <w:pPr>
        <w:jc w:val="both"/>
        <w:rPr>
          <w:bCs/>
          <w:lang w:val="en-AU"/>
        </w:rPr>
      </w:pPr>
      <w:r w:rsidRPr="006A1F39">
        <w:rPr>
          <w:bCs/>
          <w:lang w:val="en-AU"/>
        </w:rPr>
        <w:t>St</w:t>
      </w:r>
      <w:r w:rsidR="00DE3918" w:rsidRPr="006A1F39">
        <w:rPr>
          <w:bCs/>
          <w:lang w:val="en-AU"/>
        </w:rPr>
        <w:t>.</w:t>
      </w:r>
      <w:r w:rsidRPr="006A1F39">
        <w:rPr>
          <w:bCs/>
          <w:lang w:val="en-AU"/>
        </w:rPr>
        <w:t xml:space="preserve"> Malo</w:t>
      </w:r>
      <w:r w:rsidR="00DE3918" w:rsidRPr="006A1F39">
        <w:rPr>
          <w:bCs/>
          <w:lang w:val="en-AU"/>
        </w:rPr>
        <w:t xml:space="preserve"> declaration</w:t>
      </w:r>
      <w:r w:rsidRPr="006A1F39">
        <w:rPr>
          <w:bCs/>
          <w:lang w:val="en-AU"/>
        </w:rPr>
        <w:t xml:space="preserve"> </w:t>
      </w:r>
    </w:p>
    <w:p w14:paraId="7B78D980" w14:textId="366818D5" w:rsidR="00B0769B" w:rsidRDefault="0026683B" w:rsidP="00F8769C">
      <w:pPr>
        <w:jc w:val="both"/>
        <w:rPr>
          <w:lang w:val="en-AU"/>
        </w:rPr>
      </w:pPr>
      <w:r>
        <w:rPr>
          <w:lang w:val="en-AU"/>
        </w:rPr>
        <w:t>Althea</w:t>
      </w:r>
      <w:r w:rsidR="00CE38E3" w:rsidRPr="006A1F39">
        <w:rPr>
          <w:lang w:val="en-AU"/>
        </w:rPr>
        <w:t xml:space="preserve"> </w:t>
      </w:r>
    </w:p>
    <w:p w14:paraId="4E7BD9DC" w14:textId="7717CE5D" w:rsidR="00B0769B" w:rsidRDefault="0026683B" w:rsidP="00F8769C">
      <w:pPr>
        <w:jc w:val="both"/>
        <w:rPr>
          <w:lang w:val="en-AU"/>
        </w:rPr>
      </w:pPr>
      <w:r>
        <w:rPr>
          <w:lang w:val="en-AU"/>
        </w:rPr>
        <w:t>Concordia</w:t>
      </w:r>
      <w:r w:rsidR="00F8769C" w:rsidRPr="006A1F39">
        <w:rPr>
          <w:lang w:val="en-AU"/>
        </w:rPr>
        <w:t xml:space="preserve"> </w:t>
      </w:r>
    </w:p>
    <w:p w14:paraId="3EF964FC" w14:textId="19A154A7" w:rsidR="00B0769B" w:rsidRDefault="0026683B" w:rsidP="00F8769C">
      <w:pPr>
        <w:jc w:val="both"/>
        <w:rPr>
          <w:lang w:val="en-AU"/>
        </w:rPr>
      </w:pPr>
      <w:r>
        <w:rPr>
          <w:lang w:val="en-AU"/>
        </w:rPr>
        <w:t>Proxima</w:t>
      </w:r>
      <w:r w:rsidR="00F8769C" w:rsidRPr="006A1F39">
        <w:rPr>
          <w:lang w:val="en-AU"/>
        </w:rPr>
        <w:t xml:space="preserve"> </w:t>
      </w:r>
    </w:p>
    <w:p w14:paraId="2B1A326A" w14:textId="57369967" w:rsidR="00B0769B" w:rsidRDefault="0026683B" w:rsidP="00F8769C">
      <w:pPr>
        <w:jc w:val="both"/>
        <w:rPr>
          <w:lang w:val="en-AU"/>
        </w:rPr>
      </w:pPr>
      <w:r>
        <w:rPr>
          <w:lang w:val="en-AU"/>
        </w:rPr>
        <w:t>EULEX</w:t>
      </w:r>
    </w:p>
    <w:p w14:paraId="0CB3FDB3" w14:textId="2019398D" w:rsidR="00B0769B" w:rsidRDefault="00F8769C" w:rsidP="00F8769C">
      <w:pPr>
        <w:jc w:val="both"/>
        <w:rPr>
          <w:lang w:val="en-AU"/>
        </w:rPr>
      </w:pPr>
      <w:r w:rsidRPr="006A1F39">
        <w:rPr>
          <w:lang w:val="en-AU"/>
        </w:rPr>
        <w:t xml:space="preserve">Stabilization and Association </w:t>
      </w:r>
      <w:r w:rsidR="0063208F" w:rsidRPr="006A1F39">
        <w:rPr>
          <w:lang w:val="en-AU"/>
        </w:rPr>
        <w:t>A</w:t>
      </w:r>
      <w:r w:rsidR="0026683B">
        <w:rPr>
          <w:lang w:val="en-AU"/>
        </w:rPr>
        <w:t>greements</w:t>
      </w:r>
    </w:p>
    <w:p w14:paraId="6893B36D" w14:textId="748A3361" w:rsidR="00B0769B" w:rsidRDefault="0026683B" w:rsidP="00F8769C">
      <w:pPr>
        <w:jc w:val="both"/>
        <w:rPr>
          <w:lang w:val="en-AU"/>
        </w:rPr>
      </w:pPr>
      <w:r>
        <w:rPr>
          <w:lang w:val="en-AU"/>
        </w:rPr>
        <w:t>European Neighbourhood Policy</w:t>
      </w:r>
    </w:p>
    <w:p w14:paraId="257B98F5" w14:textId="4D8EF4E4" w:rsidR="00B0769B" w:rsidRDefault="00DE3918" w:rsidP="00F8769C">
      <w:pPr>
        <w:jc w:val="both"/>
        <w:rPr>
          <w:lang w:val="en-AU"/>
        </w:rPr>
      </w:pPr>
      <w:r w:rsidRPr="006A1F39">
        <w:rPr>
          <w:lang w:val="en-AU"/>
        </w:rPr>
        <w:t xml:space="preserve">Stability Pact for </w:t>
      </w:r>
      <w:r w:rsidR="0063208F" w:rsidRPr="006A1F39">
        <w:rPr>
          <w:lang w:val="en-AU"/>
        </w:rPr>
        <w:t>S</w:t>
      </w:r>
      <w:r w:rsidRPr="006A1F39">
        <w:rPr>
          <w:lang w:val="en-AU"/>
        </w:rPr>
        <w:t>outh-Easter</w:t>
      </w:r>
      <w:r w:rsidR="0026683B">
        <w:rPr>
          <w:lang w:val="en-AU"/>
        </w:rPr>
        <w:t>n Europe</w:t>
      </w:r>
      <w:r w:rsidRPr="006A1F39">
        <w:rPr>
          <w:lang w:val="en-AU"/>
        </w:rPr>
        <w:t xml:space="preserve"> </w:t>
      </w:r>
    </w:p>
    <w:p w14:paraId="7C41A0A4" w14:textId="11A7A841" w:rsidR="00F8769C" w:rsidRDefault="00DE3918" w:rsidP="00F8769C">
      <w:pPr>
        <w:jc w:val="both"/>
        <w:rPr>
          <w:lang w:val="en-AU"/>
        </w:rPr>
      </w:pPr>
      <w:r w:rsidRPr="006A1F39">
        <w:rPr>
          <w:lang w:val="en-AU"/>
        </w:rPr>
        <w:t>Prespa Agreement</w:t>
      </w:r>
    </w:p>
    <w:p w14:paraId="7CBCAB29" w14:textId="77777777" w:rsidR="00D3106F" w:rsidRPr="006A1F39" w:rsidRDefault="00D3106F" w:rsidP="00E921D2">
      <w:pPr>
        <w:rPr>
          <w:b/>
          <w:bCs/>
          <w:lang w:val="en-AU"/>
        </w:rPr>
      </w:pPr>
    </w:p>
    <w:p w14:paraId="72E09A11" w14:textId="77777777" w:rsidR="002117DC" w:rsidRDefault="002117DC" w:rsidP="00E921D2">
      <w:pPr>
        <w:rPr>
          <w:bCs/>
          <w:u w:val="single"/>
          <w:lang w:val="en-AU"/>
        </w:rPr>
      </w:pPr>
    </w:p>
    <w:p w14:paraId="6CFF4033" w14:textId="77777777" w:rsidR="00E921D2" w:rsidRDefault="00E921D2" w:rsidP="00E921D2">
      <w:pPr>
        <w:rPr>
          <w:bCs/>
          <w:u w:val="single"/>
          <w:lang w:val="en-AU"/>
        </w:rPr>
      </w:pPr>
      <w:r w:rsidRPr="006A1F39">
        <w:rPr>
          <w:bCs/>
          <w:u w:val="single"/>
          <w:lang w:val="en-AU"/>
        </w:rPr>
        <w:t>Required:</w:t>
      </w:r>
    </w:p>
    <w:p w14:paraId="6185250B" w14:textId="77777777" w:rsidR="007F3470" w:rsidRPr="006A1F39" w:rsidRDefault="007F3470" w:rsidP="00E921D2">
      <w:pPr>
        <w:rPr>
          <w:bCs/>
          <w:u w:val="single"/>
          <w:lang w:val="en-AU"/>
        </w:rPr>
      </w:pPr>
    </w:p>
    <w:p w14:paraId="73D4F9B8" w14:textId="27366E21" w:rsidR="00557157" w:rsidRPr="002117DC" w:rsidRDefault="00557157" w:rsidP="00E921D2">
      <w:pPr>
        <w:pStyle w:val="ListParagraph"/>
        <w:numPr>
          <w:ilvl w:val="0"/>
          <w:numId w:val="20"/>
        </w:numPr>
        <w:shd w:val="clear" w:color="auto" w:fill="FFFFFF"/>
        <w:rPr>
          <w:lang w:val="en-AU"/>
        </w:rPr>
      </w:pPr>
      <w:r w:rsidRPr="002117DC">
        <w:rPr>
          <w:lang w:val="en-AU"/>
        </w:rPr>
        <w:t xml:space="preserve">European Commission, </w:t>
      </w:r>
      <w:r w:rsidRPr="002117DC">
        <w:rPr>
          <w:i/>
          <w:lang w:val="en-AU"/>
        </w:rPr>
        <w:t>Key Findings of the 2021 report on Turkey</w:t>
      </w:r>
      <w:r w:rsidRPr="002117DC">
        <w:rPr>
          <w:lang w:val="en-AU"/>
        </w:rPr>
        <w:t>, available at</w:t>
      </w:r>
    </w:p>
    <w:p w14:paraId="313FFA81" w14:textId="2922EDB3" w:rsidR="00557157" w:rsidRPr="002117DC" w:rsidRDefault="00557157" w:rsidP="00557157">
      <w:pPr>
        <w:shd w:val="clear" w:color="auto" w:fill="FFFFFF"/>
        <w:rPr>
          <w:lang w:val="en-AU"/>
        </w:rPr>
      </w:pPr>
      <w:r w:rsidRPr="002117DC">
        <w:rPr>
          <w:lang w:val="en-AU"/>
        </w:rPr>
        <w:t xml:space="preserve">            https://ec.europa.eu/commission/presscorner/detail/en/qanda_21_5282</w:t>
      </w:r>
    </w:p>
    <w:p w14:paraId="3BFE832E" w14:textId="363A9303" w:rsidR="007F3470" w:rsidRPr="002117DC" w:rsidRDefault="007F3470" w:rsidP="007F3470">
      <w:pPr>
        <w:pStyle w:val="ListParagraph"/>
        <w:numPr>
          <w:ilvl w:val="0"/>
          <w:numId w:val="20"/>
        </w:numPr>
        <w:rPr>
          <w:lang w:val="it-IT" w:eastAsia="it-IT"/>
        </w:rPr>
      </w:pPr>
      <w:r w:rsidRPr="002117DC">
        <w:rPr>
          <w:lang w:val="it-IT" w:eastAsia="it-IT"/>
        </w:rPr>
        <w:t xml:space="preserve">Raynell Andreychuk, ‘Security in the Western Balkans’,  </w:t>
      </w:r>
      <w:r w:rsidRPr="002117DC">
        <w:rPr>
          <w:i/>
          <w:lang w:val="it-IT" w:eastAsia="it-IT"/>
        </w:rPr>
        <w:t>NATO Parliamentary Assembly Report,</w:t>
      </w:r>
      <w:r w:rsidRPr="002117DC">
        <w:rPr>
          <w:lang w:val="it-IT" w:eastAsia="it-IT"/>
        </w:rPr>
        <w:t xml:space="preserve"> 2018, available at  </w:t>
      </w:r>
      <w:r w:rsidRPr="002117DC">
        <w:rPr>
          <w:lang w:val="en-AU"/>
        </w:rPr>
        <w:t>https://www.nato-pa.int/download-file?filename=/sites/default/files/2018-12/178%20PCNP%2018%20E%20rev.1%20fin%20-%20SECURITY%20IN%20THE%20WESTERN%20BALKANS%20-%20ANDREYCHUK%20REPORT.pdf</w:t>
      </w:r>
    </w:p>
    <w:p w14:paraId="414729A1" w14:textId="7E81F53D" w:rsidR="00557157" w:rsidRPr="002117DC" w:rsidRDefault="00557157" w:rsidP="00557157">
      <w:pPr>
        <w:pStyle w:val="ListParagraph"/>
        <w:numPr>
          <w:ilvl w:val="0"/>
          <w:numId w:val="20"/>
        </w:numPr>
        <w:shd w:val="clear" w:color="auto" w:fill="FFFFFF"/>
        <w:rPr>
          <w:lang w:val="en-AU"/>
        </w:rPr>
      </w:pPr>
      <w:r w:rsidRPr="002117DC">
        <w:rPr>
          <w:lang w:val="en-AU"/>
        </w:rPr>
        <w:t>Marc Pierini, ‘</w:t>
      </w:r>
      <w:r w:rsidRPr="002117DC">
        <w:rPr>
          <w:bCs/>
          <w:shd w:val="clear" w:color="auto" w:fill="FFFFFF"/>
        </w:rPr>
        <w:t xml:space="preserve">How Far Can Turkey Challenge NATO and the EU in 2020?’,  </w:t>
      </w:r>
      <w:r w:rsidRPr="002117DC">
        <w:rPr>
          <w:bCs/>
          <w:i/>
          <w:shd w:val="clear" w:color="auto" w:fill="FFFFFF"/>
        </w:rPr>
        <w:t>Carnegie Europe</w:t>
      </w:r>
      <w:r w:rsidRPr="002117DC">
        <w:rPr>
          <w:bCs/>
          <w:shd w:val="clear" w:color="auto" w:fill="FFFFFF"/>
        </w:rPr>
        <w:t xml:space="preserve">, available at </w:t>
      </w:r>
      <w:r w:rsidRPr="002117DC">
        <w:rPr>
          <w:lang w:val="en-AU"/>
        </w:rPr>
        <w:t>https://carnegieeurope.eu/2020/01/29/how-far-can-turkey-challenge-nato-and-eu-in-2020-pub-80912</w:t>
      </w:r>
    </w:p>
    <w:p w14:paraId="55CFDC6F" w14:textId="0E21A022" w:rsidR="00557157" w:rsidRPr="00290454" w:rsidRDefault="00290454" w:rsidP="005047BB">
      <w:pPr>
        <w:pStyle w:val="ListParagraph"/>
        <w:numPr>
          <w:ilvl w:val="0"/>
          <w:numId w:val="20"/>
        </w:numPr>
        <w:shd w:val="clear" w:color="auto" w:fill="FFFFFF"/>
        <w:rPr>
          <w:lang w:val="en-AU"/>
        </w:rPr>
      </w:pPr>
      <w:r w:rsidRPr="002117DC">
        <w:rPr>
          <w:lang w:val="en-AU"/>
        </w:rPr>
        <w:t xml:space="preserve">Daniel </w:t>
      </w:r>
      <w:r w:rsidR="005047BB" w:rsidRPr="002117DC">
        <w:rPr>
          <w:lang w:val="en-AU"/>
        </w:rPr>
        <w:t xml:space="preserve">Fiott and </w:t>
      </w:r>
      <w:r w:rsidRPr="002117DC">
        <w:rPr>
          <w:lang w:val="en-AU"/>
        </w:rPr>
        <w:t xml:space="preserve">Marco </w:t>
      </w:r>
      <w:r w:rsidR="005047BB" w:rsidRPr="002117DC">
        <w:rPr>
          <w:lang w:val="en-AU"/>
        </w:rPr>
        <w:t xml:space="preserve">Zeiss, </w:t>
      </w:r>
      <w:r w:rsidRPr="002117DC">
        <w:rPr>
          <w:lang w:val="en-AU"/>
        </w:rPr>
        <w:t>‘Turkey</w:t>
      </w:r>
      <w:r w:rsidRPr="007F3470">
        <w:rPr>
          <w:lang w:val="en-AU"/>
        </w:rPr>
        <w:t xml:space="preserve"> and the Western Balkans’, </w:t>
      </w:r>
      <w:r w:rsidRPr="007F3470">
        <w:rPr>
          <w:i/>
          <w:lang w:val="en-AU"/>
        </w:rPr>
        <w:t>Yearbook of European Security</w:t>
      </w:r>
      <w:r w:rsidRPr="007F3470">
        <w:rPr>
          <w:lang w:val="en-AU"/>
        </w:rPr>
        <w:t xml:space="preserve">, 2021, </w:t>
      </w:r>
      <w:r w:rsidR="005047BB" w:rsidRPr="007F3470">
        <w:rPr>
          <w:lang w:val="en-AU"/>
        </w:rPr>
        <w:t>pp.</w:t>
      </w:r>
      <w:r w:rsidRPr="007F3470">
        <w:rPr>
          <w:lang w:val="en-AU"/>
        </w:rPr>
        <w:t xml:space="preserve"> 58-60, available at https://www.iss.europa.eu/sites/default/files/EUISSFiles</w:t>
      </w:r>
      <w:r w:rsidRPr="00290454">
        <w:rPr>
          <w:lang w:val="en-AU"/>
        </w:rPr>
        <w:t>/YES_2021.pdf</w:t>
      </w:r>
    </w:p>
    <w:p w14:paraId="44E3D722" w14:textId="311493C4" w:rsidR="00E921D2" w:rsidRPr="0026683B" w:rsidRDefault="00A5642D" w:rsidP="00E921D2">
      <w:pPr>
        <w:pStyle w:val="ListParagraph"/>
        <w:numPr>
          <w:ilvl w:val="0"/>
          <w:numId w:val="20"/>
        </w:numPr>
        <w:rPr>
          <w:lang w:val="en-AU"/>
        </w:rPr>
      </w:pPr>
      <w:hyperlink r:id="rId32" w:history="1">
        <w:r w:rsidR="00E921D2" w:rsidRPr="006A1F39">
          <w:rPr>
            <w:rStyle w:val="Hyperlink"/>
            <w:color w:val="auto"/>
            <w:u w:val="none"/>
            <w:lang w:val="en-AU"/>
          </w:rPr>
          <w:t>Emil Kirchner</w:t>
        </w:r>
      </w:hyperlink>
      <w:r w:rsidR="00E921D2" w:rsidRPr="006A1F39">
        <w:rPr>
          <w:rStyle w:val="hlfld-contribauthor"/>
          <w:lang w:val="en-AU"/>
        </w:rPr>
        <w:t>,</w:t>
      </w:r>
      <w:r w:rsidR="00E921D2" w:rsidRPr="006A1F39">
        <w:rPr>
          <w:lang w:val="en-AU"/>
        </w:rPr>
        <w:t xml:space="preserve"> </w:t>
      </w:r>
      <w:r w:rsidR="00290454">
        <w:rPr>
          <w:lang w:val="en-AU"/>
        </w:rPr>
        <w:t>‘</w:t>
      </w:r>
      <w:r w:rsidR="00E921D2" w:rsidRPr="006A1F39">
        <w:rPr>
          <w:lang w:val="en-AU"/>
        </w:rPr>
        <w:t>Common Security and Defence Policy peace operations in the Western Balkans: impact and lessons learned</w:t>
      </w:r>
      <w:r w:rsidR="00290454">
        <w:rPr>
          <w:lang w:val="en-AU"/>
        </w:rPr>
        <w:t>’</w:t>
      </w:r>
      <w:r w:rsidR="00E921D2" w:rsidRPr="006A1F39">
        <w:rPr>
          <w:rStyle w:val="hlfld-title"/>
          <w:lang w:val="en-AU"/>
        </w:rPr>
        <w:t>,</w:t>
      </w:r>
      <w:r w:rsidR="00E921D2" w:rsidRPr="006A1F39">
        <w:rPr>
          <w:lang w:val="en-AU"/>
        </w:rPr>
        <w:t xml:space="preserve"> </w:t>
      </w:r>
      <w:r w:rsidR="00E921D2" w:rsidRPr="006A1F39">
        <w:rPr>
          <w:i/>
          <w:lang w:val="en-AU"/>
        </w:rPr>
        <w:t>European Security</w:t>
      </w:r>
      <w:r w:rsidR="00E921D2" w:rsidRPr="006A1F39">
        <w:rPr>
          <w:lang w:val="en-AU"/>
        </w:rPr>
        <w:t>, </w:t>
      </w:r>
      <w:r w:rsidR="00290454">
        <w:rPr>
          <w:lang w:val="en-AU"/>
        </w:rPr>
        <w:t xml:space="preserve">2013, </w:t>
      </w:r>
      <w:r w:rsidR="00E921D2" w:rsidRPr="006A1F39">
        <w:t>22</w:t>
      </w:r>
      <w:r w:rsidR="00290454">
        <w:t>:1, pp. 35-64</w:t>
      </w:r>
    </w:p>
    <w:p w14:paraId="414CB53C" w14:textId="2B2C9EA7" w:rsidR="0026683B" w:rsidRPr="006A1F39" w:rsidRDefault="0026683B" w:rsidP="00E921D2">
      <w:pPr>
        <w:pStyle w:val="ListParagraph"/>
        <w:numPr>
          <w:ilvl w:val="0"/>
          <w:numId w:val="20"/>
        </w:numPr>
        <w:rPr>
          <w:lang w:val="en-AU"/>
        </w:rPr>
      </w:pPr>
      <w:r>
        <w:t xml:space="preserve">Dylan Macchiarini Crosson, ‘Enlarging the European Defence Union to the Western Balkans’, </w:t>
      </w:r>
      <w:r w:rsidRPr="002117DC">
        <w:rPr>
          <w:i/>
        </w:rPr>
        <w:t>Centre for European Policy Studies 2021 Report</w:t>
      </w:r>
      <w:r>
        <w:t xml:space="preserve">, available at </w:t>
      </w:r>
      <w:r w:rsidRPr="0026683B">
        <w:t>https://www.ceps.eu/enlarging-the-european-defence-union-to-the-western-balkans/</w:t>
      </w:r>
    </w:p>
    <w:p w14:paraId="32D5ECA9" w14:textId="77777777" w:rsidR="00E921D2" w:rsidRPr="00F43F06" w:rsidRDefault="00E921D2" w:rsidP="00E921D2">
      <w:pPr>
        <w:rPr>
          <w:b/>
          <w:bCs/>
          <w:lang w:val="en-AU"/>
        </w:rPr>
      </w:pPr>
    </w:p>
    <w:p w14:paraId="53E4F0CD" w14:textId="11DDE05B" w:rsidR="00E921D2" w:rsidRPr="00F43F06" w:rsidRDefault="00F43F06" w:rsidP="00E921D2">
      <w:pPr>
        <w:shd w:val="clear" w:color="auto" w:fill="FFFFFF"/>
        <w:rPr>
          <w:lang w:val="en-AU"/>
        </w:rPr>
      </w:pPr>
      <w:r>
        <w:rPr>
          <w:lang w:val="en-AU"/>
        </w:rPr>
        <w:t>Optional</w:t>
      </w:r>
      <w:r w:rsidR="00E921D2" w:rsidRPr="00F43F06">
        <w:rPr>
          <w:lang w:val="en-AU"/>
        </w:rPr>
        <w:t>:</w:t>
      </w:r>
    </w:p>
    <w:p w14:paraId="10F6C769" w14:textId="5190E6C7" w:rsidR="00E921D2" w:rsidRPr="006A1F39" w:rsidRDefault="00E921D2" w:rsidP="00E921D2">
      <w:pPr>
        <w:pStyle w:val="ListParagraph"/>
        <w:numPr>
          <w:ilvl w:val="0"/>
          <w:numId w:val="20"/>
        </w:numPr>
        <w:rPr>
          <w:lang w:val="en-AU"/>
        </w:rPr>
      </w:pPr>
      <w:r w:rsidRPr="006A1F39">
        <w:rPr>
          <w:rStyle w:val="Hyperlink"/>
          <w:color w:val="auto"/>
          <w:u w:val="none"/>
          <w:lang w:val="en-AU"/>
        </w:rPr>
        <w:t xml:space="preserve">Gentjan Skara, </w:t>
      </w:r>
      <w:r w:rsidR="007F3470">
        <w:rPr>
          <w:rStyle w:val="Hyperlink"/>
          <w:color w:val="auto"/>
          <w:u w:val="none"/>
          <w:lang w:val="en-AU"/>
        </w:rPr>
        <w:t>‘</w:t>
      </w:r>
      <w:r w:rsidRPr="006A1F39">
        <w:rPr>
          <w:lang w:val="en-AU" w:eastAsia="it-IT"/>
        </w:rPr>
        <w:t>The Role of the EU as a Peacebuilder in the Western Balkans</w:t>
      </w:r>
      <w:r w:rsidR="007F3470">
        <w:rPr>
          <w:lang w:val="en-AU" w:eastAsia="it-IT"/>
        </w:rPr>
        <w:t>’</w:t>
      </w:r>
      <w:r w:rsidRPr="006A1F39">
        <w:rPr>
          <w:lang w:val="en-AU" w:eastAsia="it-IT"/>
        </w:rPr>
        <w:t xml:space="preserve">, </w:t>
      </w:r>
      <w:r w:rsidRPr="006A1F39">
        <w:rPr>
          <w:i/>
          <w:lang w:val="en-AU" w:eastAsia="it-IT"/>
        </w:rPr>
        <w:t>Romanian Journal of European Affairs,</w:t>
      </w:r>
      <w:r w:rsidRPr="006A1F39">
        <w:rPr>
          <w:lang w:val="en-AU" w:eastAsia="it-IT"/>
        </w:rPr>
        <w:t xml:space="preserve"> </w:t>
      </w:r>
      <w:r w:rsidR="007F3470">
        <w:rPr>
          <w:lang w:val="en-AU" w:eastAsia="it-IT"/>
        </w:rPr>
        <w:t xml:space="preserve">2014, </w:t>
      </w:r>
      <w:r w:rsidRPr="006A1F39">
        <w:rPr>
          <w:lang w:val="en-AU" w:eastAsia="it-IT"/>
        </w:rPr>
        <w:t>14</w:t>
      </w:r>
      <w:r w:rsidR="007F3470">
        <w:rPr>
          <w:lang w:val="en-AU" w:eastAsia="it-IT"/>
        </w:rPr>
        <w:t xml:space="preserve">:4, available at </w:t>
      </w:r>
      <w:r w:rsidR="007F3470" w:rsidRPr="007F3470">
        <w:rPr>
          <w:lang w:val="en-AU" w:eastAsia="it-IT"/>
        </w:rPr>
        <w:t>http://rjea.ier.gov.ro/wp-content/uploads/revista/RJEA_2014_vol14_no4_site.pdf</w:t>
      </w:r>
    </w:p>
    <w:p w14:paraId="664CBFF0" w14:textId="2CC271F0" w:rsidR="00E921D2" w:rsidRPr="0026683B" w:rsidRDefault="00E921D2" w:rsidP="006F0DFF">
      <w:pPr>
        <w:pStyle w:val="ListParagraph"/>
        <w:numPr>
          <w:ilvl w:val="0"/>
          <w:numId w:val="20"/>
        </w:numPr>
        <w:shd w:val="clear" w:color="auto" w:fill="FFFFFF"/>
        <w:rPr>
          <w:rStyle w:val="Hyperlink"/>
          <w:b/>
          <w:bCs/>
          <w:color w:val="auto"/>
          <w:u w:val="none"/>
          <w:lang w:val="en-AU"/>
        </w:rPr>
      </w:pPr>
      <w:r w:rsidRPr="006A1F39">
        <w:rPr>
          <w:lang w:val="en-AU"/>
        </w:rPr>
        <w:t>Rok Zupančič, Nina Pejič, Blaž Grilj &amp; Annemarie Peen Rodt</w:t>
      </w:r>
      <w:r w:rsidRPr="006A1F39">
        <w:rPr>
          <w:rStyle w:val="hlfld-contribauthor"/>
          <w:lang w:val="en-AU"/>
        </w:rPr>
        <w:t xml:space="preserve">, </w:t>
      </w:r>
      <w:r w:rsidR="007F3470">
        <w:rPr>
          <w:rStyle w:val="hlfld-contribauthor"/>
          <w:lang w:val="en-AU"/>
        </w:rPr>
        <w:t>‘</w:t>
      </w:r>
      <w:r w:rsidRPr="006A1F39">
        <w:rPr>
          <w:lang w:val="en-AU"/>
        </w:rPr>
        <w:t>The European Union Rule of Law Mission in Kosovo: An Effective Conflict Prevention and Peace-Building Mission?</w:t>
      </w:r>
      <w:r w:rsidR="007F3470">
        <w:rPr>
          <w:lang w:val="en-AU"/>
        </w:rPr>
        <w:t>’</w:t>
      </w:r>
      <w:r w:rsidRPr="006A1F39">
        <w:rPr>
          <w:rStyle w:val="hlfld-title"/>
          <w:lang w:val="en-AU"/>
        </w:rPr>
        <w:t xml:space="preserve">, </w:t>
      </w:r>
      <w:r w:rsidRPr="006A1F39">
        <w:rPr>
          <w:i/>
          <w:lang w:val="en-AU"/>
        </w:rPr>
        <w:t>Journal of Balkan and Near Eastern Studies</w:t>
      </w:r>
      <w:r w:rsidRPr="006A1F39">
        <w:rPr>
          <w:lang w:val="en-AU"/>
        </w:rPr>
        <w:t>, </w:t>
      </w:r>
      <w:hyperlink r:id="rId33" w:history="1">
        <w:r w:rsidRPr="006A1F39">
          <w:rPr>
            <w:rStyle w:val="Hyperlink"/>
            <w:color w:val="auto"/>
            <w:u w:val="none"/>
            <w:lang w:val="en-AU"/>
          </w:rPr>
          <w:t>2018</w:t>
        </w:r>
      </w:hyperlink>
      <w:r w:rsidR="007F3470">
        <w:rPr>
          <w:rStyle w:val="Hyperlink"/>
          <w:color w:val="auto"/>
          <w:u w:val="none"/>
          <w:lang w:val="en-AU"/>
        </w:rPr>
        <w:t>, 20:6, 599-617</w:t>
      </w:r>
    </w:p>
    <w:p w14:paraId="159F20A0" w14:textId="77777777" w:rsidR="0026683B" w:rsidRPr="006A1F39" w:rsidRDefault="0026683B" w:rsidP="0026683B">
      <w:pPr>
        <w:pStyle w:val="ListParagraph"/>
        <w:numPr>
          <w:ilvl w:val="0"/>
          <w:numId w:val="20"/>
        </w:numPr>
        <w:shd w:val="clear" w:color="auto" w:fill="FFFFFF"/>
        <w:rPr>
          <w:rStyle w:val="pagerange"/>
          <w:lang w:val="en-AU"/>
        </w:rPr>
      </w:pPr>
      <w:r w:rsidRPr="006A1F39">
        <w:rPr>
          <w:lang w:val="en-AU"/>
        </w:rPr>
        <w:t>Deniz Mutluer &amp; Dimitris Tsarouhas</w:t>
      </w:r>
      <w:r w:rsidRPr="006A1F39">
        <w:rPr>
          <w:rStyle w:val="hlfld-contribauthor"/>
          <w:lang w:val="en-AU"/>
        </w:rPr>
        <w:t xml:space="preserve">, </w:t>
      </w:r>
      <w:r>
        <w:rPr>
          <w:rStyle w:val="hlfld-contribauthor"/>
          <w:lang w:val="en-AU"/>
        </w:rPr>
        <w:t>‘</w:t>
      </w:r>
      <w:r w:rsidRPr="006A1F39">
        <w:rPr>
          <w:lang w:val="en-AU"/>
        </w:rPr>
        <w:t>EU foreign policy and ‘perceived coherence’: the case of Kosovo</w:t>
      </w:r>
      <w:r>
        <w:rPr>
          <w:lang w:val="en-AU"/>
        </w:rPr>
        <w:t>’</w:t>
      </w:r>
      <w:r w:rsidRPr="006A1F39">
        <w:rPr>
          <w:rStyle w:val="hlfld-title"/>
          <w:lang w:val="en-AU"/>
        </w:rPr>
        <w:t xml:space="preserve">, </w:t>
      </w:r>
      <w:r w:rsidRPr="006A1F39">
        <w:rPr>
          <w:i/>
          <w:lang w:val="en-AU"/>
        </w:rPr>
        <w:t>Southeast European and Black Sea Studies</w:t>
      </w:r>
      <w:r w:rsidRPr="006A1F39">
        <w:rPr>
          <w:lang w:val="en-AU"/>
        </w:rPr>
        <w:t>, </w:t>
      </w:r>
      <w:r>
        <w:rPr>
          <w:lang w:val="en-AU"/>
        </w:rPr>
        <w:t xml:space="preserve">2018, </w:t>
      </w:r>
      <w:r w:rsidRPr="006A1F39">
        <w:rPr>
          <w:lang w:val="en-AU"/>
        </w:rPr>
        <w:t>18</w:t>
      </w:r>
      <w:r>
        <w:rPr>
          <w:lang w:val="en-AU"/>
        </w:rPr>
        <w:t>:3, 419-438</w:t>
      </w:r>
    </w:p>
    <w:p w14:paraId="14B36595" w14:textId="77777777" w:rsidR="0026683B" w:rsidRDefault="0026683B" w:rsidP="0026683B">
      <w:pPr>
        <w:pStyle w:val="ListParagraph"/>
        <w:numPr>
          <w:ilvl w:val="0"/>
          <w:numId w:val="20"/>
        </w:numPr>
        <w:rPr>
          <w:rStyle w:val="pagerange"/>
          <w:lang w:val="en-AU"/>
        </w:rPr>
      </w:pPr>
      <w:r w:rsidRPr="006A1F39">
        <w:rPr>
          <w:rStyle w:val="pagerange"/>
          <w:lang w:val="en-AU"/>
        </w:rPr>
        <w:t xml:space="preserve">Jochen Rehrl (ed.), </w:t>
      </w:r>
      <w:r w:rsidRPr="006A1F39">
        <w:rPr>
          <w:rStyle w:val="pagerange"/>
          <w:i/>
          <w:lang w:val="en-AU"/>
        </w:rPr>
        <w:t>Handbook on CSDP</w:t>
      </w:r>
      <w:r w:rsidRPr="006A1F39">
        <w:rPr>
          <w:rStyle w:val="pagerange"/>
          <w:lang w:val="en-AU"/>
        </w:rPr>
        <w:t>, p. 78-97</w:t>
      </w:r>
    </w:p>
    <w:p w14:paraId="0F1988FC" w14:textId="77777777" w:rsidR="005841A5" w:rsidRPr="006A1F39" w:rsidRDefault="005841A5" w:rsidP="005841A5">
      <w:pPr>
        <w:pStyle w:val="ListParagraph"/>
        <w:numPr>
          <w:ilvl w:val="0"/>
          <w:numId w:val="20"/>
        </w:numPr>
        <w:shd w:val="clear" w:color="auto" w:fill="FFFFFF"/>
        <w:rPr>
          <w:lang w:val="en-AU"/>
        </w:rPr>
      </w:pPr>
      <w:r w:rsidRPr="00290454">
        <w:rPr>
          <w:lang w:val="en-AU"/>
        </w:rPr>
        <w:t>Chris van der Borgh, Puck le Roy &amp; Floor Zweerink</w:t>
      </w:r>
      <w:r w:rsidRPr="00290454">
        <w:rPr>
          <w:rStyle w:val="hlfld-contribauthor"/>
          <w:lang w:val="en-AU"/>
        </w:rPr>
        <w:t xml:space="preserve">, </w:t>
      </w:r>
      <w:r>
        <w:rPr>
          <w:rStyle w:val="hlfld-contribauthor"/>
          <w:lang w:val="en-AU"/>
        </w:rPr>
        <w:t>‘</w:t>
      </w:r>
      <w:r w:rsidRPr="00290454">
        <w:rPr>
          <w:lang w:val="en-AU"/>
        </w:rPr>
        <w:t>Coordinating international interventions in complex settings. An analysis of the EU peace and state-building efforts in post-independence Kosovo</w:t>
      </w:r>
      <w:r>
        <w:rPr>
          <w:lang w:val="en-AU"/>
        </w:rPr>
        <w:t>’</w:t>
      </w:r>
      <w:r w:rsidRPr="00290454">
        <w:rPr>
          <w:rStyle w:val="hlfld-title"/>
          <w:lang w:val="en-AU"/>
        </w:rPr>
        <w:t xml:space="preserve">, </w:t>
      </w:r>
      <w:r w:rsidRPr="00290454">
        <w:rPr>
          <w:i/>
          <w:lang w:val="en-AU"/>
        </w:rPr>
        <w:t>Peacebuilding</w:t>
      </w:r>
      <w:r w:rsidRPr="00290454">
        <w:rPr>
          <w:lang w:val="en-AU"/>
        </w:rPr>
        <w:t>, </w:t>
      </w:r>
      <w:r>
        <w:rPr>
          <w:lang w:val="en-AU"/>
        </w:rPr>
        <w:t xml:space="preserve">2018, </w:t>
      </w:r>
      <w:hyperlink r:id="rId34" w:history="1">
        <w:r w:rsidRPr="006A1F39">
          <w:rPr>
            <w:rStyle w:val="Hyperlink"/>
            <w:color w:val="auto"/>
            <w:u w:val="none"/>
            <w:lang w:val="en-AU"/>
          </w:rPr>
          <w:t>6</w:t>
        </w:r>
        <w:r>
          <w:rPr>
            <w:rStyle w:val="Hyperlink"/>
            <w:color w:val="auto"/>
            <w:u w:val="none"/>
            <w:lang w:val="en-AU"/>
          </w:rPr>
          <w:t>:3</w:t>
        </w:r>
      </w:hyperlink>
      <w:r>
        <w:rPr>
          <w:rStyle w:val="Hyperlink"/>
          <w:color w:val="auto"/>
          <w:u w:val="none"/>
          <w:lang w:val="en-AU"/>
        </w:rPr>
        <w:t>, pp. 248-263</w:t>
      </w:r>
    </w:p>
    <w:p w14:paraId="6CFF34F2" w14:textId="77777777" w:rsidR="0026683B" w:rsidRPr="005841A5" w:rsidRDefault="0026683B" w:rsidP="005841A5">
      <w:pPr>
        <w:shd w:val="clear" w:color="auto" w:fill="FFFFFF"/>
        <w:rPr>
          <w:b/>
          <w:bCs/>
          <w:lang w:val="en-AU"/>
        </w:rPr>
      </w:pPr>
    </w:p>
    <w:p w14:paraId="296C4E41" w14:textId="77777777" w:rsidR="00E921D2" w:rsidRPr="006A1F39" w:rsidRDefault="00E921D2" w:rsidP="00892A3A">
      <w:pPr>
        <w:rPr>
          <w:b/>
          <w:bCs/>
          <w:lang w:val="en-AU"/>
        </w:rPr>
      </w:pPr>
    </w:p>
    <w:p w14:paraId="0C550CA3" w14:textId="77777777" w:rsidR="005047BB" w:rsidRPr="00083FF6" w:rsidRDefault="00892A3A" w:rsidP="00892A3A">
      <w:pPr>
        <w:rPr>
          <w:b/>
          <w:bCs/>
          <w:lang w:val="en-AU"/>
        </w:rPr>
      </w:pPr>
      <w:r w:rsidRPr="00083FF6">
        <w:rPr>
          <w:b/>
          <w:bCs/>
          <w:lang w:val="en-AU"/>
        </w:rPr>
        <w:t xml:space="preserve">Session </w:t>
      </w:r>
      <w:r w:rsidR="00E921D2" w:rsidRPr="00083FF6">
        <w:rPr>
          <w:b/>
          <w:bCs/>
          <w:lang w:val="en-AU"/>
        </w:rPr>
        <w:t>8</w:t>
      </w:r>
      <w:r w:rsidR="00D76CBC" w:rsidRPr="00083FF6">
        <w:rPr>
          <w:b/>
          <w:bCs/>
          <w:lang w:val="en-AU"/>
        </w:rPr>
        <w:t>:</w:t>
      </w:r>
      <w:r w:rsidRPr="00083FF6">
        <w:rPr>
          <w:b/>
          <w:bCs/>
          <w:lang w:val="en-AU"/>
        </w:rPr>
        <w:t xml:space="preserve"> </w:t>
      </w:r>
      <w:r w:rsidR="007042E2" w:rsidRPr="00083FF6">
        <w:rPr>
          <w:b/>
          <w:bCs/>
          <w:lang w:val="en-AU"/>
        </w:rPr>
        <w:t>Tuesday</w:t>
      </w:r>
      <w:r w:rsidRPr="00083FF6">
        <w:rPr>
          <w:b/>
          <w:bCs/>
          <w:lang w:val="en-AU"/>
        </w:rPr>
        <w:t xml:space="preserve">, </w:t>
      </w:r>
      <w:r w:rsidR="007042E2" w:rsidRPr="00083FF6">
        <w:rPr>
          <w:b/>
          <w:bCs/>
          <w:lang w:val="en-AU"/>
        </w:rPr>
        <w:t>8</w:t>
      </w:r>
      <w:r w:rsidR="00AF13E2" w:rsidRPr="00083FF6">
        <w:rPr>
          <w:b/>
          <w:bCs/>
          <w:lang w:val="en-AU"/>
        </w:rPr>
        <w:t xml:space="preserve"> March</w:t>
      </w:r>
    </w:p>
    <w:p w14:paraId="3B02D4F4" w14:textId="35D2836F" w:rsidR="00892A3A" w:rsidRPr="00083FF6" w:rsidRDefault="00892A3A" w:rsidP="00892A3A">
      <w:pPr>
        <w:rPr>
          <w:b/>
          <w:bCs/>
          <w:lang w:val="en-AU"/>
        </w:rPr>
      </w:pPr>
      <w:r w:rsidRPr="00083FF6">
        <w:rPr>
          <w:b/>
          <w:bCs/>
          <w:lang w:val="en-AU"/>
        </w:rPr>
        <w:t xml:space="preserve">  </w:t>
      </w:r>
    </w:p>
    <w:p w14:paraId="76B05719" w14:textId="6632F51B" w:rsidR="00892A3A" w:rsidRPr="00083FF6" w:rsidRDefault="007453A3" w:rsidP="00892A3A">
      <w:pPr>
        <w:rPr>
          <w:b/>
          <w:bCs/>
          <w:lang w:val="en-AU"/>
        </w:rPr>
      </w:pPr>
      <w:r w:rsidRPr="00083FF6">
        <w:rPr>
          <w:b/>
          <w:bCs/>
          <w:lang w:val="en-AU"/>
        </w:rPr>
        <w:t xml:space="preserve">The CSDP’S </w:t>
      </w:r>
      <w:r w:rsidR="006E3F4E" w:rsidRPr="00083FF6">
        <w:rPr>
          <w:b/>
          <w:bCs/>
          <w:lang w:val="en-AU"/>
        </w:rPr>
        <w:t xml:space="preserve">MILITARY AND CIVILIAN </w:t>
      </w:r>
      <w:r w:rsidRPr="00083FF6">
        <w:rPr>
          <w:b/>
          <w:bCs/>
          <w:lang w:val="en-AU"/>
        </w:rPr>
        <w:t>OPERATIONS</w:t>
      </w:r>
    </w:p>
    <w:p w14:paraId="660A5EB4" w14:textId="77777777" w:rsidR="00892A3A" w:rsidRPr="00083FF6" w:rsidRDefault="00892A3A" w:rsidP="00892A3A">
      <w:pPr>
        <w:rPr>
          <w:rStyle w:val="pagerange"/>
          <w:lang w:val="en-AU"/>
        </w:rPr>
      </w:pPr>
    </w:p>
    <w:p w14:paraId="2FE1B077" w14:textId="5A7D9C10" w:rsidR="003D3A91" w:rsidRDefault="003D3A91" w:rsidP="00892A3A">
      <w:pPr>
        <w:rPr>
          <w:rStyle w:val="pagerange"/>
          <w:lang w:val="en-AU"/>
        </w:rPr>
      </w:pPr>
      <w:r>
        <w:rPr>
          <w:rStyle w:val="pagerange"/>
          <w:lang w:val="en-AU"/>
        </w:rPr>
        <w:t>Petersberg Tasks</w:t>
      </w:r>
    </w:p>
    <w:p w14:paraId="089E18E8" w14:textId="77777777" w:rsidR="003D3A91" w:rsidRDefault="003D3A91" w:rsidP="00892A3A">
      <w:pPr>
        <w:rPr>
          <w:rStyle w:val="pagerange"/>
          <w:lang w:val="en-AU"/>
        </w:rPr>
      </w:pPr>
      <w:r>
        <w:rPr>
          <w:rStyle w:val="pagerange"/>
          <w:lang w:val="en-AU"/>
        </w:rPr>
        <w:t>Reformed Petersberg Tasks</w:t>
      </w:r>
      <w:r w:rsidR="00215500" w:rsidRPr="00083FF6">
        <w:rPr>
          <w:rStyle w:val="pagerange"/>
          <w:lang w:val="en-AU"/>
        </w:rPr>
        <w:t xml:space="preserve"> </w:t>
      </w:r>
    </w:p>
    <w:p w14:paraId="37E272CA" w14:textId="77777777" w:rsidR="003D3A91" w:rsidRDefault="003D3A91" w:rsidP="00892A3A">
      <w:pPr>
        <w:rPr>
          <w:lang w:val="en-AU"/>
        </w:rPr>
      </w:pPr>
      <w:r>
        <w:rPr>
          <w:lang w:val="en-AU"/>
        </w:rPr>
        <w:t>ERRF</w:t>
      </w:r>
      <w:r w:rsidR="00215500" w:rsidRPr="00083FF6">
        <w:rPr>
          <w:lang w:val="en-AU"/>
        </w:rPr>
        <w:t xml:space="preserve"> </w:t>
      </w:r>
    </w:p>
    <w:p w14:paraId="06E1FC51" w14:textId="77777777" w:rsidR="003D3A91" w:rsidRDefault="003D3A91" w:rsidP="00892A3A">
      <w:pPr>
        <w:rPr>
          <w:lang w:val="en-AU"/>
        </w:rPr>
      </w:pPr>
      <w:r>
        <w:rPr>
          <w:lang w:val="en-AU"/>
        </w:rPr>
        <w:t>EUROFOR</w:t>
      </w:r>
      <w:r w:rsidR="00D76CBC" w:rsidRPr="00083FF6">
        <w:rPr>
          <w:lang w:val="en-AU"/>
        </w:rPr>
        <w:t xml:space="preserve"> </w:t>
      </w:r>
    </w:p>
    <w:p w14:paraId="1590EA3E" w14:textId="055FE898" w:rsidR="003D3A91" w:rsidRDefault="003D3A91" w:rsidP="00892A3A">
      <w:pPr>
        <w:rPr>
          <w:lang w:val="en-AU"/>
        </w:rPr>
      </w:pPr>
      <w:r>
        <w:rPr>
          <w:lang w:val="en-AU"/>
        </w:rPr>
        <w:t>‘</w:t>
      </w:r>
      <w:r w:rsidR="00E753B8">
        <w:rPr>
          <w:lang w:val="en-AU"/>
        </w:rPr>
        <w:t>S</w:t>
      </w:r>
      <w:r>
        <w:rPr>
          <w:lang w:val="en-AU"/>
        </w:rPr>
        <w:t>econd generation’ operations</w:t>
      </w:r>
    </w:p>
    <w:p w14:paraId="37E8CA6E" w14:textId="5A854E40" w:rsidR="003D3A91" w:rsidRDefault="00215500" w:rsidP="00892A3A">
      <w:pPr>
        <w:rPr>
          <w:lang w:val="en-AU"/>
        </w:rPr>
      </w:pPr>
      <w:r w:rsidRPr="00083FF6">
        <w:rPr>
          <w:lang w:val="en-AU"/>
        </w:rPr>
        <w:t>Berlin Plus</w:t>
      </w:r>
    </w:p>
    <w:p w14:paraId="483786B2" w14:textId="7C4ABEC4" w:rsidR="003D3A91" w:rsidRDefault="003D3A91" w:rsidP="00892A3A">
      <w:pPr>
        <w:rPr>
          <w:lang w:val="en-AU"/>
        </w:rPr>
      </w:pPr>
      <w:r>
        <w:rPr>
          <w:lang w:val="en-AU"/>
        </w:rPr>
        <w:t>European Union Military Staff</w:t>
      </w:r>
    </w:p>
    <w:p w14:paraId="0383F7EB" w14:textId="679857C7" w:rsidR="003D3A91" w:rsidRDefault="00D76CBC" w:rsidP="00892A3A">
      <w:pPr>
        <w:rPr>
          <w:lang w:val="en-AU"/>
        </w:rPr>
      </w:pPr>
      <w:r w:rsidRPr="00083FF6">
        <w:rPr>
          <w:lang w:val="en-AU"/>
        </w:rPr>
        <w:t>Military Planning a</w:t>
      </w:r>
      <w:r w:rsidR="003D3A91">
        <w:rPr>
          <w:lang w:val="en-AU"/>
        </w:rPr>
        <w:t>nd Conduct Capability</w:t>
      </w:r>
      <w:r w:rsidRPr="00083FF6">
        <w:rPr>
          <w:lang w:val="en-AU"/>
        </w:rPr>
        <w:t xml:space="preserve"> </w:t>
      </w:r>
    </w:p>
    <w:p w14:paraId="0E862752" w14:textId="0C3B981D" w:rsidR="003D3A91" w:rsidRDefault="003D3A91" w:rsidP="00892A3A">
      <w:pPr>
        <w:rPr>
          <w:lang w:val="en-AU"/>
        </w:rPr>
      </w:pPr>
      <w:r>
        <w:rPr>
          <w:lang w:val="en-AU"/>
        </w:rPr>
        <w:t>EU battlegroups</w:t>
      </w:r>
      <w:r w:rsidR="0063208F" w:rsidRPr="00083FF6">
        <w:rPr>
          <w:lang w:val="en-AU"/>
        </w:rPr>
        <w:t xml:space="preserve"> </w:t>
      </w:r>
    </w:p>
    <w:p w14:paraId="3639EEF5" w14:textId="6E29E470" w:rsidR="003D3A91" w:rsidRDefault="00D76CBC" w:rsidP="00892A3A">
      <w:pPr>
        <w:rPr>
          <w:lang w:val="en-AU"/>
        </w:rPr>
      </w:pPr>
      <w:r w:rsidRPr="00083FF6">
        <w:rPr>
          <w:lang w:val="en-AU"/>
        </w:rPr>
        <w:t>Civilian P</w:t>
      </w:r>
      <w:r w:rsidR="003D3A91">
        <w:rPr>
          <w:lang w:val="en-AU"/>
        </w:rPr>
        <w:t>lanning and Conduct Capability</w:t>
      </w:r>
    </w:p>
    <w:p w14:paraId="36E00CB6" w14:textId="67910F15" w:rsidR="00D3106F" w:rsidRPr="00083FF6" w:rsidRDefault="00D76CBC" w:rsidP="00892A3A">
      <w:pPr>
        <w:rPr>
          <w:rStyle w:val="pagerange"/>
          <w:lang w:val="en-AU"/>
        </w:rPr>
      </w:pPr>
      <w:r w:rsidRPr="00083FF6">
        <w:rPr>
          <w:lang w:val="en-AU"/>
        </w:rPr>
        <w:t xml:space="preserve">Athena mechanism </w:t>
      </w:r>
    </w:p>
    <w:p w14:paraId="4C547C7B" w14:textId="77777777" w:rsidR="00D3106F" w:rsidRPr="006A1F39" w:rsidRDefault="00D3106F" w:rsidP="00892A3A">
      <w:pPr>
        <w:rPr>
          <w:rStyle w:val="pagerange"/>
          <w:lang w:val="en-AU"/>
        </w:rPr>
      </w:pPr>
    </w:p>
    <w:p w14:paraId="603856C5" w14:textId="77777777" w:rsidR="00892A3A" w:rsidRPr="006A1F39" w:rsidRDefault="00892A3A" w:rsidP="00892A3A">
      <w:pPr>
        <w:rPr>
          <w:rStyle w:val="pagerange"/>
          <w:bCs/>
          <w:u w:val="single"/>
          <w:lang w:val="en-AU"/>
        </w:rPr>
      </w:pPr>
      <w:r w:rsidRPr="006A1F39">
        <w:rPr>
          <w:bCs/>
          <w:u w:val="single"/>
          <w:lang w:val="en-AU"/>
        </w:rPr>
        <w:t>Required:</w:t>
      </w:r>
    </w:p>
    <w:p w14:paraId="1B86A8E9" w14:textId="57F2C85F" w:rsidR="000D2AD3" w:rsidRDefault="000D2AD3" w:rsidP="00892A3A">
      <w:pPr>
        <w:pStyle w:val="ListParagraph"/>
        <w:numPr>
          <w:ilvl w:val="0"/>
          <w:numId w:val="20"/>
        </w:numPr>
        <w:rPr>
          <w:lang w:val="en-AU"/>
        </w:rPr>
      </w:pPr>
      <w:r>
        <w:rPr>
          <w:lang w:val="en-AU"/>
        </w:rPr>
        <w:t xml:space="preserve">Directorate General for External Policies, European Parliament, ‘CSDP Missions and Operations’, 2020, available at </w:t>
      </w:r>
      <w:hyperlink r:id="rId35" w:history="1">
        <w:r w:rsidRPr="00A729E2">
          <w:rPr>
            <w:rStyle w:val="Hyperlink"/>
            <w:lang w:val="en-AU"/>
          </w:rPr>
          <w:t>https://www.europarl.europa.eu/RegData/etudes/IDAN/2020/603481/EXPO_IDA(2020)603481_EN.pdf</w:t>
        </w:r>
      </w:hyperlink>
      <w:r>
        <w:rPr>
          <w:lang w:val="en-AU"/>
        </w:rPr>
        <w:t xml:space="preserve"> </w:t>
      </w:r>
    </w:p>
    <w:p w14:paraId="599832F7" w14:textId="40FB01D9" w:rsidR="00EB3CAD" w:rsidRDefault="00EB3CAD" w:rsidP="00892A3A">
      <w:pPr>
        <w:pStyle w:val="ListParagraph"/>
        <w:numPr>
          <w:ilvl w:val="0"/>
          <w:numId w:val="20"/>
        </w:numPr>
        <w:rPr>
          <w:lang w:val="en-AU"/>
        </w:rPr>
      </w:pPr>
      <w:r>
        <w:rPr>
          <w:lang w:val="en-AU"/>
        </w:rPr>
        <w:t xml:space="preserve">Claudia Major and Christian Moelling, ‘The EU’s Military Legacy. Over-institutionalised, under-equipped, and strategically divided’, in Daniel Fiott (ed.), </w:t>
      </w:r>
      <w:r>
        <w:rPr>
          <w:i/>
          <w:lang w:val="en-AU"/>
        </w:rPr>
        <w:t>The CSDP in 2020. The EU’s legacy and ambitions in Security and Defence</w:t>
      </w:r>
      <w:r>
        <w:rPr>
          <w:lang w:val="en-AU"/>
        </w:rPr>
        <w:t>, EU Institute for Security Studies</w:t>
      </w:r>
      <w:r>
        <w:rPr>
          <w:i/>
          <w:lang w:val="en-AU"/>
        </w:rPr>
        <w:t xml:space="preserve">, </w:t>
      </w:r>
      <w:r>
        <w:rPr>
          <w:lang w:val="en-AU"/>
        </w:rPr>
        <w:t xml:space="preserve">2020, pp. 38-49 available at </w:t>
      </w:r>
      <w:r w:rsidRPr="00F221A7">
        <w:rPr>
          <w:lang w:val="en-AU"/>
        </w:rPr>
        <w:t>https://www.iss.europa.eu/sites/default/files/EUISSFiles/CSDP%20in%202020_0.pdf</w:t>
      </w:r>
    </w:p>
    <w:p w14:paraId="44D2C222" w14:textId="5E11AB84" w:rsidR="00F221A7" w:rsidRDefault="00F221A7" w:rsidP="00892A3A">
      <w:pPr>
        <w:pStyle w:val="ListParagraph"/>
        <w:numPr>
          <w:ilvl w:val="0"/>
          <w:numId w:val="20"/>
        </w:numPr>
        <w:rPr>
          <w:lang w:val="en-AU"/>
        </w:rPr>
      </w:pPr>
      <w:r>
        <w:rPr>
          <w:lang w:val="en-AU"/>
        </w:rPr>
        <w:t xml:space="preserve">Daniel Fiott, ‘As you were? The EU as an evolving military actor’ in Daniel Fiott (ed.), </w:t>
      </w:r>
      <w:r>
        <w:rPr>
          <w:i/>
          <w:lang w:val="en-AU"/>
        </w:rPr>
        <w:t>The CSDP in 2020. The EU’s legacy and ambitions in Security and Defence</w:t>
      </w:r>
      <w:r>
        <w:rPr>
          <w:lang w:val="en-AU"/>
        </w:rPr>
        <w:t>, EU Institute for Security Studies</w:t>
      </w:r>
      <w:r>
        <w:rPr>
          <w:i/>
          <w:lang w:val="en-AU"/>
        </w:rPr>
        <w:t xml:space="preserve">, </w:t>
      </w:r>
      <w:r>
        <w:rPr>
          <w:lang w:val="en-AU"/>
        </w:rPr>
        <w:t xml:space="preserve">2020, pp.110-123, available at </w:t>
      </w:r>
      <w:r w:rsidRPr="00F221A7">
        <w:rPr>
          <w:lang w:val="en-AU"/>
        </w:rPr>
        <w:t>https://www.iss.europa.eu/sites/default/files/EUISSFiles/CSDP%20in%202020_0.pdf</w:t>
      </w:r>
      <w:r>
        <w:rPr>
          <w:lang w:val="en-AU"/>
        </w:rPr>
        <w:t xml:space="preserve"> </w:t>
      </w:r>
    </w:p>
    <w:p w14:paraId="6C65A678" w14:textId="5170C18D" w:rsidR="00892A3A" w:rsidRPr="006A1F39" w:rsidRDefault="00892A3A" w:rsidP="00892A3A">
      <w:pPr>
        <w:pStyle w:val="ListParagraph"/>
        <w:numPr>
          <w:ilvl w:val="0"/>
          <w:numId w:val="20"/>
        </w:numPr>
        <w:rPr>
          <w:rStyle w:val="pagerange"/>
          <w:lang w:val="en-AU"/>
        </w:rPr>
      </w:pPr>
      <w:r w:rsidRPr="006A1F39">
        <w:rPr>
          <w:lang w:val="en-AU"/>
        </w:rPr>
        <w:t>Niklas I. M. Nováky</w:t>
      </w:r>
      <w:r w:rsidRPr="006A1F39">
        <w:rPr>
          <w:rStyle w:val="hlfld-contribauthor"/>
          <w:lang w:val="en-AU"/>
        </w:rPr>
        <w:t xml:space="preserve">, </w:t>
      </w:r>
      <w:r w:rsidR="003D3A91">
        <w:rPr>
          <w:rStyle w:val="hlfld-contribauthor"/>
          <w:lang w:val="en-AU"/>
        </w:rPr>
        <w:t>‘</w:t>
      </w:r>
      <w:r w:rsidRPr="006A1F39">
        <w:rPr>
          <w:lang w:val="en-AU"/>
        </w:rPr>
        <w:t>The Credibility of European Union Military Operations’ Deterrence Postures</w:t>
      </w:r>
      <w:r w:rsidR="003D3A91">
        <w:rPr>
          <w:lang w:val="en-AU"/>
        </w:rPr>
        <w:t>’</w:t>
      </w:r>
      <w:r w:rsidRPr="006A1F39">
        <w:rPr>
          <w:rStyle w:val="hlfld-title"/>
          <w:lang w:val="en-AU"/>
        </w:rPr>
        <w:t xml:space="preserve">, </w:t>
      </w:r>
      <w:r w:rsidRPr="006A1F39">
        <w:rPr>
          <w:i/>
          <w:lang w:val="en-AU"/>
        </w:rPr>
        <w:t>International Peacekeeping</w:t>
      </w:r>
      <w:r w:rsidRPr="006A1F39">
        <w:rPr>
          <w:lang w:val="en-AU"/>
        </w:rPr>
        <w:t>,</w:t>
      </w:r>
      <w:r w:rsidR="003D3A91">
        <w:rPr>
          <w:lang w:val="en-AU"/>
        </w:rPr>
        <w:t xml:space="preserve"> 2018,</w:t>
      </w:r>
      <w:r w:rsidRPr="006A1F39">
        <w:rPr>
          <w:lang w:val="en-AU"/>
        </w:rPr>
        <w:t> 25</w:t>
      </w:r>
      <w:r w:rsidR="003D3A91">
        <w:rPr>
          <w:lang w:val="en-AU"/>
        </w:rPr>
        <w:t>:</w:t>
      </w:r>
      <w:r w:rsidRPr="006A1F39">
        <w:rPr>
          <w:lang w:val="en-AU"/>
        </w:rPr>
        <w:t xml:space="preserve"> 2, </w:t>
      </w:r>
      <w:r w:rsidR="003D3A91">
        <w:rPr>
          <w:lang w:val="en-AU"/>
        </w:rPr>
        <w:t>pp. 191-216</w:t>
      </w:r>
      <w:r w:rsidRPr="006A1F39">
        <w:rPr>
          <w:lang w:val="en-AU"/>
        </w:rPr>
        <w:t xml:space="preserve"> </w:t>
      </w:r>
    </w:p>
    <w:p w14:paraId="32EADE25" w14:textId="220E5715" w:rsidR="00892A3A" w:rsidRPr="006A1F39" w:rsidRDefault="00892A3A" w:rsidP="00892A3A">
      <w:pPr>
        <w:pStyle w:val="ListParagraph"/>
        <w:numPr>
          <w:ilvl w:val="0"/>
          <w:numId w:val="20"/>
        </w:numPr>
        <w:rPr>
          <w:lang w:val="en-AU"/>
        </w:rPr>
      </w:pPr>
      <w:r w:rsidRPr="006A1F39">
        <w:rPr>
          <w:lang w:val="en-AU"/>
        </w:rPr>
        <w:t>Luis Simón</w:t>
      </w:r>
      <w:r w:rsidRPr="006A1F39">
        <w:rPr>
          <w:rStyle w:val="hlfld-contribauthor"/>
          <w:lang w:val="en-AU"/>
        </w:rPr>
        <w:t xml:space="preserve">, </w:t>
      </w:r>
      <w:r w:rsidR="003D3A91">
        <w:rPr>
          <w:rStyle w:val="hlfld-contribauthor"/>
          <w:lang w:val="en-AU"/>
        </w:rPr>
        <w:t>‘</w:t>
      </w:r>
      <w:r w:rsidRPr="006A1F39">
        <w:rPr>
          <w:rStyle w:val="hlfld-contribauthor"/>
          <w:lang w:val="en-AU"/>
        </w:rPr>
        <w:t xml:space="preserve">CSDP, </w:t>
      </w:r>
      <w:r w:rsidRPr="006A1F39">
        <w:rPr>
          <w:lang w:val="en-AU"/>
        </w:rPr>
        <w:t>Strategy</w:t>
      </w:r>
      <w:r w:rsidR="003D3A91">
        <w:rPr>
          <w:lang w:val="en-AU"/>
        </w:rPr>
        <w:t>,</w:t>
      </w:r>
      <w:r w:rsidRPr="006A1F39">
        <w:rPr>
          <w:lang w:val="en-AU"/>
        </w:rPr>
        <w:t xml:space="preserve"> and Crisis Management: Out of Area or Out of Business?</w:t>
      </w:r>
      <w:r w:rsidR="003D3A91">
        <w:rPr>
          <w:lang w:val="en-AU"/>
        </w:rPr>
        <w:t>’</w:t>
      </w:r>
      <w:r w:rsidRPr="006A1F39">
        <w:rPr>
          <w:rStyle w:val="hlfld-title"/>
          <w:lang w:val="en-AU"/>
        </w:rPr>
        <w:t>,</w:t>
      </w:r>
    </w:p>
    <w:p w14:paraId="7758FE2B" w14:textId="01FF9523" w:rsidR="00892A3A" w:rsidRDefault="00892A3A" w:rsidP="00892A3A">
      <w:pPr>
        <w:shd w:val="clear" w:color="auto" w:fill="FFFFFF"/>
        <w:ind w:firstLine="720"/>
        <w:rPr>
          <w:lang w:val="en-AU"/>
        </w:rPr>
      </w:pPr>
      <w:r w:rsidRPr="006A1F39">
        <w:rPr>
          <w:i/>
          <w:lang w:val="en-AU"/>
        </w:rPr>
        <w:t>The International Spectator</w:t>
      </w:r>
      <w:r w:rsidRPr="006A1F39">
        <w:rPr>
          <w:lang w:val="en-AU"/>
        </w:rPr>
        <w:t>, </w:t>
      </w:r>
      <w:r w:rsidR="003D3A91">
        <w:rPr>
          <w:lang w:val="en-AU"/>
        </w:rPr>
        <w:t xml:space="preserve">2012, </w:t>
      </w:r>
      <w:r w:rsidRPr="006A1F39">
        <w:rPr>
          <w:lang w:val="en-AU"/>
        </w:rPr>
        <w:t>47</w:t>
      </w:r>
      <w:r w:rsidR="003D3A91">
        <w:rPr>
          <w:lang w:val="en-AU"/>
        </w:rPr>
        <w:t>:3, pp. 100-115</w:t>
      </w:r>
    </w:p>
    <w:p w14:paraId="7BC72993" w14:textId="3A997D4E" w:rsidR="00E753B8" w:rsidRPr="00E753B8" w:rsidRDefault="00E753B8" w:rsidP="00E753B8">
      <w:pPr>
        <w:pStyle w:val="ListParagraph"/>
        <w:numPr>
          <w:ilvl w:val="0"/>
          <w:numId w:val="30"/>
        </w:numPr>
        <w:shd w:val="clear" w:color="auto" w:fill="FFFFFF"/>
        <w:rPr>
          <w:lang w:val="en-AU"/>
        </w:rPr>
      </w:pPr>
      <w:r w:rsidRPr="002117DC">
        <w:rPr>
          <w:lang w:val="en-AU"/>
        </w:rPr>
        <w:t xml:space="preserve">Daniel Fiott and Marco Zeiss, </w:t>
      </w:r>
      <w:r>
        <w:rPr>
          <w:lang w:val="en-AU"/>
        </w:rPr>
        <w:t>‘Crisis Management’</w:t>
      </w:r>
      <w:r w:rsidRPr="007F3470">
        <w:rPr>
          <w:lang w:val="en-AU"/>
        </w:rPr>
        <w:t xml:space="preserve">, </w:t>
      </w:r>
      <w:r w:rsidRPr="007F3470">
        <w:rPr>
          <w:i/>
          <w:lang w:val="en-AU"/>
        </w:rPr>
        <w:t>Yearbook of European Security</w:t>
      </w:r>
      <w:r w:rsidRPr="007F3470">
        <w:rPr>
          <w:lang w:val="en-AU"/>
        </w:rPr>
        <w:t>, 2021, pp.</w:t>
      </w:r>
      <w:r>
        <w:rPr>
          <w:lang w:val="en-AU"/>
        </w:rPr>
        <w:t xml:space="preserve"> 150-160</w:t>
      </w:r>
      <w:r w:rsidRPr="007F3470">
        <w:rPr>
          <w:lang w:val="en-AU"/>
        </w:rPr>
        <w:t>, available at https://www.iss.europa.eu/sites/default/files/EUISSFiles</w:t>
      </w:r>
      <w:r w:rsidRPr="00290454">
        <w:rPr>
          <w:lang w:val="en-AU"/>
        </w:rPr>
        <w:t>/YES_2021.pdf</w:t>
      </w:r>
    </w:p>
    <w:p w14:paraId="655E9CB2" w14:textId="77777777" w:rsidR="00892A3A" w:rsidRPr="006A1F39" w:rsidRDefault="00892A3A" w:rsidP="00892A3A">
      <w:pPr>
        <w:shd w:val="clear" w:color="auto" w:fill="FFFFFF"/>
        <w:rPr>
          <w:lang w:val="en-AU"/>
        </w:rPr>
      </w:pPr>
    </w:p>
    <w:p w14:paraId="79AE44EF" w14:textId="4AE72FE6" w:rsidR="00892A3A" w:rsidRPr="00AA18D3" w:rsidRDefault="00892A3A" w:rsidP="002E5631">
      <w:pPr>
        <w:shd w:val="clear" w:color="auto" w:fill="FFFFFF"/>
        <w:rPr>
          <w:lang w:val="en-AU"/>
        </w:rPr>
      </w:pPr>
      <w:r w:rsidRPr="00AA18D3">
        <w:rPr>
          <w:lang w:val="en-AU"/>
        </w:rPr>
        <w:t>Option</w:t>
      </w:r>
      <w:r w:rsidR="00F43F06">
        <w:rPr>
          <w:lang w:val="en-AU"/>
        </w:rPr>
        <w:t>al</w:t>
      </w:r>
      <w:r w:rsidRPr="00AA18D3">
        <w:rPr>
          <w:lang w:val="en-AU"/>
        </w:rPr>
        <w:t>:</w:t>
      </w:r>
    </w:p>
    <w:p w14:paraId="315D253F" w14:textId="77777777" w:rsidR="00201C58" w:rsidRPr="00201C58" w:rsidRDefault="00201C58" w:rsidP="00201C58">
      <w:pPr>
        <w:rPr>
          <w:lang w:val="en-AU"/>
        </w:rPr>
      </w:pPr>
    </w:p>
    <w:p w14:paraId="5D6ABD86" w14:textId="77777777" w:rsidR="00201C58" w:rsidRDefault="00201C58" w:rsidP="00201C58">
      <w:pPr>
        <w:pStyle w:val="ListParagraph"/>
        <w:numPr>
          <w:ilvl w:val="0"/>
          <w:numId w:val="20"/>
        </w:numPr>
        <w:rPr>
          <w:lang w:val="en-AU"/>
        </w:rPr>
      </w:pPr>
      <w:r>
        <w:rPr>
          <w:lang w:val="en-AU"/>
        </w:rPr>
        <w:t xml:space="preserve">Ulrich Krotz &amp; Katerina Wright, ‘CSDP Military Operations’, in Hugo Meijer and Marco Wyss eds, </w:t>
      </w:r>
      <w:r>
        <w:rPr>
          <w:i/>
          <w:lang w:val="en-AU"/>
        </w:rPr>
        <w:t>The Handbook of European Defence Policies and Armed Forces</w:t>
      </w:r>
      <w:r>
        <w:rPr>
          <w:lang w:val="en-AU"/>
        </w:rPr>
        <w:t xml:space="preserve"> (OUP 2018), pp. 870-887</w:t>
      </w:r>
    </w:p>
    <w:p w14:paraId="2D9770B9" w14:textId="1C3D10A8" w:rsidR="00892A3A" w:rsidRPr="006A1F39" w:rsidRDefault="00892A3A" w:rsidP="00892A3A">
      <w:pPr>
        <w:pStyle w:val="ListParagraph"/>
        <w:numPr>
          <w:ilvl w:val="0"/>
          <w:numId w:val="20"/>
        </w:numPr>
        <w:rPr>
          <w:lang w:val="en-AU"/>
        </w:rPr>
      </w:pPr>
      <w:r w:rsidRPr="006A1F39">
        <w:rPr>
          <w:lang w:val="en-AU"/>
        </w:rPr>
        <w:t>Kateryna Zarembo</w:t>
      </w:r>
      <w:r w:rsidRPr="006A1F39">
        <w:rPr>
          <w:rStyle w:val="Hyperlink"/>
          <w:color w:val="auto"/>
          <w:u w:val="none"/>
          <w:lang w:val="en-AU"/>
        </w:rPr>
        <w:t xml:space="preserve">, </w:t>
      </w:r>
      <w:r w:rsidR="003D3A91">
        <w:rPr>
          <w:rStyle w:val="Hyperlink"/>
          <w:color w:val="auto"/>
          <w:u w:val="none"/>
          <w:lang w:val="en-AU"/>
        </w:rPr>
        <w:t>‘</w:t>
      </w:r>
      <w:r w:rsidRPr="006A1F39">
        <w:rPr>
          <w:lang w:val="en-AU"/>
        </w:rPr>
        <w:t>Perceptions of CSDP effectiveness in Ukraine: a host state perspective</w:t>
      </w:r>
      <w:r w:rsidR="003D3A91">
        <w:rPr>
          <w:lang w:val="en-AU"/>
        </w:rPr>
        <w:t>’</w:t>
      </w:r>
      <w:r w:rsidRPr="006A1F39">
        <w:rPr>
          <w:rStyle w:val="Hyperlink"/>
          <w:color w:val="auto"/>
          <w:u w:val="none"/>
          <w:lang w:val="en-AU"/>
        </w:rPr>
        <w:t xml:space="preserve">, </w:t>
      </w:r>
      <w:r w:rsidRPr="006A1F39">
        <w:rPr>
          <w:i/>
          <w:lang w:val="en-AU"/>
        </w:rPr>
        <w:t>European Security</w:t>
      </w:r>
      <w:r w:rsidRPr="006A1F39">
        <w:rPr>
          <w:lang w:val="en-AU"/>
        </w:rPr>
        <w:t>, </w:t>
      </w:r>
      <w:r w:rsidR="003D3A91">
        <w:rPr>
          <w:lang w:val="en-AU"/>
        </w:rPr>
        <w:t>2017, 26:2, 190-206</w:t>
      </w:r>
    </w:p>
    <w:p w14:paraId="25CC3244" w14:textId="4EE992CB" w:rsidR="00892A3A" w:rsidRPr="006A1F39" w:rsidRDefault="00892A3A" w:rsidP="00892A3A">
      <w:pPr>
        <w:pStyle w:val="ListParagraph"/>
        <w:numPr>
          <w:ilvl w:val="0"/>
          <w:numId w:val="20"/>
        </w:numPr>
        <w:rPr>
          <w:lang w:val="en-AU"/>
        </w:rPr>
      </w:pPr>
      <w:r w:rsidRPr="006A1F39">
        <w:rPr>
          <w:lang w:val="en-AU"/>
        </w:rPr>
        <w:t>Emma Skeppström, Cecilia Hull Wiklund &amp; Michael Jonsson</w:t>
      </w:r>
      <w:r w:rsidRPr="006A1F39">
        <w:rPr>
          <w:rStyle w:val="hlfld-contribauthor"/>
          <w:lang w:val="en-AU"/>
        </w:rPr>
        <w:t xml:space="preserve">, </w:t>
      </w:r>
      <w:r w:rsidR="003D3A91">
        <w:rPr>
          <w:rStyle w:val="hlfld-contribauthor"/>
          <w:lang w:val="en-AU"/>
        </w:rPr>
        <w:t>‘</w:t>
      </w:r>
      <w:r w:rsidRPr="006A1F39">
        <w:rPr>
          <w:lang w:val="en-AU"/>
        </w:rPr>
        <w:t>European Union Training Missions: security sector reform or counter-insurgency by proxy?</w:t>
      </w:r>
      <w:r w:rsidR="003D3A91">
        <w:rPr>
          <w:lang w:val="en-AU"/>
        </w:rPr>
        <w:t>’</w:t>
      </w:r>
      <w:r w:rsidRPr="006A1F39">
        <w:rPr>
          <w:rStyle w:val="hlfld-title"/>
          <w:lang w:val="en-AU"/>
        </w:rPr>
        <w:t xml:space="preserve">, </w:t>
      </w:r>
      <w:r w:rsidRPr="006A1F39">
        <w:rPr>
          <w:i/>
          <w:lang w:val="en-AU"/>
        </w:rPr>
        <w:t>European Security</w:t>
      </w:r>
      <w:r w:rsidRPr="006A1F39">
        <w:rPr>
          <w:lang w:val="en-AU"/>
        </w:rPr>
        <w:t>, </w:t>
      </w:r>
      <w:r w:rsidR="003D3A91">
        <w:rPr>
          <w:lang w:val="en-AU"/>
        </w:rPr>
        <w:t>2015, 24:2, pp. 353-367</w:t>
      </w:r>
    </w:p>
    <w:p w14:paraId="25B11201" w14:textId="05FBE85D" w:rsidR="00892A3A" w:rsidRDefault="00892A3A" w:rsidP="00892A3A">
      <w:pPr>
        <w:pStyle w:val="ListParagraph"/>
        <w:numPr>
          <w:ilvl w:val="0"/>
          <w:numId w:val="20"/>
        </w:numPr>
        <w:rPr>
          <w:lang w:val="en-AU"/>
        </w:rPr>
      </w:pPr>
      <w:r w:rsidRPr="006A1F39">
        <w:rPr>
          <w:lang w:val="en-AU"/>
        </w:rPr>
        <w:t>Fabien Terpan</w:t>
      </w:r>
      <w:r w:rsidRPr="006A1F39">
        <w:rPr>
          <w:rStyle w:val="hlfld-contribauthor"/>
          <w:lang w:val="en-AU"/>
        </w:rPr>
        <w:t xml:space="preserve">, </w:t>
      </w:r>
      <w:r w:rsidR="003D3A91">
        <w:rPr>
          <w:rStyle w:val="hlfld-contribauthor"/>
          <w:lang w:val="en-AU"/>
        </w:rPr>
        <w:t>‘</w:t>
      </w:r>
      <w:r w:rsidRPr="006A1F39">
        <w:rPr>
          <w:lang w:val="en-AU"/>
        </w:rPr>
        <w:t>Financing Common Security and Defence Policy operations: explaining change and inertia in a fragmented and flexible structure</w:t>
      </w:r>
      <w:r w:rsidR="003D3A91">
        <w:rPr>
          <w:lang w:val="en-AU"/>
        </w:rPr>
        <w:t>’</w:t>
      </w:r>
      <w:r w:rsidRPr="006A1F39">
        <w:rPr>
          <w:rStyle w:val="Hyperlink"/>
          <w:color w:val="auto"/>
          <w:u w:val="none"/>
          <w:lang w:val="en-AU"/>
        </w:rPr>
        <w:t xml:space="preserve">, </w:t>
      </w:r>
      <w:r w:rsidRPr="006A1F39">
        <w:rPr>
          <w:i/>
          <w:lang w:val="en-AU"/>
        </w:rPr>
        <w:t>European Security</w:t>
      </w:r>
      <w:r w:rsidRPr="006A1F39">
        <w:rPr>
          <w:lang w:val="en-AU"/>
        </w:rPr>
        <w:t>, </w:t>
      </w:r>
      <w:r w:rsidR="003D3A91">
        <w:rPr>
          <w:lang w:val="en-AU"/>
        </w:rPr>
        <w:t xml:space="preserve">2015, </w:t>
      </w:r>
      <w:r w:rsidRPr="006A1F39">
        <w:rPr>
          <w:lang w:val="en-AU"/>
        </w:rPr>
        <w:t>24</w:t>
      </w:r>
      <w:r w:rsidR="003D3A91">
        <w:rPr>
          <w:lang w:val="en-AU"/>
        </w:rPr>
        <w:t>:</w:t>
      </w:r>
      <w:r w:rsidRPr="006A1F39">
        <w:rPr>
          <w:lang w:val="en-AU"/>
        </w:rPr>
        <w:t xml:space="preserve"> 2, </w:t>
      </w:r>
      <w:r w:rsidR="003D3A91">
        <w:rPr>
          <w:lang w:val="en-AU"/>
        </w:rPr>
        <w:t>pp. 221-263</w:t>
      </w:r>
    </w:p>
    <w:p w14:paraId="2D6B6F24" w14:textId="77777777" w:rsidR="000D2AD3" w:rsidRPr="006A1F39" w:rsidRDefault="000D2AD3" w:rsidP="000D2AD3">
      <w:pPr>
        <w:pStyle w:val="ListParagraph"/>
        <w:numPr>
          <w:ilvl w:val="0"/>
          <w:numId w:val="20"/>
        </w:numPr>
        <w:rPr>
          <w:lang w:val="en-AU"/>
        </w:rPr>
      </w:pPr>
      <w:r w:rsidRPr="006A1F39">
        <w:rPr>
          <w:lang w:val="en-AU"/>
        </w:rPr>
        <w:t>Michael E. Smith</w:t>
      </w:r>
      <w:r w:rsidRPr="006A1F39">
        <w:rPr>
          <w:rStyle w:val="hlfld-contribauthor"/>
          <w:lang w:val="en-AU"/>
        </w:rPr>
        <w:t xml:space="preserve">, </w:t>
      </w:r>
      <w:r>
        <w:rPr>
          <w:rStyle w:val="hlfld-contribauthor"/>
          <w:lang w:val="en-AU"/>
        </w:rPr>
        <w:t>‘</w:t>
      </w:r>
      <w:r w:rsidRPr="006A1F39">
        <w:rPr>
          <w:lang w:val="en-AU"/>
        </w:rPr>
        <w:t>Learning in European Union peacebuilding: rhetoric and reality</w:t>
      </w:r>
      <w:r>
        <w:rPr>
          <w:lang w:val="en-AU"/>
        </w:rPr>
        <w:t>’</w:t>
      </w:r>
    </w:p>
    <w:p w14:paraId="0D9370C4" w14:textId="77777777" w:rsidR="000D2AD3" w:rsidRDefault="000D2AD3" w:rsidP="000D2AD3">
      <w:pPr>
        <w:shd w:val="clear" w:color="auto" w:fill="FFFFFF"/>
        <w:ind w:firstLine="720"/>
        <w:rPr>
          <w:lang w:val="en-AU"/>
        </w:rPr>
      </w:pPr>
      <w:r w:rsidRPr="006A1F39">
        <w:rPr>
          <w:i/>
          <w:lang w:val="en-AU"/>
        </w:rPr>
        <w:t>Global Affairs</w:t>
      </w:r>
      <w:r w:rsidRPr="006A1F39">
        <w:rPr>
          <w:lang w:val="en-AU"/>
        </w:rPr>
        <w:t>, 2018</w:t>
      </w:r>
      <w:r>
        <w:rPr>
          <w:lang w:val="en-AU"/>
        </w:rPr>
        <w:t>, 4: 2-3, pp. 215-225</w:t>
      </w:r>
      <w:r w:rsidRPr="006A1F39">
        <w:rPr>
          <w:lang w:val="en-AU"/>
        </w:rPr>
        <w:t xml:space="preserve"> </w:t>
      </w:r>
    </w:p>
    <w:p w14:paraId="2EAC2669" w14:textId="77777777" w:rsidR="005841A5" w:rsidRPr="006A1F39" w:rsidRDefault="00A5642D" w:rsidP="005841A5">
      <w:pPr>
        <w:pStyle w:val="ListParagraph"/>
        <w:numPr>
          <w:ilvl w:val="0"/>
          <w:numId w:val="20"/>
        </w:numPr>
        <w:rPr>
          <w:lang w:val="en-AU"/>
        </w:rPr>
      </w:pPr>
      <w:hyperlink r:id="rId36" w:history="1">
        <w:r w:rsidR="005841A5" w:rsidRPr="006A1F39">
          <w:rPr>
            <w:rStyle w:val="Hyperlink"/>
            <w:color w:val="auto"/>
            <w:u w:val="none"/>
            <w:lang w:val="en-AU"/>
          </w:rPr>
          <w:t>Benjamin Pohl</w:t>
        </w:r>
      </w:hyperlink>
      <w:r w:rsidR="005841A5" w:rsidRPr="006A1F39">
        <w:rPr>
          <w:rStyle w:val="hlfld-title"/>
          <w:lang w:val="en-AU"/>
        </w:rPr>
        <w:t xml:space="preserve">, </w:t>
      </w:r>
      <w:r w:rsidR="005841A5">
        <w:rPr>
          <w:rStyle w:val="hlfld-title"/>
          <w:lang w:val="en-AU"/>
        </w:rPr>
        <w:t>‘</w:t>
      </w:r>
      <w:r w:rsidR="005841A5" w:rsidRPr="006A1F39">
        <w:rPr>
          <w:lang w:val="en-AU"/>
        </w:rPr>
        <w:t>The logic underpinning EU crisis management operations</w:t>
      </w:r>
      <w:r w:rsidR="005841A5">
        <w:rPr>
          <w:lang w:val="en-AU"/>
        </w:rPr>
        <w:t>’</w:t>
      </w:r>
      <w:r w:rsidR="005841A5" w:rsidRPr="006A1F39">
        <w:rPr>
          <w:lang w:val="en-AU"/>
        </w:rPr>
        <w:t>,</w:t>
      </w:r>
    </w:p>
    <w:p w14:paraId="1D4A48DD" w14:textId="77777777" w:rsidR="005841A5" w:rsidRPr="006A1F39" w:rsidRDefault="005841A5" w:rsidP="005841A5">
      <w:pPr>
        <w:shd w:val="clear" w:color="auto" w:fill="FFFFFF"/>
        <w:ind w:firstLine="720"/>
        <w:rPr>
          <w:rStyle w:val="pagerange"/>
          <w:lang w:val="en-AU"/>
        </w:rPr>
      </w:pPr>
      <w:r w:rsidRPr="006A1F39">
        <w:rPr>
          <w:i/>
          <w:lang w:val="en-AU"/>
        </w:rPr>
        <w:t>European Security</w:t>
      </w:r>
      <w:r w:rsidRPr="006A1F39">
        <w:rPr>
          <w:lang w:val="en-AU"/>
        </w:rPr>
        <w:t>, </w:t>
      </w:r>
      <w:r>
        <w:rPr>
          <w:lang w:val="en-AU"/>
        </w:rPr>
        <w:t xml:space="preserve">2013, </w:t>
      </w:r>
      <w:r>
        <w:t xml:space="preserve">22:3, </w:t>
      </w:r>
      <w:r>
        <w:rPr>
          <w:rStyle w:val="Hyperlink"/>
          <w:color w:val="auto"/>
          <w:u w:val="none"/>
          <w:lang w:val="en-AU"/>
        </w:rPr>
        <w:t>pp. 307-325</w:t>
      </w:r>
    </w:p>
    <w:p w14:paraId="45D9FB09" w14:textId="77777777" w:rsidR="005841A5" w:rsidRPr="006A1F39" w:rsidRDefault="005841A5" w:rsidP="005841A5">
      <w:pPr>
        <w:pStyle w:val="ListParagraph"/>
        <w:numPr>
          <w:ilvl w:val="0"/>
          <w:numId w:val="20"/>
        </w:numPr>
        <w:rPr>
          <w:rStyle w:val="pagerange"/>
          <w:lang w:val="en-AU"/>
        </w:rPr>
      </w:pPr>
      <w:r w:rsidRPr="006A1F39">
        <w:rPr>
          <w:rStyle w:val="pagerange"/>
          <w:lang w:val="en-AU"/>
        </w:rPr>
        <w:t xml:space="preserve">Jochen Rehrl (ed.), </w:t>
      </w:r>
      <w:r w:rsidRPr="006A1F39">
        <w:rPr>
          <w:rStyle w:val="pagerange"/>
          <w:i/>
          <w:lang w:val="en-AU"/>
        </w:rPr>
        <w:t>Handbook on CSDP</w:t>
      </w:r>
      <w:r w:rsidRPr="006A1F39">
        <w:rPr>
          <w:rStyle w:val="pagerange"/>
          <w:lang w:val="en-AU"/>
        </w:rPr>
        <w:t>, pp. 78-97</w:t>
      </w:r>
    </w:p>
    <w:p w14:paraId="2E6D358D" w14:textId="77777777" w:rsidR="005841A5" w:rsidRPr="006A1F39" w:rsidRDefault="005841A5" w:rsidP="000D2AD3">
      <w:pPr>
        <w:shd w:val="clear" w:color="auto" w:fill="FFFFFF"/>
        <w:ind w:firstLine="720"/>
        <w:rPr>
          <w:lang w:val="en-AU"/>
        </w:rPr>
      </w:pPr>
    </w:p>
    <w:p w14:paraId="1BF1FC5E" w14:textId="77777777" w:rsidR="000D2AD3" w:rsidRPr="006A1F39" w:rsidRDefault="000D2AD3" w:rsidP="000D2AD3">
      <w:pPr>
        <w:pStyle w:val="ListParagraph"/>
        <w:rPr>
          <w:rStyle w:val="Hyperlink"/>
          <w:color w:val="auto"/>
          <w:u w:val="none"/>
          <w:lang w:val="en-AU"/>
        </w:rPr>
      </w:pPr>
    </w:p>
    <w:p w14:paraId="150C65CA" w14:textId="77777777" w:rsidR="00145F17" w:rsidRPr="00083FF6" w:rsidRDefault="00145F17" w:rsidP="00892A3A">
      <w:pPr>
        <w:rPr>
          <w:b/>
          <w:bCs/>
          <w:lang w:val="en-AU"/>
        </w:rPr>
      </w:pPr>
    </w:p>
    <w:p w14:paraId="17A9BD6B" w14:textId="39D2518C" w:rsidR="00892A3A" w:rsidRDefault="00892A3A" w:rsidP="00892A3A">
      <w:pPr>
        <w:rPr>
          <w:b/>
          <w:bCs/>
          <w:lang w:val="en-AU"/>
        </w:rPr>
      </w:pPr>
      <w:r w:rsidRPr="00083FF6">
        <w:rPr>
          <w:b/>
          <w:bCs/>
          <w:lang w:val="en-AU"/>
        </w:rPr>
        <w:t xml:space="preserve">Session </w:t>
      </w:r>
      <w:r w:rsidR="00E921D2" w:rsidRPr="00083FF6">
        <w:rPr>
          <w:b/>
          <w:bCs/>
          <w:lang w:val="en-AU"/>
        </w:rPr>
        <w:t>9</w:t>
      </w:r>
      <w:r w:rsidR="00D76CBC" w:rsidRPr="00083FF6">
        <w:rPr>
          <w:b/>
          <w:bCs/>
          <w:lang w:val="en-AU"/>
        </w:rPr>
        <w:t>:</w:t>
      </w:r>
      <w:r w:rsidR="00E921D2" w:rsidRPr="00083FF6">
        <w:rPr>
          <w:b/>
          <w:bCs/>
          <w:lang w:val="en-AU"/>
        </w:rPr>
        <w:t xml:space="preserve"> </w:t>
      </w:r>
      <w:r w:rsidR="007042E2" w:rsidRPr="00083FF6">
        <w:rPr>
          <w:b/>
          <w:bCs/>
          <w:lang w:val="en-AU"/>
        </w:rPr>
        <w:t>Tuesday, 15</w:t>
      </w:r>
      <w:r w:rsidR="00AF13E2" w:rsidRPr="00083FF6">
        <w:rPr>
          <w:b/>
          <w:bCs/>
          <w:lang w:val="en-AU"/>
        </w:rPr>
        <w:t xml:space="preserve"> March</w:t>
      </w:r>
      <w:r w:rsidRPr="00083FF6">
        <w:rPr>
          <w:b/>
          <w:bCs/>
          <w:lang w:val="en-AU"/>
        </w:rPr>
        <w:t xml:space="preserve"> </w:t>
      </w:r>
    </w:p>
    <w:p w14:paraId="22255D0E" w14:textId="77777777" w:rsidR="00F43F06" w:rsidRPr="00083FF6" w:rsidRDefault="00F43F06" w:rsidP="00892A3A">
      <w:pPr>
        <w:rPr>
          <w:b/>
          <w:bCs/>
          <w:lang w:val="en-AU"/>
        </w:rPr>
      </w:pPr>
    </w:p>
    <w:p w14:paraId="65D46CD6" w14:textId="77777777" w:rsidR="00892A3A" w:rsidRPr="00083FF6" w:rsidRDefault="007453A3" w:rsidP="007453A3">
      <w:pPr>
        <w:rPr>
          <w:b/>
          <w:bCs/>
          <w:lang w:val="en-AU"/>
        </w:rPr>
      </w:pPr>
      <w:r w:rsidRPr="00083FF6">
        <w:rPr>
          <w:b/>
          <w:bCs/>
          <w:lang w:val="en-AU"/>
        </w:rPr>
        <w:t>THE MEDITERRANEAN, MIGRATION, AND TERRORISM</w:t>
      </w:r>
    </w:p>
    <w:p w14:paraId="21604C13" w14:textId="77777777" w:rsidR="00F8769C" w:rsidRPr="00083FF6" w:rsidRDefault="00F8769C" w:rsidP="002E5631">
      <w:pPr>
        <w:rPr>
          <w:bCs/>
          <w:u w:val="single"/>
          <w:lang w:val="en-AU"/>
        </w:rPr>
      </w:pPr>
    </w:p>
    <w:p w14:paraId="25129F56" w14:textId="77777777" w:rsidR="00E30FF3" w:rsidRDefault="00215500" w:rsidP="002E5631">
      <w:pPr>
        <w:rPr>
          <w:bCs/>
          <w:lang w:val="en-AU"/>
        </w:rPr>
      </w:pPr>
      <w:r w:rsidRPr="00083FF6">
        <w:rPr>
          <w:lang w:val="en-AU"/>
        </w:rPr>
        <w:t>Barcelona Process</w:t>
      </w:r>
      <w:r w:rsidRPr="00083FF6">
        <w:rPr>
          <w:bCs/>
          <w:lang w:val="en-AU"/>
        </w:rPr>
        <w:t xml:space="preserve">, </w:t>
      </w:r>
    </w:p>
    <w:p w14:paraId="3CC50D7D" w14:textId="77777777" w:rsidR="00E30FF3" w:rsidRDefault="006043B5" w:rsidP="002E5631">
      <w:pPr>
        <w:rPr>
          <w:bCs/>
          <w:lang w:val="en-AU"/>
        </w:rPr>
      </w:pPr>
      <w:r w:rsidRPr="00083FF6">
        <w:rPr>
          <w:bCs/>
          <w:lang w:val="en-AU"/>
        </w:rPr>
        <w:t xml:space="preserve">Union for the Mediterranean, </w:t>
      </w:r>
    </w:p>
    <w:p w14:paraId="09FADF0E" w14:textId="77777777" w:rsidR="00E30FF3" w:rsidRDefault="00215500" w:rsidP="002E5631">
      <w:pPr>
        <w:rPr>
          <w:lang w:val="en-AU"/>
        </w:rPr>
      </w:pPr>
      <w:r w:rsidRPr="00083FF6">
        <w:rPr>
          <w:lang w:val="en-AU"/>
        </w:rPr>
        <w:t xml:space="preserve">EUTM Somalia, </w:t>
      </w:r>
    </w:p>
    <w:p w14:paraId="0FF65285" w14:textId="77777777" w:rsidR="00E30FF3" w:rsidRDefault="00215500" w:rsidP="002E5631">
      <w:pPr>
        <w:rPr>
          <w:lang w:val="en-AU"/>
        </w:rPr>
      </w:pPr>
      <w:r w:rsidRPr="00083FF6">
        <w:rPr>
          <w:lang w:val="en-AU"/>
        </w:rPr>
        <w:t xml:space="preserve">EUNAVFOR Atlanta, </w:t>
      </w:r>
    </w:p>
    <w:p w14:paraId="6268738D" w14:textId="77777777" w:rsidR="00E30FF3" w:rsidRDefault="00D76CBC" w:rsidP="002E5631">
      <w:pPr>
        <w:rPr>
          <w:lang w:val="en-AU"/>
        </w:rPr>
      </w:pPr>
      <w:r w:rsidRPr="00083FF6">
        <w:rPr>
          <w:lang w:val="en-AU"/>
        </w:rPr>
        <w:t>EUNAVFOR Med</w:t>
      </w:r>
      <w:r w:rsidRPr="006A1F39">
        <w:rPr>
          <w:lang w:val="en-AU"/>
        </w:rPr>
        <w:t>,</w:t>
      </w:r>
    </w:p>
    <w:p w14:paraId="0049A8D1" w14:textId="77777777" w:rsidR="00E30FF3" w:rsidRDefault="00CE38E3" w:rsidP="002E5631">
      <w:pPr>
        <w:rPr>
          <w:lang w:val="en-US"/>
        </w:rPr>
      </w:pPr>
      <w:r w:rsidRPr="006A1F39">
        <w:rPr>
          <w:bCs/>
          <w:lang w:val="it-IT" w:eastAsia="it-IT"/>
        </w:rPr>
        <w:t>Operation</w:t>
      </w:r>
      <w:r w:rsidRPr="006A1F39">
        <w:rPr>
          <w:lang w:val="it-IT" w:eastAsia="it-IT"/>
        </w:rPr>
        <w:t xml:space="preserve"> Barkhane</w:t>
      </w:r>
      <w:r w:rsidRPr="006A1F39">
        <w:rPr>
          <w:lang w:val="en-US"/>
        </w:rPr>
        <w:t xml:space="preserve">, </w:t>
      </w:r>
    </w:p>
    <w:p w14:paraId="75505E9D" w14:textId="77777777" w:rsidR="00E30FF3" w:rsidRDefault="00215500" w:rsidP="002E5631">
      <w:pPr>
        <w:rPr>
          <w:lang w:val="en-AU"/>
        </w:rPr>
      </w:pPr>
      <w:r w:rsidRPr="006A1F39">
        <w:rPr>
          <w:lang w:val="en-AU"/>
        </w:rPr>
        <w:t xml:space="preserve">EUCAP Sahel, </w:t>
      </w:r>
    </w:p>
    <w:p w14:paraId="7799E6D5" w14:textId="77777777" w:rsidR="00E30FF3" w:rsidRDefault="00215500" w:rsidP="002E5631">
      <w:pPr>
        <w:rPr>
          <w:lang w:val="en-AU"/>
        </w:rPr>
      </w:pPr>
      <w:r w:rsidRPr="006A1F39">
        <w:rPr>
          <w:lang w:val="en-AU"/>
        </w:rPr>
        <w:t xml:space="preserve">EUTM Mali, </w:t>
      </w:r>
    </w:p>
    <w:p w14:paraId="4395D67F" w14:textId="77777777" w:rsidR="00E30FF3" w:rsidRDefault="00215500" w:rsidP="002E5631">
      <w:pPr>
        <w:rPr>
          <w:lang w:val="en-AU"/>
        </w:rPr>
      </w:pPr>
      <w:r w:rsidRPr="006A1F39">
        <w:rPr>
          <w:lang w:val="en-AU"/>
        </w:rPr>
        <w:t xml:space="preserve">EUFOR Libya, </w:t>
      </w:r>
    </w:p>
    <w:p w14:paraId="065331D3" w14:textId="6652A8E4" w:rsidR="00215500" w:rsidRPr="006A1F39" w:rsidRDefault="006043B5" w:rsidP="002E5631">
      <w:pPr>
        <w:rPr>
          <w:lang w:val="en-US"/>
        </w:rPr>
      </w:pPr>
      <w:r w:rsidRPr="006A1F39">
        <w:rPr>
          <w:lang w:val="en-US"/>
        </w:rPr>
        <w:t>EUBAM Rafah</w:t>
      </w:r>
      <w:r w:rsidR="00215500" w:rsidRPr="006A1F39">
        <w:rPr>
          <w:lang w:val="en-US"/>
        </w:rPr>
        <w:t xml:space="preserve"> </w:t>
      </w:r>
    </w:p>
    <w:p w14:paraId="40AB129E" w14:textId="2D10F327" w:rsidR="00215500" w:rsidRDefault="00E30FF3" w:rsidP="002E5631">
      <w:pPr>
        <w:rPr>
          <w:lang w:val="en-US"/>
        </w:rPr>
      </w:pPr>
      <w:r>
        <w:rPr>
          <w:lang w:val="en-US"/>
        </w:rPr>
        <w:t>EUJust-Lex Iraq</w:t>
      </w:r>
    </w:p>
    <w:p w14:paraId="0C261C1B" w14:textId="692A9CB5" w:rsidR="00E30FF3" w:rsidRDefault="00E30FF3" w:rsidP="002E5631">
      <w:pPr>
        <w:rPr>
          <w:lang w:val="en-US"/>
        </w:rPr>
      </w:pPr>
      <w:r>
        <w:rPr>
          <w:lang w:val="en-US"/>
        </w:rPr>
        <w:t>EUAM Iraq</w:t>
      </w:r>
    </w:p>
    <w:p w14:paraId="7E4CF39C" w14:textId="77777777" w:rsidR="00E30FF3" w:rsidRDefault="00E30FF3" w:rsidP="002E5631">
      <w:pPr>
        <w:rPr>
          <w:lang w:val="en-US"/>
        </w:rPr>
      </w:pPr>
    </w:p>
    <w:p w14:paraId="56805D50" w14:textId="77777777" w:rsidR="005841A5" w:rsidRDefault="005841A5" w:rsidP="002E5631">
      <w:pPr>
        <w:rPr>
          <w:lang w:val="en-US"/>
        </w:rPr>
      </w:pPr>
    </w:p>
    <w:p w14:paraId="1588A620" w14:textId="77777777" w:rsidR="005841A5" w:rsidRDefault="005841A5" w:rsidP="002E5631">
      <w:pPr>
        <w:rPr>
          <w:lang w:val="en-US"/>
        </w:rPr>
      </w:pPr>
    </w:p>
    <w:p w14:paraId="3659C7DB" w14:textId="77777777" w:rsidR="005841A5" w:rsidRDefault="005841A5" w:rsidP="002E5631">
      <w:pPr>
        <w:rPr>
          <w:lang w:val="en-US"/>
        </w:rPr>
      </w:pPr>
    </w:p>
    <w:p w14:paraId="2D54F92C" w14:textId="77777777" w:rsidR="005841A5" w:rsidRPr="006A1F39" w:rsidRDefault="005841A5" w:rsidP="002E5631">
      <w:pPr>
        <w:rPr>
          <w:lang w:val="en-US"/>
        </w:rPr>
      </w:pPr>
    </w:p>
    <w:p w14:paraId="7DF5FC41" w14:textId="77777777" w:rsidR="00892A3A" w:rsidRPr="006A1F39" w:rsidRDefault="00892A3A" w:rsidP="002E5631">
      <w:pPr>
        <w:rPr>
          <w:bCs/>
          <w:u w:val="single"/>
          <w:lang w:val="en-AU"/>
        </w:rPr>
      </w:pPr>
      <w:r w:rsidRPr="006A1F39">
        <w:rPr>
          <w:bCs/>
          <w:u w:val="single"/>
          <w:lang w:val="en-AU"/>
        </w:rPr>
        <w:t>Required:</w:t>
      </w:r>
    </w:p>
    <w:p w14:paraId="60DB470B" w14:textId="77777777" w:rsidR="007C38EF" w:rsidRPr="006A1F39" w:rsidRDefault="007C38EF" w:rsidP="002E5631">
      <w:pPr>
        <w:rPr>
          <w:bCs/>
          <w:u w:val="single"/>
          <w:lang w:val="en-AU"/>
        </w:rPr>
      </w:pPr>
    </w:p>
    <w:p w14:paraId="57414D88" w14:textId="6330BCC7" w:rsidR="007C38EF" w:rsidRPr="006A1F39" w:rsidRDefault="007C38EF" w:rsidP="006F0DFF">
      <w:pPr>
        <w:pStyle w:val="ListParagraph"/>
        <w:numPr>
          <w:ilvl w:val="0"/>
          <w:numId w:val="20"/>
        </w:numPr>
        <w:shd w:val="clear" w:color="auto" w:fill="FFFFFF"/>
        <w:ind w:left="714" w:hanging="357"/>
        <w:rPr>
          <w:rStyle w:val="Hyperlink"/>
          <w:color w:val="auto"/>
          <w:u w:val="none"/>
          <w:lang w:val="en-AU"/>
        </w:rPr>
      </w:pPr>
      <w:r w:rsidRPr="006A1F39">
        <w:rPr>
          <w:rStyle w:val="Hyperlink"/>
          <w:color w:val="auto"/>
          <w:u w:val="none"/>
          <w:lang w:val="en-AU"/>
        </w:rPr>
        <w:t xml:space="preserve">Ludovica Marchi, The EU in Libya and the collapse of the CSDP, </w:t>
      </w:r>
      <w:r w:rsidRPr="006A1F39">
        <w:rPr>
          <w:rStyle w:val="Hyperlink"/>
          <w:i/>
          <w:color w:val="auto"/>
          <w:u w:val="none"/>
          <w:lang w:val="en-AU"/>
        </w:rPr>
        <w:t xml:space="preserve">US-China Law Review, </w:t>
      </w:r>
      <w:r w:rsidR="00E30FF3">
        <w:rPr>
          <w:rStyle w:val="Hyperlink"/>
          <w:color w:val="auto"/>
          <w:u w:val="none"/>
          <w:lang w:val="en-AU"/>
        </w:rPr>
        <w:t>2017,</w:t>
      </w:r>
      <w:r w:rsidRPr="006A1F39">
        <w:rPr>
          <w:rStyle w:val="Hyperlink"/>
          <w:color w:val="auto"/>
          <w:u w:val="none"/>
          <w:lang w:val="en-AU"/>
        </w:rPr>
        <w:t>17</w:t>
      </w:r>
      <w:r w:rsidR="00E30FF3">
        <w:rPr>
          <w:rStyle w:val="Hyperlink"/>
          <w:color w:val="auto"/>
          <w:u w:val="none"/>
          <w:lang w:val="en-AU"/>
        </w:rPr>
        <w:t>:</w:t>
      </w:r>
      <w:r w:rsidRPr="006A1F39">
        <w:rPr>
          <w:rStyle w:val="Hyperlink"/>
          <w:color w:val="auto"/>
          <w:u w:val="none"/>
          <w:lang w:val="en-AU"/>
        </w:rPr>
        <w:t xml:space="preserve">5, </w:t>
      </w:r>
      <w:r w:rsidR="00E30FF3">
        <w:rPr>
          <w:rStyle w:val="Hyperlink"/>
          <w:color w:val="auto"/>
          <w:u w:val="none"/>
          <w:lang w:val="en-AU"/>
        </w:rPr>
        <w:t xml:space="preserve">pp. 284-292, available at </w:t>
      </w:r>
      <w:r w:rsidRPr="006A1F39">
        <w:rPr>
          <w:rStyle w:val="Hyperlink"/>
          <w:color w:val="auto"/>
          <w:u w:val="none"/>
          <w:lang w:val="en-AU"/>
        </w:rPr>
        <w:t>http://www.davidpublisher.org/Public/uploads/Contribute/599e719ad9396.pdf</w:t>
      </w:r>
    </w:p>
    <w:p w14:paraId="7F4840C1" w14:textId="47C7B2A6" w:rsidR="007C38EF" w:rsidRPr="006A1F39" w:rsidRDefault="00892A3A" w:rsidP="007C38EF">
      <w:pPr>
        <w:pStyle w:val="ListParagraph"/>
        <w:numPr>
          <w:ilvl w:val="0"/>
          <w:numId w:val="20"/>
        </w:numPr>
        <w:shd w:val="clear" w:color="auto" w:fill="FFFFFF"/>
        <w:ind w:left="714" w:hanging="357"/>
        <w:rPr>
          <w:rStyle w:val="Hyperlink"/>
          <w:color w:val="auto"/>
          <w:u w:val="none"/>
          <w:lang w:val="en-AU"/>
        </w:rPr>
      </w:pPr>
      <w:r w:rsidRPr="006A1F39">
        <w:rPr>
          <w:rStyle w:val="hlfld-title"/>
          <w:lang w:val="en-AU"/>
        </w:rPr>
        <w:t xml:space="preserve">Anand Menon, </w:t>
      </w:r>
      <w:r w:rsidR="00E30FF3">
        <w:rPr>
          <w:rStyle w:val="hlfld-title"/>
          <w:lang w:val="en-AU"/>
        </w:rPr>
        <w:t>‘</w:t>
      </w:r>
      <w:r w:rsidRPr="006A1F39">
        <w:rPr>
          <w:lang w:val="en-AU"/>
        </w:rPr>
        <w:t>European Defence Policy from Lisbon to Libya</w:t>
      </w:r>
      <w:r w:rsidR="00E30FF3">
        <w:rPr>
          <w:lang w:val="en-AU"/>
        </w:rPr>
        <w:t>’</w:t>
      </w:r>
      <w:r w:rsidRPr="006A1F39">
        <w:rPr>
          <w:rStyle w:val="hlfld-title"/>
          <w:lang w:val="en-AU"/>
        </w:rPr>
        <w:t xml:space="preserve">, </w:t>
      </w:r>
      <w:r w:rsidRPr="006A1F39">
        <w:rPr>
          <w:i/>
          <w:lang w:val="en-AU"/>
        </w:rPr>
        <w:t>Survival</w:t>
      </w:r>
      <w:r w:rsidRPr="006A1F39">
        <w:rPr>
          <w:lang w:val="en-AU"/>
        </w:rPr>
        <w:t>, </w:t>
      </w:r>
      <w:r w:rsidR="00E30FF3">
        <w:rPr>
          <w:lang w:val="en-AU"/>
        </w:rPr>
        <w:t>2011,</w:t>
      </w:r>
      <w:hyperlink r:id="rId37" w:history="1">
        <w:r w:rsidR="00E30FF3">
          <w:rPr>
            <w:rStyle w:val="Hyperlink"/>
            <w:color w:val="auto"/>
            <w:u w:val="none"/>
            <w:lang w:val="en-AU"/>
          </w:rPr>
          <w:t xml:space="preserve"> 53:3</w:t>
        </w:r>
      </w:hyperlink>
      <w:r w:rsidR="00E30FF3">
        <w:rPr>
          <w:rStyle w:val="Hyperlink"/>
          <w:color w:val="auto"/>
          <w:u w:val="none"/>
          <w:lang w:val="en-AU"/>
        </w:rPr>
        <w:t>, pp. 75-90</w:t>
      </w:r>
    </w:p>
    <w:p w14:paraId="11E930F7" w14:textId="20AD9FD8" w:rsidR="00892A3A" w:rsidRPr="006A1F39" w:rsidRDefault="00892A3A" w:rsidP="00892A3A">
      <w:pPr>
        <w:pStyle w:val="ListParagraph"/>
        <w:numPr>
          <w:ilvl w:val="0"/>
          <w:numId w:val="20"/>
        </w:numPr>
        <w:shd w:val="clear" w:color="auto" w:fill="FFFFFF"/>
        <w:rPr>
          <w:rStyle w:val="Hyperlink"/>
          <w:color w:val="auto"/>
          <w:u w:val="none"/>
          <w:lang w:val="en-AU" w:eastAsia="it-IT"/>
        </w:rPr>
      </w:pPr>
      <w:r w:rsidRPr="006A1F39">
        <w:rPr>
          <w:lang w:val="en-AU" w:eastAsia="it-IT"/>
        </w:rPr>
        <w:t xml:space="preserve">Jörg Monar, </w:t>
      </w:r>
      <w:r w:rsidR="00E30FF3">
        <w:rPr>
          <w:lang w:val="en-AU" w:eastAsia="it-IT"/>
        </w:rPr>
        <w:t>‘</w:t>
      </w:r>
      <w:r w:rsidRPr="006A1F39">
        <w:rPr>
          <w:lang w:val="en-AU" w:eastAsia="it-IT"/>
        </w:rPr>
        <w:t>The EU as an International Counter-terrorism Actor: Progress and Constraints</w:t>
      </w:r>
      <w:r w:rsidR="00E30FF3">
        <w:rPr>
          <w:lang w:val="en-AU" w:eastAsia="it-IT"/>
        </w:rPr>
        <w:t>’</w:t>
      </w:r>
      <w:r w:rsidRPr="006A1F39">
        <w:rPr>
          <w:lang w:val="en-AU" w:eastAsia="it-IT"/>
        </w:rPr>
        <w:t xml:space="preserve">, </w:t>
      </w:r>
      <w:r w:rsidRPr="006A1F39">
        <w:rPr>
          <w:i/>
          <w:lang w:val="en-AU" w:eastAsia="it-IT"/>
        </w:rPr>
        <w:t>Intelligence and National Security</w:t>
      </w:r>
      <w:r w:rsidRPr="006A1F39">
        <w:rPr>
          <w:lang w:val="en-AU" w:eastAsia="it-IT"/>
        </w:rPr>
        <w:t>, </w:t>
      </w:r>
      <w:r w:rsidR="00E30FF3">
        <w:rPr>
          <w:lang w:val="en-AU" w:eastAsia="it-IT"/>
        </w:rPr>
        <w:t xml:space="preserve">2015, </w:t>
      </w:r>
      <w:r w:rsidRPr="006A1F39">
        <w:rPr>
          <w:lang w:val="en-AU" w:eastAsia="it-IT"/>
        </w:rPr>
        <w:t>30</w:t>
      </w:r>
      <w:r w:rsidR="00E30FF3">
        <w:rPr>
          <w:lang w:val="en-AU" w:eastAsia="it-IT"/>
        </w:rPr>
        <w:t>:</w:t>
      </w:r>
      <w:r w:rsidRPr="006A1F39">
        <w:rPr>
          <w:lang w:val="en-AU" w:eastAsia="it-IT"/>
        </w:rPr>
        <w:t xml:space="preserve"> 2-3, </w:t>
      </w:r>
      <w:r w:rsidR="00E30FF3">
        <w:rPr>
          <w:lang w:val="en-AU" w:eastAsia="it-IT"/>
        </w:rPr>
        <w:t>pp. 333-356</w:t>
      </w:r>
    </w:p>
    <w:p w14:paraId="3A082928" w14:textId="5615B4F9" w:rsidR="00892A3A" w:rsidRPr="006A1F39" w:rsidRDefault="00892A3A" w:rsidP="00892A3A">
      <w:pPr>
        <w:pStyle w:val="ListParagraph"/>
        <w:numPr>
          <w:ilvl w:val="0"/>
          <w:numId w:val="20"/>
        </w:numPr>
        <w:shd w:val="clear" w:color="auto" w:fill="FFFFFF"/>
        <w:rPr>
          <w:rStyle w:val="Hyperlink"/>
          <w:color w:val="auto"/>
          <w:u w:val="none"/>
          <w:lang w:val="en-AU"/>
        </w:rPr>
      </w:pPr>
      <w:r w:rsidRPr="006A1F39">
        <w:rPr>
          <w:rStyle w:val="hlfld-contribauthor"/>
          <w:lang w:val="en-AU"/>
        </w:rPr>
        <w:t>Bruno Oliveira Martins </w:t>
      </w:r>
      <w:r w:rsidRPr="006A1F39">
        <w:rPr>
          <w:lang w:val="en-AU"/>
        </w:rPr>
        <w:t>&amp; </w:t>
      </w:r>
      <w:r w:rsidRPr="006A1F39">
        <w:rPr>
          <w:rStyle w:val="hlfld-contribauthor"/>
          <w:lang w:val="en-AU"/>
        </w:rPr>
        <w:t xml:space="preserve">Laura C. Ferreira-Pereira, </w:t>
      </w:r>
      <w:r w:rsidR="00EB3CAD">
        <w:rPr>
          <w:rStyle w:val="hlfld-contribauthor"/>
          <w:lang w:val="en-AU"/>
        </w:rPr>
        <w:t>‘</w:t>
      </w:r>
      <w:r w:rsidRPr="006A1F39">
        <w:rPr>
          <w:rStyle w:val="hlfld-title"/>
          <w:lang w:val="en-AU"/>
        </w:rPr>
        <w:t>Stepping inside? CSDP missions and EU counter-terrorism</w:t>
      </w:r>
      <w:r w:rsidR="00EB3CAD">
        <w:rPr>
          <w:rStyle w:val="hlfld-title"/>
          <w:lang w:val="en-AU"/>
        </w:rPr>
        <w:t>’</w:t>
      </w:r>
      <w:r w:rsidRPr="006A1F39">
        <w:rPr>
          <w:rStyle w:val="hlfld-title"/>
          <w:lang w:val="en-AU"/>
        </w:rPr>
        <w:t xml:space="preserve">, </w:t>
      </w:r>
      <w:r w:rsidRPr="006A1F39">
        <w:rPr>
          <w:rStyle w:val="hlfld-title"/>
          <w:i/>
          <w:lang w:val="en-AU"/>
        </w:rPr>
        <w:t>European Security</w:t>
      </w:r>
      <w:r w:rsidRPr="006A1F39">
        <w:rPr>
          <w:lang w:val="en-AU"/>
        </w:rPr>
        <w:t>, </w:t>
      </w:r>
      <w:r w:rsidR="00EB3CAD">
        <w:rPr>
          <w:lang w:val="en-AU"/>
        </w:rPr>
        <w:t xml:space="preserve">2012, </w:t>
      </w:r>
      <w:r w:rsidRPr="006A1F39">
        <w:rPr>
          <w:lang w:val="en-AU"/>
        </w:rPr>
        <w:t>21</w:t>
      </w:r>
      <w:r w:rsidR="00EB3CAD">
        <w:rPr>
          <w:lang w:val="en-AU"/>
        </w:rPr>
        <w:t>:</w:t>
      </w:r>
      <w:r w:rsidRPr="006A1F39">
        <w:rPr>
          <w:lang w:val="en-AU"/>
        </w:rPr>
        <w:t xml:space="preserve">4, </w:t>
      </w:r>
      <w:r w:rsidR="00EB3CAD">
        <w:rPr>
          <w:lang w:val="en-AU"/>
        </w:rPr>
        <w:t>537-566</w:t>
      </w:r>
    </w:p>
    <w:p w14:paraId="661FAA90" w14:textId="67F48947" w:rsidR="00892A3A" w:rsidRDefault="00892A3A" w:rsidP="00892A3A">
      <w:pPr>
        <w:pStyle w:val="ListParagraph"/>
        <w:numPr>
          <w:ilvl w:val="0"/>
          <w:numId w:val="20"/>
        </w:numPr>
        <w:shd w:val="clear" w:color="auto" w:fill="FFFFFF"/>
        <w:ind w:left="714" w:hanging="357"/>
        <w:rPr>
          <w:rStyle w:val="Hyperlink"/>
          <w:color w:val="auto"/>
          <w:u w:val="none"/>
          <w:lang w:val="en-AU"/>
        </w:rPr>
      </w:pPr>
      <w:r w:rsidRPr="006A1F39">
        <w:rPr>
          <w:rStyle w:val="Hyperlink"/>
          <w:color w:val="auto"/>
          <w:u w:val="none"/>
          <w:lang w:val="en-AU"/>
        </w:rPr>
        <w:t xml:space="preserve">Nicoletta Pirozzi, </w:t>
      </w:r>
      <w:r w:rsidRPr="006A1F39">
        <w:rPr>
          <w:lang w:val="en-AU" w:eastAsia="it-IT"/>
        </w:rPr>
        <w:t xml:space="preserve">The Civilian CSDP Compact A success story for the EU’s crisis management Cinderella?, </w:t>
      </w:r>
      <w:r w:rsidRPr="006A1F39">
        <w:rPr>
          <w:i/>
          <w:lang w:val="en-AU" w:eastAsia="it-IT"/>
        </w:rPr>
        <w:t xml:space="preserve">European Union Institute for Security Studies Brief, </w:t>
      </w:r>
      <w:r w:rsidRPr="006A1F39">
        <w:rPr>
          <w:lang w:val="en-AU" w:eastAsia="it-IT"/>
        </w:rPr>
        <w:t>October 2018,</w:t>
      </w:r>
      <w:r w:rsidR="00EB3CAD">
        <w:rPr>
          <w:lang w:val="en-AU" w:eastAsia="it-IT"/>
        </w:rPr>
        <w:t xml:space="preserve"> available at</w:t>
      </w:r>
      <w:r w:rsidRPr="006A1F39">
        <w:rPr>
          <w:lang w:val="en-AU" w:eastAsia="it-IT"/>
        </w:rPr>
        <w:t xml:space="preserve"> </w:t>
      </w:r>
      <w:hyperlink r:id="rId38" w:history="1">
        <w:r w:rsidR="00E753B8" w:rsidRPr="00A729E2">
          <w:rPr>
            <w:rStyle w:val="Hyperlink"/>
            <w:lang w:val="en-AU"/>
          </w:rPr>
          <w:t>https://www.iss.europa.eu/sites/default/files/EUISSFiles/Brief%209__Civilian%20CSDP.pdf</w:t>
        </w:r>
      </w:hyperlink>
    </w:p>
    <w:p w14:paraId="2B435BF6" w14:textId="04100BAD" w:rsidR="00E753B8" w:rsidRPr="00E753B8" w:rsidRDefault="00E753B8" w:rsidP="00E753B8">
      <w:pPr>
        <w:pStyle w:val="ListParagraph"/>
        <w:numPr>
          <w:ilvl w:val="0"/>
          <w:numId w:val="20"/>
        </w:numPr>
        <w:shd w:val="clear" w:color="auto" w:fill="FFFFFF"/>
        <w:rPr>
          <w:lang w:val="en-AU"/>
        </w:rPr>
      </w:pPr>
      <w:r w:rsidRPr="002117DC">
        <w:rPr>
          <w:lang w:val="en-AU"/>
        </w:rPr>
        <w:t xml:space="preserve">Daniel Fiott and Marco Zeiss, </w:t>
      </w:r>
      <w:r>
        <w:rPr>
          <w:lang w:val="en-AU"/>
        </w:rPr>
        <w:t>‘</w:t>
      </w:r>
      <w:r w:rsidR="00AA18D3">
        <w:rPr>
          <w:lang w:val="en-AU"/>
        </w:rPr>
        <w:t>The Southern neighbourhood</w:t>
      </w:r>
      <w:r>
        <w:rPr>
          <w:lang w:val="en-AU"/>
        </w:rPr>
        <w:t>’</w:t>
      </w:r>
      <w:r w:rsidRPr="007F3470">
        <w:rPr>
          <w:lang w:val="en-AU"/>
        </w:rPr>
        <w:t xml:space="preserve">, </w:t>
      </w:r>
      <w:r w:rsidRPr="007F3470">
        <w:rPr>
          <w:i/>
          <w:lang w:val="en-AU"/>
        </w:rPr>
        <w:t>Yearbook of European Security</w:t>
      </w:r>
      <w:r w:rsidRPr="007F3470">
        <w:rPr>
          <w:lang w:val="en-AU"/>
        </w:rPr>
        <w:t>, 2021, pp.</w:t>
      </w:r>
      <w:r>
        <w:rPr>
          <w:lang w:val="en-AU"/>
        </w:rPr>
        <w:t xml:space="preserve"> </w:t>
      </w:r>
      <w:r w:rsidR="00AA18D3">
        <w:rPr>
          <w:lang w:val="en-AU"/>
        </w:rPr>
        <w:t>67-97</w:t>
      </w:r>
      <w:r w:rsidRPr="007F3470">
        <w:rPr>
          <w:lang w:val="en-AU"/>
        </w:rPr>
        <w:t>, available at https://www.iss.europa.eu/sites/default/files/EUISSFiles</w:t>
      </w:r>
      <w:r w:rsidRPr="00290454">
        <w:rPr>
          <w:lang w:val="en-AU"/>
        </w:rPr>
        <w:t>/YES_2021.pdf</w:t>
      </w:r>
    </w:p>
    <w:p w14:paraId="2D68DF05" w14:textId="77777777" w:rsidR="00E753B8" w:rsidRPr="006A1F39" w:rsidRDefault="00E753B8" w:rsidP="00E753B8">
      <w:pPr>
        <w:pStyle w:val="ListParagraph"/>
        <w:shd w:val="clear" w:color="auto" w:fill="FFFFFF"/>
        <w:ind w:left="714"/>
        <w:rPr>
          <w:rStyle w:val="Hyperlink"/>
          <w:color w:val="auto"/>
          <w:u w:val="none"/>
          <w:lang w:val="en-AU"/>
        </w:rPr>
      </w:pPr>
    </w:p>
    <w:p w14:paraId="67DF37A4" w14:textId="77777777" w:rsidR="00892A3A" w:rsidRPr="006A1F39" w:rsidRDefault="00892A3A" w:rsidP="00892A3A">
      <w:pPr>
        <w:pStyle w:val="ListParagraph"/>
        <w:ind w:left="0"/>
        <w:rPr>
          <w:b/>
          <w:lang w:val="en-AU"/>
        </w:rPr>
      </w:pPr>
    </w:p>
    <w:p w14:paraId="79668CE7" w14:textId="0E6F950A" w:rsidR="00892A3A" w:rsidRPr="00F43F06" w:rsidRDefault="00892A3A" w:rsidP="007453A3">
      <w:pPr>
        <w:rPr>
          <w:lang w:val="en-AU"/>
        </w:rPr>
      </w:pPr>
      <w:r w:rsidRPr="00F43F06">
        <w:rPr>
          <w:lang w:val="en-AU"/>
        </w:rPr>
        <w:t>Optional:</w:t>
      </w:r>
    </w:p>
    <w:p w14:paraId="6E38838F" w14:textId="3BCD2043" w:rsidR="00892A3A" w:rsidRPr="006A1F39" w:rsidRDefault="00892A3A" w:rsidP="00892A3A">
      <w:pPr>
        <w:pStyle w:val="ListParagraph"/>
        <w:numPr>
          <w:ilvl w:val="0"/>
          <w:numId w:val="20"/>
        </w:numPr>
        <w:shd w:val="clear" w:color="auto" w:fill="FFFFFF"/>
        <w:rPr>
          <w:rStyle w:val="Hyperlink"/>
          <w:color w:val="auto"/>
          <w:u w:val="none"/>
          <w:lang w:val="en-AU"/>
        </w:rPr>
      </w:pPr>
      <w:r w:rsidRPr="006A1F39">
        <w:t>Ludovica Marchi</w:t>
      </w:r>
      <w:r w:rsidRPr="006A1F39">
        <w:rPr>
          <w:rStyle w:val="hlfld-contribauthor"/>
          <w:lang w:val="en-AU"/>
        </w:rPr>
        <w:t xml:space="preserve">, </w:t>
      </w:r>
      <w:r w:rsidR="00472549">
        <w:rPr>
          <w:rStyle w:val="hlfld-contribauthor"/>
          <w:lang w:val="en-AU"/>
        </w:rPr>
        <w:t>‘</w:t>
      </w:r>
      <w:r w:rsidRPr="006A1F39">
        <w:rPr>
          <w:lang w:val="en-AU"/>
        </w:rPr>
        <w:t>The Common Security and Defence Policy in a State of Flux? The Case of Libya in 2011</w:t>
      </w:r>
      <w:r w:rsidR="00123A9A">
        <w:rPr>
          <w:lang w:val="en-AU"/>
        </w:rPr>
        <w:t>’</w:t>
      </w:r>
      <w:r w:rsidRPr="006A1F39">
        <w:rPr>
          <w:rStyle w:val="hlfld-title"/>
          <w:lang w:val="en-AU"/>
        </w:rPr>
        <w:t xml:space="preserve">, </w:t>
      </w:r>
      <w:r w:rsidRPr="006A1F39">
        <w:rPr>
          <w:i/>
          <w:lang w:val="en-AU"/>
        </w:rPr>
        <w:t>Perspectives on European Politics and Society</w:t>
      </w:r>
      <w:r w:rsidRPr="006A1F39">
        <w:rPr>
          <w:lang w:val="en-AU"/>
        </w:rPr>
        <w:t>, </w:t>
      </w:r>
      <w:r w:rsidR="00123A9A">
        <w:rPr>
          <w:lang w:val="en-AU"/>
        </w:rPr>
        <w:t>2014, 15:1,</w:t>
      </w:r>
      <w:r w:rsidRPr="00123A9A">
        <w:rPr>
          <w:lang w:val="en-AU"/>
        </w:rPr>
        <w:t xml:space="preserve"> 2014</w:t>
      </w:r>
      <w:r w:rsidR="00123A9A">
        <w:rPr>
          <w:lang w:val="en-AU"/>
        </w:rPr>
        <w:t>, pp. 88-105</w:t>
      </w:r>
      <w:r w:rsidRPr="00123A9A">
        <w:rPr>
          <w:lang w:val="en-AU"/>
        </w:rPr>
        <w:t xml:space="preserve"> </w:t>
      </w:r>
    </w:p>
    <w:p w14:paraId="091BF8B8" w14:textId="77777777" w:rsidR="00F77993" w:rsidRPr="006A1F39" w:rsidRDefault="00F77993" w:rsidP="006F0DFF">
      <w:pPr>
        <w:pStyle w:val="ListParagraph"/>
        <w:numPr>
          <w:ilvl w:val="0"/>
          <w:numId w:val="20"/>
        </w:numPr>
        <w:rPr>
          <w:rStyle w:val="Hyperlink"/>
          <w:color w:val="auto"/>
          <w:u w:val="none"/>
          <w:lang w:val="en-AU"/>
        </w:rPr>
      </w:pPr>
      <w:r w:rsidRPr="006A1F39">
        <w:rPr>
          <w:rStyle w:val="pagerange"/>
          <w:lang w:val="en-AU"/>
        </w:rPr>
        <w:t xml:space="preserve">Jochen Rehrl (ed.), </w:t>
      </w:r>
      <w:r w:rsidRPr="006A1F39">
        <w:rPr>
          <w:rStyle w:val="pagerange"/>
          <w:i/>
          <w:lang w:val="en-AU"/>
        </w:rPr>
        <w:t>Handbook on CSDP</w:t>
      </w:r>
      <w:r w:rsidRPr="006A1F39">
        <w:rPr>
          <w:rStyle w:val="pagerange"/>
          <w:lang w:val="en-AU"/>
        </w:rPr>
        <w:t>, pp. 114-118</w:t>
      </w:r>
    </w:p>
    <w:p w14:paraId="11215063" w14:textId="64C9C6AB" w:rsidR="00892A3A" w:rsidRPr="006A1F39" w:rsidRDefault="00892A3A" w:rsidP="00892A3A">
      <w:pPr>
        <w:pStyle w:val="ListParagraph"/>
        <w:numPr>
          <w:ilvl w:val="0"/>
          <w:numId w:val="20"/>
        </w:numPr>
        <w:shd w:val="clear" w:color="auto" w:fill="FFFFFF"/>
        <w:rPr>
          <w:rStyle w:val="Hyperlink"/>
          <w:color w:val="auto"/>
          <w:u w:val="none"/>
          <w:lang w:val="en-AU"/>
        </w:rPr>
      </w:pPr>
      <w:r w:rsidRPr="006A1F39">
        <w:rPr>
          <w:lang w:val="en-AU"/>
        </w:rPr>
        <w:t>Michael E. Smith</w:t>
      </w:r>
      <w:r w:rsidRPr="006A1F39">
        <w:rPr>
          <w:rStyle w:val="hlfld-contribauthor"/>
          <w:lang w:val="en-AU"/>
        </w:rPr>
        <w:t xml:space="preserve">, </w:t>
      </w:r>
      <w:r w:rsidR="00123A9A">
        <w:rPr>
          <w:rStyle w:val="hlfld-contribauthor"/>
          <w:lang w:val="en-AU"/>
        </w:rPr>
        <w:t>‘</w:t>
      </w:r>
      <w:r w:rsidRPr="006A1F39">
        <w:rPr>
          <w:lang w:val="en-AU"/>
        </w:rPr>
        <w:t>Implementing the Global Strategy where it matters most: the EU’s credibility deficit and the European neighbourhood</w:t>
      </w:r>
      <w:r w:rsidR="00123A9A">
        <w:rPr>
          <w:lang w:val="en-AU"/>
        </w:rPr>
        <w:t>’</w:t>
      </w:r>
      <w:r w:rsidRPr="006A1F39">
        <w:rPr>
          <w:rStyle w:val="hlfld-title"/>
          <w:lang w:val="en-AU"/>
        </w:rPr>
        <w:t xml:space="preserve">, </w:t>
      </w:r>
      <w:r w:rsidRPr="006A1F39">
        <w:rPr>
          <w:i/>
          <w:lang w:val="en-AU"/>
        </w:rPr>
        <w:t>Contemporary Security Policy</w:t>
      </w:r>
      <w:r w:rsidRPr="006A1F39">
        <w:rPr>
          <w:lang w:val="en-AU"/>
        </w:rPr>
        <w:t>, </w:t>
      </w:r>
      <w:r w:rsidR="00123A9A">
        <w:rPr>
          <w:lang w:val="en-AU"/>
        </w:rPr>
        <w:t xml:space="preserve">2016, </w:t>
      </w:r>
      <w:r w:rsidRPr="00123A9A">
        <w:rPr>
          <w:lang w:val="en-AU"/>
        </w:rPr>
        <w:t>37</w:t>
      </w:r>
      <w:r w:rsidR="00123A9A">
        <w:rPr>
          <w:lang w:val="en-AU"/>
        </w:rPr>
        <w:t>:</w:t>
      </w:r>
      <w:r w:rsidRPr="00123A9A">
        <w:rPr>
          <w:lang w:val="en-AU"/>
        </w:rPr>
        <w:t xml:space="preserve">3, </w:t>
      </w:r>
      <w:r w:rsidR="00123A9A">
        <w:rPr>
          <w:lang w:val="en-AU"/>
        </w:rPr>
        <w:t>pp. 446-460</w:t>
      </w:r>
    </w:p>
    <w:p w14:paraId="46159984" w14:textId="3F8F1975" w:rsidR="00892A3A" w:rsidRPr="006A1F39" w:rsidRDefault="00892A3A" w:rsidP="00892A3A">
      <w:pPr>
        <w:pStyle w:val="ListParagraph"/>
        <w:numPr>
          <w:ilvl w:val="0"/>
          <w:numId w:val="20"/>
        </w:numPr>
        <w:shd w:val="clear" w:color="auto" w:fill="FFFFFF"/>
        <w:rPr>
          <w:lang w:val="en-AU"/>
        </w:rPr>
      </w:pPr>
      <w:r w:rsidRPr="006A1F39">
        <w:rPr>
          <w:rStyle w:val="contribdegrees"/>
          <w:lang w:val="en-AU"/>
        </w:rPr>
        <w:t>Inez von Weitershausen,</w:t>
      </w:r>
      <w:r w:rsidR="006043B5" w:rsidRPr="006A1F39">
        <w:rPr>
          <w:rStyle w:val="contribdegrees"/>
          <w:lang w:val="en-AU"/>
        </w:rPr>
        <w:t xml:space="preserve"> </w:t>
      </w:r>
      <w:r w:rsidRPr="006A1F39">
        <w:rPr>
          <w:rStyle w:val="contribdegrees"/>
          <w:lang w:val="en-AU"/>
        </w:rPr>
        <w:t xml:space="preserve">David Schäfer and Wolfgang Wessels, </w:t>
      </w:r>
      <w:r w:rsidR="00123A9A">
        <w:rPr>
          <w:rStyle w:val="contribdegrees"/>
          <w:lang w:val="en-AU"/>
        </w:rPr>
        <w:t>‘</w:t>
      </w:r>
      <w:r w:rsidRPr="006A1F39">
        <w:rPr>
          <w:lang w:val="en-AU"/>
        </w:rPr>
        <w:t>A ‘Primus Inter Pares’ in EU Foreign Policy? – German Leadership in the European Council</w:t>
      </w:r>
      <w:r w:rsidRPr="006A1F39">
        <w:rPr>
          <w:color w:val="111111"/>
          <w:lang w:val="en-AU"/>
        </w:rPr>
        <w:t xml:space="preserve"> during the Libyan and Ukrainian Crises</w:t>
      </w:r>
      <w:r w:rsidR="00123A9A">
        <w:rPr>
          <w:color w:val="111111"/>
          <w:lang w:val="en-AU"/>
        </w:rPr>
        <w:t>’</w:t>
      </w:r>
      <w:r w:rsidRPr="006A1F39">
        <w:rPr>
          <w:color w:val="111111"/>
          <w:lang w:val="en-AU"/>
        </w:rPr>
        <w:t xml:space="preserve">, </w:t>
      </w:r>
      <w:r w:rsidRPr="006A1F39">
        <w:rPr>
          <w:i/>
          <w:color w:val="111111"/>
          <w:lang w:val="en-AU"/>
        </w:rPr>
        <w:t>German Politics</w:t>
      </w:r>
      <w:r w:rsidR="00123A9A">
        <w:rPr>
          <w:color w:val="111111"/>
          <w:lang w:val="en-AU"/>
        </w:rPr>
        <w:t xml:space="preserve">, </w:t>
      </w:r>
      <w:r w:rsidRPr="006A1F39">
        <w:rPr>
          <w:color w:val="111111"/>
          <w:lang w:val="en-AU"/>
        </w:rPr>
        <w:t>2019</w:t>
      </w:r>
      <w:r w:rsidR="00123A9A">
        <w:rPr>
          <w:color w:val="111111"/>
          <w:lang w:val="en-AU"/>
        </w:rPr>
        <w:t>, 29:1, pp. 42-58</w:t>
      </w:r>
    </w:p>
    <w:p w14:paraId="45AF3598" w14:textId="77777777" w:rsidR="00892A3A" w:rsidRPr="006A1F39" w:rsidRDefault="00892A3A" w:rsidP="00892A3A">
      <w:pPr>
        <w:rPr>
          <w:b/>
          <w:bCs/>
          <w:lang w:val="en-AU"/>
        </w:rPr>
      </w:pPr>
    </w:p>
    <w:p w14:paraId="6DA7DD7C" w14:textId="1D54027D" w:rsidR="00892A3A" w:rsidRPr="00083FF6" w:rsidRDefault="00892A3A" w:rsidP="00892A3A">
      <w:pPr>
        <w:rPr>
          <w:b/>
          <w:bCs/>
          <w:lang w:val="en-AU"/>
        </w:rPr>
      </w:pPr>
      <w:r w:rsidRPr="00083FF6">
        <w:rPr>
          <w:b/>
          <w:bCs/>
          <w:lang w:val="en-AU"/>
        </w:rPr>
        <w:t xml:space="preserve">Session 10: </w:t>
      </w:r>
      <w:r w:rsidR="007042E2" w:rsidRPr="00083FF6">
        <w:rPr>
          <w:b/>
          <w:bCs/>
          <w:lang w:val="en-AU"/>
        </w:rPr>
        <w:t>Tuesday 22</w:t>
      </w:r>
      <w:r w:rsidR="00AF13E2" w:rsidRPr="00083FF6">
        <w:rPr>
          <w:b/>
          <w:bCs/>
          <w:lang w:val="en-AU"/>
        </w:rPr>
        <w:t xml:space="preserve"> March</w:t>
      </w:r>
      <w:r w:rsidR="00083FF6" w:rsidRPr="00083FF6">
        <w:rPr>
          <w:b/>
          <w:bCs/>
          <w:lang w:val="en-AU"/>
        </w:rPr>
        <w:t xml:space="preserve"> </w:t>
      </w:r>
    </w:p>
    <w:p w14:paraId="5BE8D302" w14:textId="77777777" w:rsidR="00892A3A" w:rsidRPr="00083FF6" w:rsidRDefault="007453A3" w:rsidP="00892A3A">
      <w:pPr>
        <w:rPr>
          <w:b/>
          <w:bCs/>
          <w:lang w:val="en-AU"/>
        </w:rPr>
      </w:pPr>
      <w:r w:rsidRPr="00083FF6">
        <w:rPr>
          <w:b/>
          <w:bCs/>
          <w:lang w:val="en-AU"/>
        </w:rPr>
        <w:t>FRANCO-GERMAN COOPERATION AND EUROPEAN SECURITY AFTER BREXIT</w:t>
      </w:r>
    </w:p>
    <w:p w14:paraId="0DF3E266" w14:textId="77777777" w:rsidR="00F8769C" w:rsidRPr="00083FF6" w:rsidRDefault="00F8769C" w:rsidP="00892A3A">
      <w:pPr>
        <w:rPr>
          <w:b/>
          <w:bCs/>
          <w:lang w:val="en-AU"/>
        </w:rPr>
      </w:pPr>
    </w:p>
    <w:p w14:paraId="3335358E" w14:textId="52CD0A03" w:rsidR="009B3B94" w:rsidRDefault="009B3B94" w:rsidP="00215500">
      <w:pPr>
        <w:rPr>
          <w:b/>
          <w:bCs/>
          <w:lang w:val="en-AU"/>
        </w:rPr>
      </w:pPr>
      <w:r>
        <w:rPr>
          <w:bCs/>
          <w:lang w:val="en-AU"/>
        </w:rPr>
        <w:t>PESCO</w:t>
      </w:r>
    </w:p>
    <w:p w14:paraId="0F78FF76" w14:textId="44695294" w:rsidR="009B3B94" w:rsidRDefault="009B3B94" w:rsidP="00215500">
      <w:pPr>
        <w:rPr>
          <w:bCs/>
          <w:lang w:val="en-AU"/>
        </w:rPr>
      </w:pPr>
      <w:r>
        <w:rPr>
          <w:bCs/>
          <w:lang w:val="en-AU"/>
        </w:rPr>
        <w:t>European Defence Action Plan</w:t>
      </w:r>
    </w:p>
    <w:p w14:paraId="35BBB292" w14:textId="4C812C22" w:rsidR="009B3B94" w:rsidRDefault="009B3B94" w:rsidP="00215500">
      <w:pPr>
        <w:rPr>
          <w:bCs/>
          <w:lang w:val="en-AU"/>
        </w:rPr>
      </w:pPr>
      <w:r>
        <w:rPr>
          <w:bCs/>
          <w:lang w:val="en-AU"/>
        </w:rPr>
        <w:t>European Defence Fund</w:t>
      </w:r>
    </w:p>
    <w:p w14:paraId="2B70C89B" w14:textId="6D9CC11D" w:rsidR="009B3B94" w:rsidRDefault="009B3B94" w:rsidP="00215500">
      <w:pPr>
        <w:rPr>
          <w:bCs/>
          <w:lang w:val="en-AU"/>
        </w:rPr>
      </w:pPr>
      <w:r>
        <w:rPr>
          <w:bCs/>
          <w:lang w:val="en-AU"/>
        </w:rPr>
        <w:t>Downing Street Declaration</w:t>
      </w:r>
    </w:p>
    <w:p w14:paraId="68975845" w14:textId="1E23C3E1" w:rsidR="009B3B94" w:rsidRDefault="00215500" w:rsidP="00215500">
      <w:pPr>
        <w:rPr>
          <w:bCs/>
          <w:lang w:val="en-AU"/>
        </w:rPr>
      </w:pPr>
      <w:r w:rsidRPr="00083FF6">
        <w:rPr>
          <w:bCs/>
          <w:lang w:val="en-AU"/>
        </w:rPr>
        <w:t>Lancaster House Treaty</w:t>
      </w:r>
    </w:p>
    <w:p w14:paraId="68374A8D" w14:textId="638C72FA" w:rsidR="009B3B94" w:rsidRDefault="006043B5" w:rsidP="00215500">
      <w:pPr>
        <w:rPr>
          <w:bCs/>
          <w:lang w:val="en-AU"/>
        </w:rPr>
      </w:pPr>
      <w:r w:rsidRPr="00083FF6">
        <w:rPr>
          <w:bCs/>
          <w:lang w:val="en-AU"/>
        </w:rPr>
        <w:t>Combined Joint Expeditionary Force</w:t>
      </w:r>
    </w:p>
    <w:p w14:paraId="71A167C0" w14:textId="77777777" w:rsidR="009B3B94" w:rsidRDefault="00215500" w:rsidP="00215500">
      <w:pPr>
        <w:rPr>
          <w:bCs/>
          <w:lang w:val="en-AU"/>
        </w:rPr>
      </w:pPr>
      <w:r w:rsidRPr="00083FF6">
        <w:rPr>
          <w:bCs/>
          <w:lang w:val="en-AU"/>
        </w:rPr>
        <w:t>E</w:t>
      </w:r>
      <w:r w:rsidR="009B3B94">
        <w:rPr>
          <w:bCs/>
          <w:lang w:val="en-AU"/>
        </w:rPr>
        <w:t>uropean Intervention Initiative</w:t>
      </w:r>
      <w:r w:rsidRPr="00083FF6">
        <w:rPr>
          <w:bCs/>
          <w:lang w:val="en-AU"/>
        </w:rPr>
        <w:t xml:space="preserve"> </w:t>
      </w:r>
    </w:p>
    <w:p w14:paraId="60412165" w14:textId="58161E12" w:rsidR="00215500" w:rsidRPr="008C1EF5" w:rsidRDefault="00215500" w:rsidP="00215500">
      <w:pPr>
        <w:rPr>
          <w:bCs/>
          <w:lang w:val="en-AU"/>
        </w:rPr>
      </w:pPr>
      <w:r w:rsidRPr="00083FF6">
        <w:rPr>
          <w:bCs/>
          <w:lang w:val="en-AU"/>
        </w:rPr>
        <w:t>Aachen Treaty</w:t>
      </w:r>
    </w:p>
    <w:p w14:paraId="1791C911" w14:textId="0DA7DEC7" w:rsidR="009B3B94" w:rsidRPr="008C1EF5" w:rsidRDefault="008C1EF5" w:rsidP="00215500">
      <w:pPr>
        <w:rPr>
          <w:lang w:val="en-AU"/>
        </w:rPr>
      </w:pPr>
      <w:r w:rsidRPr="008C1EF5">
        <w:rPr>
          <w:bCs/>
          <w:lang w:val="en-AU"/>
        </w:rPr>
        <w:t>The Quirinal Treaty</w:t>
      </w:r>
    </w:p>
    <w:p w14:paraId="3DAAFE54" w14:textId="6E2BB956" w:rsidR="002E5631" w:rsidRDefault="000F6D91" w:rsidP="000F6D91">
      <w:pPr>
        <w:tabs>
          <w:tab w:val="left" w:pos="3001"/>
        </w:tabs>
        <w:rPr>
          <w:b/>
          <w:bCs/>
          <w:lang w:val="en-AU"/>
        </w:rPr>
      </w:pPr>
      <w:r w:rsidRPr="00083FF6">
        <w:rPr>
          <w:b/>
          <w:bCs/>
          <w:lang w:val="en-AU"/>
        </w:rPr>
        <w:tab/>
      </w:r>
    </w:p>
    <w:p w14:paraId="141F09F5" w14:textId="77777777" w:rsidR="008C1EF5" w:rsidRPr="00083FF6" w:rsidRDefault="008C1EF5" w:rsidP="000F6D91">
      <w:pPr>
        <w:tabs>
          <w:tab w:val="left" w:pos="3001"/>
        </w:tabs>
        <w:rPr>
          <w:b/>
          <w:bCs/>
          <w:lang w:val="en-AU"/>
        </w:rPr>
      </w:pPr>
    </w:p>
    <w:p w14:paraId="63EB9FCD" w14:textId="77777777" w:rsidR="00892A3A" w:rsidRPr="006A1F39" w:rsidRDefault="00892A3A" w:rsidP="00892A3A">
      <w:pPr>
        <w:rPr>
          <w:bCs/>
          <w:u w:val="single"/>
          <w:lang w:val="en-AU"/>
        </w:rPr>
      </w:pPr>
      <w:r w:rsidRPr="006A1F39">
        <w:rPr>
          <w:bCs/>
          <w:u w:val="single"/>
          <w:lang w:val="en-AU"/>
        </w:rPr>
        <w:t>Required:</w:t>
      </w:r>
    </w:p>
    <w:p w14:paraId="529FA0E0" w14:textId="3064A37A" w:rsidR="000F6D91" w:rsidRPr="008C1EF5" w:rsidRDefault="00DA2EB7" w:rsidP="000F6D91">
      <w:pPr>
        <w:pStyle w:val="ListParagraph"/>
        <w:numPr>
          <w:ilvl w:val="0"/>
          <w:numId w:val="20"/>
        </w:numPr>
        <w:rPr>
          <w:sz w:val="20"/>
          <w:szCs w:val="20"/>
          <w:lang w:val="it-IT" w:eastAsia="it-IT"/>
        </w:rPr>
      </w:pPr>
      <w:r w:rsidRPr="008C1EF5">
        <w:rPr>
          <w:shd w:val="clear" w:color="auto" w:fill="FFFFFF"/>
          <w:lang w:val="it-IT" w:eastAsia="it-IT"/>
        </w:rPr>
        <w:t>Matthew David Huntley,</w:t>
      </w:r>
      <w:r w:rsidR="000F6D91" w:rsidRPr="008C1EF5">
        <w:rPr>
          <w:shd w:val="clear" w:color="auto" w:fill="FFFFFF"/>
          <w:lang w:val="it-IT" w:eastAsia="it-IT"/>
        </w:rPr>
        <w:t> </w:t>
      </w:r>
      <w:r w:rsidRPr="008C1EF5">
        <w:rPr>
          <w:shd w:val="clear" w:color="auto" w:fill="FFFFFF"/>
          <w:lang w:val="it-IT" w:eastAsia="it-IT"/>
        </w:rPr>
        <w:t>‘</w:t>
      </w:r>
      <w:r w:rsidR="000F6D91" w:rsidRPr="008C1EF5">
        <w:rPr>
          <w:shd w:val="clear" w:color="auto" w:fill="FFFFFF"/>
          <w:lang w:val="it-IT" w:eastAsia="it-IT"/>
        </w:rPr>
        <w:t>European defence policy at a crossroads – Germany preserving the status quo and France seeking change?</w:t>
      </w:r>
      <w:r w:rsidRPr="008C1EF5">
        <w:rPr>
          <w:shd w:val="clear" w:color="auto" w:fill="FFFFFF"/>
          <w:lang w:val="it-IT" w:eastAsia="it-IT"/>
        </w:rPr>
        <w:t>’</w:t>
      </w:r>
      <w:r w:rsidR="000F6D91" w:rsidRPr="008C1EF5">
        <w:rPr>
          <w:shd w:val="clear" w:color="auto" w:fill="FFFFFF"/>
          <w:lang w:val="it-IT" w:eastAsia="it-IT"/>
        </w:rPr>
        <w:t>, </w:t>
      </w:r>
      <w:r w:rsidR="000F6D91" w:rsidRPr="008C1EF5">
        <w:rPr>
          <w:i/>
          <w:shd w:val="clear" w:color="auto" w:fill="FFFFFF"/>
          <w:lang w:val="it-IT" w:eastAsia="it-IT"/>
        </w:rPr>
        <w:t>European Politics and Society</w:t>
      </w:r>
      <w:r w:rsidR="000F6D91" w:rsidRPr="008C1EF5">
        <w:rPr>
          <w:shd w:val="clear" w:color="auto" w:fill="FFFFFF"/>
          <w:lang w:val="it-IT" w:eastAsia="it-IT"/>
        </w:rPr>
        <w:t>, </w:t>
      </w:r>
      <w:r w:rsidRPr="008C1EF5">
        <w:rPr>
          <w:shd w:val="clear" w:color="auto" w:fill="FFFFFF"/>
          <w:lang w:val="it-IT" w:eastAsia="it-IT"/>
        </w:rPr>
        <w:t>2020</w:t>
      </w:r>
      <w:r w:rsidR="008C1EF5">
        <w:rPr>
          <w:shd w:val="clear" w:color="auto" w:fill="FFFFFF"/>
          <w:lang w:val="it-IT" w:eastAsia="it-IT"/>
        </w:rPr>
        <w:t>, published onlinr</w:t>
      </w:r>
    </w:p>
    <w:p w14:paraId="1E72026B" w14:textId="7C1A32E2" w:rsidR="000F6D91" w:rsidRPr="008C1EF5" w:rsidRDefault="0051620D" w:rsidP="0051620D">
      <w:pPr>
        <w:pStyle w:val="ListParagraph"/>
        <w:numPr>
          <w:ilvl w:val="0"/>
          <w:numId w:val="20"/>
        </w:numPr>
        <w:rPr>
          <w:rStyle w:val="hlfld-contribauthor"/>
          <w:sz w:val="20"/>
          <w:szCs w:val="20"/>
          <w:lang w:val="it-IT" w:eastAsia="it-IT"/>
        </w:rPr>
      </w:pPr>
      <w:r w:rsidRPr="008C1EF5">
        <w:rPr>
          <w:shd w:val="clear" w:color="auto" w:fill="FFFFFF"/>
          <w:lang w:val="it-IT" w:eastAsia="it-IT"/>
        </w:rPr>
        <w:t>Lucie Bérau</w:t>
      </w:r>
      <w:r w:rsidR="0019569C" w:rsidRPr="008C1EF5">
        <w:rPr>
          <w:shd w:val="clear" w:color="auto" w:fill="FFFFFF"/>
          <w:lang w:val="it-IT" w:eastAsia="it-IT"/>
        </w:rPr>
        <w:t>d-Sudreau &amp; Alice Pannier,</w:t>
      </w:r>
      <w:r w:rsidRPr="008C1EF5">
        <w:rPr>
          <w:shd w:val="clear" w:color="auto" w:fill="FFFFFF"/>
          <w:lang w:val="it-IT" w:eastAsia="it-IT"/>
        </w:rPr>
        <w:t> </w:t>
      </w:r>
      <w:r w:rsidR="0019569C" w:rsidRPr="008C1EF5">
        <w:rPr>
          <w:shd w:val="clear" w:color="auto" w:fill="FFFFFF"/>
          <w:lang w:val="it-IT" w:eastAsia="it-IT"/>
        </w:rPr>
        <w:t xml:space="preserve">‘An </w:t>
      </w:r>
      <w:r w:rsidRPr="008C1EF5">
        <w:rPr>
          <w:shd w:val="clear" w:color="auto" w:fill="FFFFFF"/>
          <w:lang w:val="it-IT" w:eastAsia="it-IT"/>
        </w:rPr>
        <w:t>improbable P</w:t>
      </w:r>
      <w:r w:rsidR="0019569C" w:rsidRPr="008C1EF5">
        <w:rPr>
          <w:shd w:val="clear" w:color="auto" w:fill="FFFFFF"/>
          <w:lang w:val="it-IT" w:eastAsia="it-IT"/>
        </w:rPr>
        <w:t>aris-Berlin-Commission triangle</w:t>
      </w:r>
      <w:r w:rsidRPr="008C1EF5">
        <w:rPr>
          <w:shd w:val="clear" w:color="auto" w:fill="FFFFFF"/>
          <w:lang w:val="it-IT" w:eastAsia="it-IT"/>
        </w:rPr>
        <w:t>: usages of Europe and the revival of EU defense cooperation after 2016</w:t>
      </w:r>
      <w:r w:rsidR="0019569C" w:rsidRPr="008C1EF5">
        <w:rPr>
          <w:shd w:val="clear" w:color="auto" w:fill="FFFFFF"/>
          <w:lang w:val="it-IT" w:eastAsia="it-IT"/>
        </w:rPr>
        <w:t>’</w:t>
      </w:r>
      <w:r w:rsidRPr="008C1EF5">
        <w:rPr>
          <w:shd w:val="clear" w:color="auto" w:fill="FFFFFF"/>
          <w:lang w:val="it-IT" w:eastAsia="it-IT"/>
        </w:rPr>
        <w:t>, </w:t>
      </w:r>
      <w:r w:rsidRPr="008C1EF5">
        <w:rPr>
          <w:i/>
          <w:shd w:val="clear" w:color="auto" w:fill="FFFFFF"/>
          <w:lang w:val="it-IT" w:eastAsia="it-IT"/>
        </w:rPr>
        <w:t>Journal of European Integration</w:t>
      </w:r>
      <w:r w:rsidRPr="008C1EF5">
        <w:rPr>
          <w:shd w:val="clear" w:color="auto" w:fill="FFFFFF"/>
          <w:lang w:val="it-IT" w:eastAsia="it-IT"/>
        </w:rPr>
        <w:t>, </w:t>
      </w:r>
      <w:r w:rsidR="0019569C" w:rsidRPr="008C1EF5">
        <w:rPr>
          <w:shd w:val="clear" w:color="auto" w:fill="FFFFFF"/>
          <w:lang w:val="it-IT" w:eastAsia="it-IT"/>
        </w:rPr>
        <w:t xml:space="preserve">2021, </w:t>
      </w:r>
      <w:r w:rsidRPr="008C1EF5">
        <w:rPr>
          <w:shd w:val="clear" w:color="auto" w:fill="FFFFFF"/>
          <w:lang w:val="it-IT" w:eastAsia="it-IT"/>
        </w:rPr>
        <w:t>43:3, </w:t>
      </w:r>
      <w:r w:rsidR="008C1EF5" w:rsidRPr="008C1EF5">
        <w:rPr>
          <w:shd w:val="clear" w:color="auto" w:fill="FFFFFF"/>
          <w:lang w:val="it-IT" w:eastAsia="it-IT"/>
        </w:rPr>
        <w:t xml:space="preserve">pp. </w:t>
      </w:r>
      <w:r w:rsidRPr="008C1EF5">
        <w:rPr>
          <w:shd w:val="clear" w:color="auto" w:fill="FFFFFF"/>
          <w:lang w:val="it-IT" w:eastAsia="it-IT"/>
        </w:rPr>
        <w:t>295-310</w:t>
      </w:r>
    </w:p>
    <w:p w14:paraId="615E59A8" w14:textId="0FA7595C" w:rsidR="00892A3A" w:rsidRPr="008C1EF5" w:rsidRDefault="00892A3A" w:rsidP="00892A3A">
      <w:pPr>
        <w:pStyle w:val="ListParagraph"/>
        <w:numPr>
          <w:ilvl w:val="0"/>
          <w:numId w:val="20"/>
        </w:numPr>
        <w:shd w:val="clear" w:color="auto" w:fill="FFFFFF"/>
        <w:rPr>
          <w:lang w:val="en-AU"/>
        </w:rPr>
      </w:pPr>
      <w:r w:rsidRPr="008C1EF5">
        <w:rPr>
          <w:rStyle w:val="hlfld-contribauthor"/>
          <w:lang w:val="en-AU"/>
        </w:rPr>
        <w:t>Sven Biscop</w:t>
      </w:r>
      <w:r w:rsidRPr="008C1EF5">
        <w:rPr>
          <w:lang w:val="en-AU"/>
        </w:rPr>
        <w:t xml:space="preserve">, </w:t>
      </w:r>
      <w:r w:rsidR="008C1EF5" w:rsidRPr="008C1EF5">
        <w:rPr>
          <w:lang w:val="en-AU"/>
        </w:rPr>
        <w:t>‘</w:t>
      </w:r>
      <w:r w:rsidRPr="008C1EF5">
        <w:rPr>
          <w:lang w:val="en-AU"/>
        </w:rPr>
        <w:t>European Defence: Give PESCO a Chance</w:t>
      </w:r>
      <w:r w:rsidR="008C1EF5" w:rsidRPr="008C1EF5">
        <w:rPr>
          <w:lang w:val="en-AU"/>
        </w:rPr>
        <w:t>’</w:t>
      </w:r>
      <w:r w:rsidRPr="008C1EF5">
        <w:rPr>
          <w:rStyle w:val="hlfld-title"/>
          <w:lang w:val="en-AU"/>
        </w:rPr>
        <w:t xml:space="preserve">, </w:t>
      </w:r>
      <w:r w:rsidRPr="00A017EE">
        <w:rPr>
          <w:i/>
          <w:lang w:val="en-AU"/>
        </w:rPr>
        <w:t>Survival</w:t>
      </w:r>
      <w:r w:rsidRPr="008C1EF5">
        <w:rPr>
          <w:lang w:val="en-AU"/>
        </w:rPr>
        <w:t>, </w:t>
      </w:r>
      <w:r w:rsidRPr="00A017EE">
        <w:rPr>
          <w:lang w:val="en-AU"/>
        </w:rPr>
        <w:t>60, no. 3, 2018</w:t>
      </w:r>
      <w:r w:rsidR="008C1EF5" w:rsidRPr="00A017EE">
        <w:rPr>
          <w:lang w:val="en-AU"/>
        </w:rPr>
        <w:t>, pp. 161-180</w:t>
      </w:r>
      <w:r w:rsidRPr="00A017EE">
        <w:rPr>
          <w:lang w:val="en-AU"/>
        </w:rPr>
        <w:t xml:space="preserve"> </w:t>
      </w:r>
    </w:p>
    <w:p w14:paraId="7BA2683B" w14:textId="79FDDCD6" w:rsidR="00892A3A" w:rsidRPr="006A1F39" w:rsidRDefault="00892A3A" w:rsidP="00892A3A">
      <w:pPr>
        <w:pStyle w:val="ListParagraph"/>
        <w:numPr>
          <w:ilvl w:val="0"/>
          <w:numId w:val="20"/>
        </w:numPr>
        <w:shd w:val="clear" w:color="auto" w:fill="FFFFFF"/>
        <w:rPr>
          <w:rStyle w:val="Hyperlink"/>
          <w:color w:val="auto"/>
          <w:u w:val="none"/>
          <w:lang w:val="en-AU"/>
        </w:rPr>
      </w:pPr>
      <w:r w:rsidRPr="00DA2EB7">
        <w:rPr>
          <w:lang w:val="en-AU"/>
        </w:rPr>
        <w:t>Ronja Kempin &amp; Jocelyn Mawdsley</w:t>
      </w:r>
      <w:r w:rsidRPr="00DA2EB7">
        <w:rPr>
          <w:rStyle w:val="hlfld-contribauthor"/>
          <w:lang w:val="en-AU"/>
        </w:rPr>
        <w:t xml:space="preserve">, </w:t>
      </w:r>
      <w:r w:rsidR="008C1EF5">
        <w:rPr>
          <w:rStyle w:val="hlfld-contribauthor"/>
          <w:lang w:val="en-AU"/>
        </w:rPr>
        <w:t>‘</w:t>
      </w:r>
      <w:r w:rsidRPr="00DA2EB7">
        <w:rPr>
          <w:lang w:val="en-AU"/>
        </w:rPr>
        <w:t>The UK</w:t>
      </w:r>
      <w:r w:rsidRPr="006A1F39">
        <w:rPr>
          <w:lang w:val="en-AU"/>
        </w:rPr>
        <w:t>, the EU and European Security: A German Perspective</w:t>
      </w:r>
      <w:r w:rsidR="008C1EF5">
        <w:rPr>
          <w:lang w:val="en-AU"/>
        </w:rPr>
        <w:t>’</w:t>
      </w:r>
      <w:r w:rsidRPr="006A1F39">
        <w:rPr>
          <w:rStyle w:val="hlfld-title"/>
          <w:lang w:val="en-AU"/>
        </w:rPr>
        <w:t xml:space="preserve">, </w:t>
      </w:r>
      <w:r w:rsidRPr="006A1F39">
        <w:rPr>
          <w:i/>
          <w:lang w:val="en-AU"/>
        </w:rPr>
        <w:t>The RUSI Journal</w:t>
      </w:r>
      <w:r w:rsidRPr="006A1F39">
        <w:rPr>
          <w:lang w:val="en-AU"/>
        </w:rPr>
        <w:t>, 158, no. 4, 2013</w:t>
      </w:r>
      <w:r w:rsidR="008C1EF5">
        <w:rPr>
          <w:lang w:val="en-AU"/>
        </w:rPr>
        <w:t>, pp.32-36</w:t>
      </w:r>
      <w:r w:rsidRPr="006A1F39">
        <w:rPr>
          <w:lang w:val="en-AU"/>
        </w:rPr>
        <w:t xml:space="preserve"> </w:t>
      </w:r>
    </w:p>
    <w:p w14:paraId="20859659" w14:textId="66CEB816" w:rsidR="00892A3A" w:rsidRPr="006A1F39" w:rsidRDefault="00892A3A" w:rsidP="00892A3A">
      <w:pPr>
        <w:pStyle w:val="ListParagraph"/>
        <w:numPr>
          <w:ilvl w:val="0"/>
          <w:numId w:val="20"/>
        </w:numPr>
        <w:shd w:val="clear" w:color="auto" w:fill="FFFFFF"/>
        <w:rPr>
          <w:lang w:val="en-AU"/>
        </w:rPr>
      </w:pPr>
      <w:r w:rsidRPr="006A1F39">
        <w:rPr>
          <w:lang w:val="en-AU"/>
        </w:rPr>
        <w:t>Ulrich Krotz &amp; Joachim Schild</w:t>
      </w:r>
      <w:r w:rsidRPr="006A1F39">
        <w:rPr>
          <w:rStyle w:val="hlfld-contribauthor"/>
          <w:lang w:val="en-AU"/>
        </w:rPr>
        <w:t xml:space="preserve">, </w:t>
      </w:r>
      <w:r w:rsidR="008C1EF5">
        <w:rPr>
          <w:rStyle w:val="hlfld-contribauthor"/>
          <w:lang w:val="en-AU"/>
        </w:rPr>
        <w:t>‘</w:t>
      </w:r>
      <w:r w:rsidRPr="006A1F39">
        <w:rPr>
          <w:lang w:val="en-AU"/>
        </w:rPr>
        <w:t>Back to the future? Franco-German bilateralism in Europe</w:t>
      </w:r>
      <w:r w:rsidR="00F77993" w:rsidRPr="006A1F39">
        <w:rPr>
          <w:lang w:val="en-AU"/>
        </w:rPr>
        <w:t>’</w:t>
      </w:r>
      <w:r w:rsidRPr="006A1F39">
        <w:rPr>
          <w:lang w:val="en-AU"/>
        </w:rPr>
        <w:t>s post-Brexit union</w:t>
      </w:r>
      <w:r w:rsidR="008C1EF5">
        <w:rPr>
          <w:lang w:val="en-AU"/>
        </w:rPr>
        <w:t>’</w:t>
      </w:r>
      <w:r w:rsidRPr="006A1F39">
        <w:rPr>
          <w:rStyle w:val="hlfld-title"/>
          <w:lang w:val="en-AU"/>
        </w:rPr>
        <w:t xml:space="preserve">, </w:t>
      </w:r>
      <w:r w:rsidRPr="006A1F39">
        <w:rPr>
          <w:i/>
          <w:lang w:val="en-AU"/>
        </w:rPr>
        <w:t>Journal of European Public Policy</w:t>
      </w:r>
      <w:r w:rsidRPr="006A1F39">
        <w:rPr>
          <w:lang w:val="en-AU"/>
        </w:rPr>
        <w:t>,</w:t>
      </w:r>
      <w:r w:rsidR="008C1EF5">
        <w:rPr>
          <w:lang w:val="en-AU"/>
        </w:rPr>
        <w:t xml:space="preserve"> 2018,</w:t>
      </w:r>
      <w:r w:rsidRPr="006A1F39">
        <w:rPr>
          <w:lang w:val="en-AU"/>
        </w:rPr>
        <w:t> </w:t>
      </w:r>
      <w:hyperlink r:id="rId39" w:history="1">
        <w:r w:rsidRPr="006A1F39">
          <w:rPr>
            <w:rStyle w:val="Hyperlink"/>
            <w:color w:val="auto"/>
            <w:u w:val="none"/>
            <w:lang w:val="en-AU"/>
          </w:rPr>
          <w:t>25</w:t>
        </w:r>
        <w:r w:rsidR="008C1EF5">
          <w:rPr>
            <w:rStyle w:val="Hyperlink"/>
            <w:color w:val="auto"/>
            <w:u w:val="none"/>
            <w:lang w:val="en-AU"/>
          </w:rPr>
          <w:t xml:space="preserve">: </w:t>
        </w:r>
        <w:r w:rsidRPr="006A1F39">
          <w:rPr>
            <w:rStyle w:val="Hyperlink"/>
            <w:color w:val="auto"/>
            <w:u w:val="none"/>
            <w:lang w:val="en-AU"/>
          </w:rPr>
          <w:t>8, 2018</w:t>
        </w:r>
      </w:hyperlink>
      <w:r w:rsidR="008C1EF5">
        <w:rPr>
          <w:rStyle w:val="Hyperlink"/>
          <w:color w:val="auto"/>
          <w:u w:val="none"/>
          <w:lang w:val="en-AU"/>
        </w:rPr>
        <w:t>, pp. 1174-1193</w:t>
      </w:r>
    </w:p>
    <w:p w14:paraId="651ED048" w14:textId="5187F2A2" w:rsidR="00892A3A" w:rsidRDefault="00892A3A" w:rsidP="00892A3A">
      <w:pPr>
        <w:pStyle w:val="ListParagraph"/>
        <w:numPr>
          <w:ilvl w:val="0"/>
          <w:numId w:val="20"/>
        </w:numPr>
        <w:shd w:val="clear" w:color="auto" w:fill="FFFFFF"/>
        <w:rPr>
          <w:rStyle w:val="Hyperlink"/>
          <w:color w:val="auto"/>
          <w:u w:val="none"/>
          <w:lang w:val="en-AU"/>
        </w:rPr>
      </w:pPr>
      <w:r w:rsidRPr="006A1F39">
        <w:rPr>
          <w:lang w:val="en-AU"/>
        </w:rPr>
        <w:t>Marianne Riddervold &amp; Akasemi Newsome</w:t>
      </w:r>
      <w:r w:rsidRPr="006A1F39">
        <w:rPr>
          <w:rStyle w:val="hlfld-contribauthor"/>
          <w:lang w:val="en-AU"/>
        </w:rPr>
        <w:t xml:space="preserve">, </w:t>
      </w:r>
      <w:r w:rsidR="0019569C">
        <w:rPr>
          <w:rStyle w:val="hlfld-contribauthor"/>
          <w:lang w:val="en-AU"/>
        </w:rPr>
        <w:t>‘</w:t>
      </w:r>
      <w:r w:rsidRPr="006A1F39">
        <w:rPr>
          <w:lang w:val="en-AU"/>
        </w:rPr>
        <w:t>Transatlantic relations in times of uncertainty: crises and EU-US relations</w:t>
      </w:r>
      <w:r w:rsidR="0019569C">
        <w:rPr>
          <w:lang w:val="en-AU"/>
        </w:rPr>
        <w:t>’</w:t>
      </w:r>
      <w:r w:rsidRPr="006A1F39">
        <w:rPr>
          <w:rStyle w:val="hlfld-title"/>
          <w:lang w:val="en-AU"/>
        </w:rPr>
        <w:t xml:space="preserve">, </w:t>
      </w:r>
      <w:r w:rsidRPr="006A1F39">
        <w:rPr>
          <w:i/>
          <w:lang w:val="en-AU"/>
        </w:rPr>
        <w:t>Journal of European Integration</w:t>
      </w:r>
      <w:r w:rsidRPr="006A1F39">
        <w:rPr>
          <w:lang w:val="en-AU"/>
        </w:rPr>
        <w:t>,</w:t>
      </w:r>
      <w:r w:rsidR="00AE1760">
        <w:rPr>
          <w:lang w:val="en-AU"/>
        </w:rPr>
        <w:t xml:space="preserve"> 2018,</w:t>
      </w:r>
      <w:r w:rsidRPr="006A1F39">
        <w:rPr>
          <w:lang w:val="en-AU"/>
        </w:rPr>
        <w:t> </w:t>
      </w:r>
      <w:hyperlink r:id="rId40" w:history="1">
        <w:r w:rsidRPr="006A1F39">
          <w:rPr>
            <w:rStyle w:val="Hyperlink"/>
            <w:color w:val="auto"/>
            <w:u w:val="none"/>
            <w:lang w:val="en-AU"/>
          </w:rPr>
          <w:t>40</w:t>
        </w:r>
        <w:r w:rsidR="00AE1760">
          <w:rPr>
            <w:rStyle w:val="Hyperlink"/>
            <w:color w:val="auto"/>
            <w:u w:val="none"/>
            <w:lang w:val="en-AU"/>
          </w:rPr>
          <w:t xml:space="preserve">: 5, </w:t>
        </w:r>
      </w:hyperlink>
      <w:r w:rsidR="00AE1760">
        <w:rPr>
          <w:rStyle w:val="Hyperlink"/>
          <w:color w:val="auto"/>
          <w:u w:val="none"/>
          <w:lang w:val="en-AU"/>
        </w:rPr>
        <w:t>pp.505-521</w:t>
      </w:r>
    </w:p>
    <w:p w14:paraId="1692804C" w14:textId="4C20DB06" w:rsidR="0010321B" w:rsidRPr="0010321B" w:rsidRDefault="0010321B" w:rsidP="0010321B">
      <w:pPr>
        <w:pStyle w:val="ListParagraph"/>
        <w:numPr>
          <w:ilvl w:val="0"/>
          <w:numId w:val="20"/>
        </w:numPr>
        <w:shd w:val="clear" w:color="auto" w:fill="FFFFFF"/>
        <w:rPr>
          <w:lang w:val="en-AU"/>
        </w:rPr>
      </w:pPr>
      <w:r w:rsidRPr="0010321B">
        <w:rPr>
          <w:rStyle w:val="Hyperlink"/>
          <w:color w:val="auto"/>
          <w:u w:val="none"/>
          <w:lang w:val="en-AU"/>
        </w:rPr>
        <w:t>Gilles Gressani, ‘</w:t>
      </w:r>
      <w:r w:rsidRPr="0010321B">
        <w:t>The Franco-Italian relationship on the eve of the Quirinal Treaty: between asymmetry and proximity</w:t>
      </w:r>
      <w:r>
        <w:t xml:space="preserve">’, </w:t>
      </w:r>
      <w:r w:rsidRPr="0010321B">
        <w:rPr>
          <w:i/>
        </w:rPr>
        <w:t>European Issues</w:t>
      </w:r>
      <w:r>
        <w:t xml:space="preserve"> 599, available at </w:t>
      </w:r>
      <w:r w:rsidRPr="0010321B">
        <w:t>https://www.robert-schuman.eu/en/european-issues/0599-the-franco-italian-relationship-on-the-eve-of-the-quirinal-treaty-between-asymmetry-and-proximity</w:t>
      </w:r>
    </w:p>
    <w:p w14:paraId="648CB996" w14:textId="4D8AF2FF" w:rsidR="0010321B" w:rsidRPr="006A1F39" w:rsidRDefault="0010321B" w:rsidP="0010321B">
      <w:pPr>
        <w:pStyle w:val="ListParagraph"/>
        <w:shd w:val="clear" w:color="auto" w:fill="FFFFFF"/>
        <w:rPr>
          <w:rStyle w:val="Hyperlink"/>
          <w:color w:val="auto"/>
          <w:u w:val="none"/>
          <w:lang w:val="en-AU"/>
        </w:rPr>
      </w:pPr>
    </w:p>
    <w:p w14:paraId="4BEA3638" w14:textId="77777777" w:rsidR="00892A3A" w:rsidRPr="006A1F39" w:rsidRDefault="00892A3A" w:rsidP="00892A3A">
      <w:pPr>
        <w:rPr>
          <w:b/>
          <w:bCs/>
          <w:lang w:val="en-AU"/>
        </w:rPr>
      </w:pPr>
    </w:p>
    <w:p w14:paraId="732EE1E0" w14:textId="69B567E3" w:rsidR="00892A3A" w:rsidRPr="00F43F06" w:rsidRDefault="00892A3A" w:rsidP="002E5631">
      <w:pPr>
        <w:shd w:val="clear" w:color="auto" w:fill="FFFFFF"/>
        <w:rPr>
          <w:lang w:val="en-AU"/>
        </w:rPr>
      </w:pPr>
      <w:r w:rsidRPr="00F43F06">
        <w:rPr>
          <w:lang w:val="en-AU"/>
        </w:rPr>
        <w:t>Optional:</w:t>
      </w:r>
    </w:p>
    <w:p w14:paraId="689C3EEA" w14:textId="28016E1F" w:rsidR="00892A3A" w:rsidRPr="006A1F39" w:rsidRDefault="00892A3A" w:rsidP="00892A3A">
      <w:pPr>
        <w:pStyle w:val="ListParagraph"/>
        <w:numPr>
          <w:ilvl w:val="0"/>
          <w:numId w:val="20"/>
        </w:numPr>
        <w:rPr>
          <w:lang w:val="en-AU"/>
        </w:rPr>
      </w:pPr>
      <w:r w:rsidRPr="006A1F39">
        <w:rPr>
          <w:lang w:val="en-AU"/>
        </w:rPr>
        <w:t>Sven Biscop</w:t>
      </w:r>
      <w:r w:rsidRPr="006A1F39">
        <w:rPr>
          <w:rStyle w:val="hlfld-title"/>
          <w:lang w:val="en-AU"/>
        </w:rPr>
        <w:t xml:space="preserve">, </w:t>
      </w:r>
      <w:r w:rsidR="00AE1760">
        <w:rPr>
          <w:rStyle w:val="hlfld-title"/>
          <w:lang w:val="en-AU"/>
        </w:rPr>
        <w:t>‘</w:t>
      </w:r>
      <w:r w:rsidRPr="006A1F39">
        <w:rPr>
          <w:lang w:val="en-AU"/>
        </w:rPr>
        <w:t>The state of defence in Europe: dependence, deterrence and deployment</w:t>
      </w:r>
      <w:r w:rsidR="00AE1760">
        <w:rPr>
          <w:lang w:val="en-AU"/>
        </w:rPr>
        <w:t>’</w:t>
      </w:r>
      <w:r w:rsidRPr="006A1F39">
        <w:rPr>
          <w:rStyle w:val="hlfld-title"/>
          <w:lang w:val="en-AU"/>
        </w:rPr>
        <w:t xml:space="preserve">, </w:t>
      </w:r>
      <w:r w:rsidRPr="006A1F39">
        <w:rPr>
          <w:i/>
          <w:lang w:val="en-AU"/>
        </w:rPr>
        <w:t>Global Affairs</w:t>
      </w:r>
      <w:r w:rsidRPr="006A1F39">
        <w:rPr>
          <w:lang w:val="en-AU"/>
        </w:rPr>
        <w:t>, 2015</w:t>
      </w:r>
      <w:r w:rsidR="00AE1760">
        <w:rPr>
          <w:lang w:val="en-AU"/>
        </w:rPr>
        <w:t>, 1:2, pp. 169-182</w:t>
      </w:r>
      <w:r w:rsidRPr="006A1F39">
        <w:rPr>
          <w:lang w:val="en-AU"/>
        </w:rPr>
        <w:t xml:space="preserve">  </w:t>
      </w:r>
    </w:p>
    <w:p w14:paraId="5B86CFAB" w14:textId="2E79C4DF" w:rsidR="00F77993" w:rsidRPr="00AE1760" w:rsidRDefault="00F77993" w:rsidP="00AE1760">
      <w:pPr>
        <w:pStyle w:val="ListParagraph"/>
        <w:numPr>
          <w:ilvl w:val="0"/>
          <w:numId w:val="20"/>
        </w:numPr>
        <w:shd w:val="clear" w:color="auto" w:fill="FFFFFF"/>
        <w:rPr>
          <w:rStyle w:val="Hyperlink"/>
          <w:color w:val="auto"/>
          <w:u w:val="none"/>
          <w:lang w:val="en-AU"/>
        </w:rPr>
      </w:pPr>
      <w:r w:rsidRPr="006A1F39">
        <w:rPr>
          <w:rStyle w:val="hlfld-contribauthor"/>
          <w:lang w:val="en-AU"/>
        </w:rPr>
        <w:t xml:space="preserve">Pierre Haroche, </w:t>
      </w:r>
      <w:r w:rsidR="00AE1760">
        <w:rPr>
          <w:rStyle w:val="hlfld-contribauthor"/>
          <w:lang w:val="en-AU"/>
        </w:rPr>
        <w:t>‘</w:t>
      </w:r>
      <w:r w:rsidRPr="006A1F39">
        <w:rPr>
          <w:rStyle w:val="hlfld-title"/>
          <w:lang w:val="en-AU"/>
        </w:rPr>
        <w:t>Interdependence, asymmetric crises, and European defence cooperation</w:t>
      </w:r>
      <w:r w:rsidR="00AE1760">
        <w:rPr>
          <w:rStyle w:val="hlfld-title"/>
          <w:lang w:val="en-AU"/>
        </w:rPr>
        <w:t>’</w:t>
      </w:r>
      <w:r w:rsidRPr="006A1F39">
        <w:rPr>
          <w:rStyle w:val="hlfld-title"/>
          <w:lang w:val="en-AU"/>
        </w:rPr>
        <w:t>,</w:t>
      </w:r>
      <w:r w:rsidR="00AE1760">
        <w:rPr>
          <w:rStyle w:val="hlfld-title"/>
          <w:lang w:val="en-AU"/>
        </w:rPr>
        <w:t xml:space="preserve"> </w:t>
      </w:r>
      <w:r w:rsidRPr="00AE1760">
        <w:rPr>
          <w:i/>
          <w:lang w:val="en-AU"/>
        </w:rPr>
        <w:t>European s</w:t>
      </w:r>
      <w:r w:rsidRPr="00AE1760">
        <w:rPr>
          <w:rStyle w:val="hlfld-title"/>
          <w:i/>
          <w:lang w:val="en-AU"/>
        </w:rPr>
        <w:t>ecurity</w:t>
      </w:r>
      <w:r w:rsidRPr="00AE1760">
        <w:rPr>
          <w:lang w:val="en-AU"/>
        </w:rPr>
        <w:t>, </w:t>
      </w:r>
      <w:r w:rsidR="00AE1760">
        <w:rPr>
          <w:lang w:val="en-AU"/>
        </w:rPr>
        <w:t xml:space="preserve">2017, </w:t>
      </w:r>
      <w:r w:rsidRPr="00AE1760">
        <w:rPr>
          <w:lang w:val="en-AU"/>
        </w:rPr>
        <w:t>26</w:t>
      </w:r>
      <w:r w:rsidR="00AE1760">
        <w:rPr>
          <w:lang w:val="en-AU"/>
        </w:rPr>
        <w:t>:2, pp. 226-252</w:t>
      </w:r>
    </w:p>
    <w:p w14:paraId="5DD9BDE4" w14:textId="3405126A" w:rsidR="00F77993" w:rsidRPr="006A1F39" w:rsidRDefault="00F77993" w:rsidP="00F77993">
      <w:pPr>
        <w:pStyle w:val="ListParagraph"/>
        <w:numPr>
          <w:ilvl w:val="0"/>
          <w:numId w:val="20"/>
        </w:numPr>
        <w:shd w:val="clear" w:color="auto" w:fill="FFFFFF"/>
        <w:rPr>
          <w:lang w:val="en-AU"/>
        </w:rPr>
      </w:pPr>
      <w:r w:rsidRPr="006A1F39">
        <w:rPr>
          <w:lang w:val="en-AU"/>
        </w:rPr>
        <w:t>François Heisbourg</w:t>
      </w:r>
      <w:r w:rsidRPr="006A1F39">
        <w:rPr>
          <w:rStyle w:val="hlfld-contribauthor"/>
          <w:lang w:val="en-AU"/>
        </w:rPr>
        <w:t xml:space="preserve">, </w:t>
      </w:r>
      <w:r w:rsidR="00AE1760">
        <w:rPr>
          <w:rStyle w:val="hlfld-contribauthor"/>
          <w:lang w:val="en-AU"/>
        </w:rPr>
        <w:t>‘</w:t>
      </w:r>
      <w:r w:rsidRPr="006A1F39">
        <w:rPr>
          <w:lang w:val="en-AU"/>
        </w:rPr>
        <w:t>Europe’s Defence: Revisiting the Impact of Brexit</w:t>
      </w:r>
      <w:r w:rsidR="00AE1760">
        <w:rPr>
          <w:lang w:val="en-AU"/>
        </w:rPr>
        <w:t>’</w:t>
      </w:r>
      <w:r w:rsidR="006043B5" w:rsidRPr="006A1F39">
        <w:rPr>
          <w:lang w:val="en-AU"/>
        </w:rPr>
        <w:t>,</w:t>
      </w:r>
    </w:p>
    <w:p w14:paraId="0556CDD1" w14:textId="6AB736FD" w:rsidR="00F77993" w:rsidRPr="006A1F39" w:rsidRDefault="00F77993" w:rsidP="00F77993">
      <w:pPr>
        <w:shd w:val="clear" w:color="auto" w:fill="FFFFFF"/>
        <w:ind w:firstLine="720"/>
        <w:rPr>
          <w:lang w:val="en-AU"/>
        </w:rPr>
      </w:pPr>
      <w:r w:rsidRPr="006A1F39">
        <w:rPr>
          <w:i/>
          <w:lang w:val="en-AU"/>
        </w:rPr>
        <w:t>Survival</w:t>
      </w:r>
      <w:r w:rsidRPr="006A1F39">
        <w:rPr>
          <w:lang w:val="en-AU"/>
        </w:rPr>
        <w:t>, </w:t>
      </w:r>
      <w:r w:rsidR="00AE1760">
        <w:rPr>
          <w:lang w:val="en-AU"/>
        </w:rPr>
        <w:t>2018, 60:6, pp. 17-26</w:t>
      </w:r>
    </w:p>
    <w:p w14:paraId="3AAE9A3B" w14:textId="2B52E0FC" w:rsidR="006043B5" w:rsidRPr="006A1F39" w:rsidRDefault="00892A3A" w:rsidP="006043B5">
      <w:pPr>
        <w:pStyle w:val="ListParagraph"/>
        <w:numPr>
          <w:ilvl w:val="0"/>
          <w:numId w:val="20"/>
        </w:numPr>
        <w:rPr>
          <w:lang w:val="en-AU"/>
        </w:rPr>
      </w:pPr>
      <w:r w:rsidRPr="006A1F39">
        <w:rPr>
          <w:lang w:val="en-AU"/>
        </w:rPr>
        <w:t>Thierry Tardy</w:t>
      </w:r>
      <w:r w:rsidRPr="006A1F39">
        <w:rPr>
          <w:rStyle w:val="hlfld-contribauthor"/>
          <w:lang w:val="en-AU"/>
        </w:rPr>
        <w:t xml:space="preserve">, </w:t>
      </w:r>
      <w:r w:rsidR="00AE1760">
        <w:rPr>
          <w:rStyle w:val="hlfld-contribauthor"/>
          <w:lang w:val="en-AU"/>
        </w:rPr>
        <w:t>‘</w:t>
      </w:r>
      <w:r w:rsidRPr="006A1F39">
        <w:rPr>
          <w:lang w:val="en-AU"/>
        </w:rPr>
        <w:t>Does European defence really matter? Fortunes and misfortunes of the Common Security and Defence Policy</w:t>
      </w:r>
      <w:r w:rsidR="00AE1760">
        <w:rPr>
          <w:lang w:val="en-AU"/>
        </w:rPr>
        <w:t>’</w:t>
      </w:r>
      <w:r w:rsidRPr="006A1F39">
        <w:rPr>
          <w:rStyle w:val="hlfld-title"/>
          <w:lang w:val="en-AU"/>
        </w:rPr>
        <w:t xml:space="preserve">, </w:t>
      </w:r>
      <w:hyperlink r:id="rId41" w:history="1">
        <w:r w:rsidRPr="006A1F39">
          <w:rPr>
            <w:rStyle w:val="Hyperlink"/>
            <w:i/>
            <w:color w:val="auto"/>
            <w:u w:val="none"/>
            <w:lang w:val="en-AU"/>
          </w:rPr>
          <w:t>European Security</w:t>
        </w:r>
      </w:hyperlink>
      <w:r w:rsidRPr="006A1F39">
        <w:rPr>
          <w:lang w:val="en-AU"/>
        </w:rPr>
        <w:t>, </w:t>
      </w:r>
      <w:hyperlink r:id="rId42" w:history="1">
        <w:r w:rsidRPr="006A1F39">
          <w:rPr>
            <w:rStyle w:val="Hyperlink"/>
            <w:color w:val="auto"/>
            <w:u w:val="none"/>
            <w:lang w:val="en-AU"/>
          </w:rPr>
          <w:t>2018</w:t>
        </w:r>
        <w:r w:rsidR="00AE1760">
          <w:rPr>
            <w:rStyle w:val="Hyperlink"/>
            <w:color w:val="auto"/>
            <w:u w:val="none"/>
            <w:lang w:val="en-AU"/>
          </w:rPr>
          <w:t>, 27:2,</w:t>
        </w:r>
        <w:r w:rsidRPr="006A1F39">
          <w:rPr>
            <w:rStyle w:val="Hyperlink"/>
            <w:color w:val="auto"/>
            <w:u w:val="none"/>
            <w:lang w:val="en-AU"/>
          </w:rPr>
          <w:t xml:space="preserve"> </w:t>
        </w:r>
      </w:hyperlink>
      <w:r w:rsidR="00AE1760">
        <w:rPr>
          <w:rStyle w:val="Hyperlink"/>
          <w:color w:val="auto"/>
          <w:u w:val="none"/>
          <w:lang w:val="en-AU"/>
        </w:rPr>
        <w:t>pp.1-19</w:t>
      </w:r>
    </w:p>
    <w:p w14:paraId="575F9F13" w14:textId="24E12950" w:rsidR="00892A3A" w:rsidRPr="006A1F39" w:rsidRDefault="00892A3A" w:rsidP="006043B5">
      <w:pPr>
        <w:pStyle w:val="ListParagraph"/>
        <w:numPr>
          <w:ilvl w:val="0"/>
          <w:numId w:val="20"/>
        </w:numPr>
        <w:rPr>
          <w:lang w:val="en-AU"/>
        </w:rPr>
      </w:pPr>
      <w:r w:rsidRPr="006A1F39">
        <w:rPr>
          <w:lang w:val="en-AU"/>
        </w:rPr>
        <w:t>Marcin Terlikowski</w:t>
      </w:r>
      <w:r w:rsidRPr="006A1F39">
        <w:rPr>
          <w:rStyle w:val="hlfld-title"/>
          <w:lang w:val="en-AU"/>
        </w:rPr>
        <w:t xml:space="preserve">, </w:t>
      </w:r>
      <w:r w:rsidR="00AE1760">
        <w:rPr>
          <w:rStyle w:val="hlfld-title"/>
          <w:lang w:val="en-AU"/>
        </w:rPr>
        <w:t>‘</w:t>
      </w:r>
      <w:r w:rsidRPr="006A1F39">
        <w:rPr>
          <w:lang w:val="en-AU"/>
        </w:rPr>
        <w:t>No One Left Behind?: European Defence and ‘Brexit’</w:t>
      </w:r>
      <w:r w:rsidRPr="006A1F39">
        <w:rPr>
          <w:rStyle w:val="hlfld-title"/>
          <w:lang w:val="en-AU"/>
        </w:rPr>
        <w:t>,</w:t>
      </w:r>
    </w:p>
    <w:p w14:paraId="0A668D59" w14:textId="5696F6BA" w:rsidR="00892A3A" w:rsidRPr="006A1F39" w:rsidRDefault="00892A3A" w:rsidP="00892A3A">
      <w:pPr>
        <w:shd w:val="clear" w:color="auto" w:fill="FFFFFF"/>
        <w:ind w:firstLine="720"/>
        <w:rPr>
          <w:lang w:val="en-AU"/>
        </w:rPr>
      </w:pPr>
      <w:r w:rsidRPr="006A1F39">
        <w:rPr>
          <w:i/>
          <w:lang w:val="en-AU"/>
        </w:rPr>
        <w:t>The RUSI Journa</w:t>
      </w:r>
      <w:r w:rsidRPr="006A1F39">
        <w:rPr>
          <w:lang w:val="en-AU"/>
        </w:rPr>
        <w:t>l,  2013</w:t>
      </w:r>
      <w:r w:rsidR="00AE1760">
        <w:rPr>
          <w:lang w:val="en-AU"/>
        </w:rPr>
        <w:t>, 158:4, pp.26-30</w:t>
      </w:r>
    </w:p>
    <w:p w14:paraId="1B4942F6" w14:textId="5F7044EC" w:rsidR="00892A3A" w:rsidRDefault="00892A3A" w:rsidP="00892A3A">
      <w:pPr>
        <w:pStyle w:val="ListParagraph"/>
        <w:numPr>
          <w:ilvl w:val="0"/>
          <w:numId w:val="20"/>
        </w:numPr>
        <w:rPr>
          <w:rStyle w:val="pagerange"/>
          <w:lang w:val="en-AU"/>
        </w:rPr>
      </w:pPr>
      <w:r w:rsidRPr="006A1F39">
        <w:rPr>
          <w:rStyle w:val="pagerange"/>
          <w:lang w:val="en-AU"/>
        </w:rPr>
        <w:t xml:space="preserve">Ragnar Weilandt, </w:t>
      </w:r>
      <w:r w:rsidR="00AE1760">
        <w:rPr>
          <w:rStyle w:val="pagerange"/>
          <w:lang w:val="en-AU"/>
        </w:rPr>
        <w:t>‘</w:t>
      </w:r>
      <w:r w:rsidRPr="006A1F39">
        <w:rPr>
          <w:rStyle w:val="pagerange"/>
          <w:lang w:val="en-AU"/>
        </w:rPr>
        <w:t>Will Brexit change the EU’s foreign policy?</w:t>
      </w:r>
      <w:r w:rsidR="00AE1760">
        <w:rPr>
          <w:rStyle w:val="pagerange"/>
          <w:lang w:val="en-AU"/>
        </w:rPr>
        <w:t>’</w:t>
      </w:r>
      <w:r w:rsidRPr="006A1F39">
        <w:rPr>
          <w:rStyle w:val="pagerange"/>
          <w:lang w:val="en-AU"/>
        </w:rPr>
        <w:t xml:space="preserve">, </w:t>
      </w:r>
      <w:r w:rsidRPr="006A1F39">
        <w:rPr>
          <w:rStyle w:val="pagerange"/>
          <w:i/>
          <w:lang w:val="en-AU"/>
        </w:rPr>
        <w:t>Survival</w:t>
      </w:r>
      <w:r w:rsidRPr="006A1F39">
        <w:rPr>
          <w:rStyle w:val="pagerange"/>
          <w:lang w:val="en-AU"/>
        </w:rPr>
        <w:t>, 2019</w:t>
      </w:r>
      <w:r w:rsidR="00AE1760">
        <w:rPr>
          <w:rStyle w:val="pagerange"/>
          <w:lang w:val="en-AU"/>
        </w:rPr>
        <w:t>, 61:2, pp.143-166</w:t>
      </w:r>
    </w:p>
    <w:p w14:paraId="666E93F9" w14:textId="5594F14D" w:rsidR="00A017EE" w:rsidRDefault="00AE1760" w:rsidP="00AA18D3">
      <w:pPr>
        <w:pStyle w:val="ListParagraph"/>
        <w:numPr>
          <w:ilvl w:val="0"/>
          <w:numId w:val="20"/>
        </w:numPr>
        <w:shd w:val="clear" w:color="auto" w:fill="FFFFFF"/>
        <w:rPr>
          <w:rStyle w:val="Hyperlink"/>
          <w:color w:val="auto"/>
          <w:u w:val="none"/>
          <w:lang w:val="en-AU"/>
        </w:rPr>
      </w:pPr>
      <w:r w:rsidRPr="006A1F39">
        <w:rPr>
          <w:lang w:val="en-AU"/>
        </w:rPr>
        <w:t>Nick Witney</w:t>
      </w:r>
      <w:r w:rsidRPr="006A1F39">
        <w:rPr>
          <w:rStyle w:val="hlfld-contribauthor"/>
          <w:lang w:val="en-AU"/>
        </w:rPr>
        <w:t xml:space="preserve">, </w:t>
      </w:r>
      <w:r>
        <w:rPr>
          <w:rStyle w:val="hlfld-contribauthor"/>
          <w:lang w:val="en-AU"/>
        </w:rPr>
        <w:t>‘</w:t>
      </w:r>
      <w:r w:rsidRPr="006A1F39">
        <w:rPr>
          <w:lang w:val="en-AU"/>
        </w:rPr>
        <w:t>European Defence: An Open Goal for Britain</w:t>
      </w:r>
      <w:r>
        <w:rPr>
          <w:lang w:val="en-AU"/>
        </w:rPr>
        <w:t>’</w:t>
      </w:r>
      <w:r w:rsidRPr="006A1F39">
        <w:rPr>
          <w:rStyle w:val="hlfld-title"/>
          <w:lang w:val="en-AU"/>
        </w:rPr>
        <w:t xml:space="preserve">, </w:t>
      </w:r>
      <w:r w:rsidRPr="006A1F39">
        <w:rPr>
          <w:i/>
          <w:lang w:val="en-AU"/>
        </w:rPr>
        <w:t>The RUSI Journal</w:t>
      </w:r>
      <w:r w:rsidRPr="006A1F39">
        <w:rPr>
          <w:lang w:val="en-AU"/>
        </w:rPr>
        <w:t>, </w:t>
      </w:r>
      <w:r w:rsidR="0010321B">
        <w:t>2015, 16:5, pp.</w:t>
      </w:r>
      <w:r w:rsidR="0010321B" w:rsidRPr="006A1F39">
        <w:rPr>
          <w:rStyle w:val="Hyperlink"/>
          <w:color w:val="auto"/>
          <w:u w:val="none"/>
          <w:lang w:val="en-AU"/>
        </w:rPr>
        <w:t xml:space="preserve"> </w:t>
      </w:r>
      <w:r w:rsidR="0010321B">
        <w:rPr>
          <w:rStyle w:val="Hyperlink"/>
          <w:color w:val="auto"/>
          <w:u w:val="none"/>
          <w:lang w:val="en-AU"/>
        </w:rPr>
        <w:t>12-15</w:t>
      </w:r>
    </w:p>
    <w:p w14:paraId="716F5318" w14:textId="77777777" w:rsidR="005841A5" w:rsidRPr="006A1F39" w:rsidRDefault="00A5642D" w:rsidP="005841A5">
      <w:pPr>
        <w:pStyle w:val="ListParagraph"/>
        <w:numPr>
          <w:ilvl w:val="0"/>
          <w:numId w:val="20"/>
        </w:numPr>
        <w:shd w:val="clear" w:color="auto" w:fill="FFFFFF"/>
        <w:rPr>
          <w:lang w:val="en-AU"/>
        </w:rPr>
      </w:pPr>
      <w:hyperlink r:id="rId43" w:history="1">
        <w:r w:rsidR="005841A5" w:rsidRPr="006A1F39">
          <w:rPr>
            <w:rStyle w:val="Hyperlink"/>
            <w:color w:val="auto"/>
            <w:u w:val="none"/>
            <w:lang w:val="en-AU"/>
          </w:rPr>
          <w:t>Steve Marsh</w:t>
        </w:r>
      </w:hyperlink>
      <w:r w:rsidR="005841A5" w:rsidRPr="006A1F39">
        <w:rPr>
          <w:rStyle w:val="hlfld-contribauthor"/>
          <w:lang w:val="en-AU"/>
        </w:rPr>
        <w:t xml:space="preserve">, </w:t>
      </w:r>
      <w:r w:rsidR="005841A5">
        <w:rPr>
          <w:rStyle w:val="hlfld-contribauthor"/>
          <w:lang w:val="en-AU"/>
        </w:rPr>
        <w:t>‘</w:t>
      </w:r>
      <w:r w:rsidR="005841A5" w:rsidRPr="006A1F39">
        <w:rPr>
          <w:lang w:val="en-AU"/>
        </w:rPr>
        <w:t>The US, BREXIT and Anglo-American relations</w:t>
      </w:r>
      <w:r w:rsidR="005841A5">
        <w:rPr>
          <w:lang w:val="en-AU"/>
        </w:rPr>
        <w:t>’</w:t>
      </w:r>
      <w:r w:rsidR="005841A5" w:rsidRPr="006A1F39">
        <w:rPr>
          <w:rStyle w:val="hlfld-title"/>
          <w:lang w:val="en-AU"/>
        </w:rPr>
        <w:t xml:space="preserve">, </w:t>
      </w:r>
      <w:r w:rsidR="005841A5" w:rsidRPr="006A1F39">
        <w:rPr>
          <w:i/>
          <w:lang w:val="en-AU"/>
        </w:rPr>
        <w:t>Journal of Transatlantic Studies</w:t>
      </w:r>
      <w:r w:rsidR="005841A5" w:rsidRPr="006A1F39">
        <w:rPr>
          <w:lang w:val="en-AU"/>
        </w:rPr>
        <w:t>, 2018</w:t>
      </w:r>
      <w:r w:rsidR="005841A5">
        <w:rPr>
          <w:lang w:val="en-AU"/>
        </w:rPr>
        <w:t>, 16:3, pp. 272-294</w:t>
      </w:r>
      <w:r w:rsidR="005841A5" w:rsidRPr="006A1F39">
        <w:rPr>
          <w:lang w:val="en-AU"/>
        </w:rPr>
        <w:t xml:space="preserve">   </w:t>
      </w:r>
    </w:p>
    <w:p w14:paraId="6BBA9EE9" w14:textId="77777777" w:rsidR="005841A5" w:rsidRPr="00AA18D3" w:rsidRDefault="005841A5" w:rsidP="005841A5">
      <w:pPr>
        <w:pStyle w:val="ListParagraph"/>
        <w:shd w:val="clear" w:color="auto" w:fill="FFFFFF"/>
        <w:rPr>
          <w:rStyle w:val="pagerange"/>
          <w:lang w:val="en-AU"/>
        </w:rPr>
      </w:pPr>
    </w:p>
    <w:p w14:paraId="649A909C" w14:textId="77777777" w:rsidR="00892A3A" w:rsidRPr="006A1F39" w:rsidRDefault="00892A3A" w:rsidP="005841A5">
      <w:pPr>
        <w:shd w:val="clear" w:color="auto" w:fill="FFFFFF"/>
        <w:rPr>
          <w:lang w:val="en-AU"/>
        </w:rPr>
      </w:pPr>
      <w:r w:rsidRPr="006A1F39">
        <w:rPr>
          <w:lang w:val="en-AU"/>
        </w:rPr>
        <w:t xml:space="preserve"> </w:t>
      </w:r>
    </w:p>
    <w:p w14:paraId="18AAA82F" w14:textId="680B6E8F" w:rsidR="00604F27" w:rsidRDefault="00604F27" w:rsidP="002B7858">
      <w:pPr>
        <w:rPr>
          <w:b/>
          <w:bCs/>
          <w:lang w:val="en-AU"/>
        </w:rPr>
      </w:pPr>
      <w:r w:rsidRPr="0019569C">
        <w:rPr>
          <w:b/>
          <w:bCs/>
          <w:lang w:val="en-AU"/>
        </w:rPr>
        <w:t xml:space="preserve">Session 11: </w:t>
      </w:r>
      <w:r w:rsidR="007042E2" w:rsidRPr="0019569C">
        <w:rPr>
          <w:b/>
          <w:bCs/>
          <w:lang w:val="en-AU"/>
        </w:rPr>
        <w:t>Tuesday March 29</w:t>
      </w:r>
      <w:r w:rsidRPr="0019569C">
        <w:rPr>
          <w:b/>
          <w:bCs/>
          <w:lang w:val="en-AU"/>
        </w:rPr>
        <w:t xml:space="preserve"> </w:t>
      </w:r>
    </w:p>
    <w:p w14:paraId="6F5F65B3" w14:textId="77777777" w:rsidR="00F43F06" w:rsidRPr="0019569C" w:rsidRDefault="00F43F06" w:rsidP="002B7858">
      <w:pPr>
        <w:rPr>
          <w:b/>
          <w:bCs/>
          <w:lang w:val="en-AU"/>
        </w:rPr>
      </w:pPr>
    </w:p>
    <w:p w14:paraId="6602E20C" w14:textId="77777777" w:rsidR="002B7858" w:rsidRPr="0019569C" w:rsidRDefault="002B7858" w:rsidP="002B7858">
      <w:pPr>
        <w:rPr>
          <w:b/>
          <w:bCs/>
          <w:lang w:val="en-AU"/>
        </w:rPr>
      </w:pPr>
      <w:r w:rsidRPr="0019569C">
        <w:rPr>
          <w:b/>
          <w:bCs/>
          <w:lang w:val="en-AU"/>
        </w:rPr>
        <w:t xml:space="preserve">RUSSIA AS A SECURITY CHALLENGE? </w:t>
      </w:r>
    </w:p>
    <w:p w14:paraId="5C005054" w14:textId="77777777" w:rsidR="0019569C" w:rsidRDefault="002B7858" w:rsidP="002B7858">
      <w:pPr>
        <w:rPr>
          <w:b/>
          <w:bCs/>
          <w:lang w:val="en-AU"/>
        </w:rPr>
      </w:pPr>
      <w:r w:rsidRPr="0019569C">
        <w:rPr>
          <w:b/>
          <w:bCs/>
          <w:lang w:val="en-AU"/>
        </w:rPr>
        <w:tab/>
      </w:r>
    </w:p>
    <w:p w14:paraId="17A6D16F" w14:textId="13168A40" w:rsidR="002B7858" w:rsidRPr="0019569C" w:rsidRDefault="002B7858" w:rsidP="0019569C">
      <w:pPr>
        <w:ind w:firstLine="720"/>
        <w:rPr>
          <w:bCs/>
          <w:lang w:val="en-AU"/>
        </w:rPr>
      </w:pPr>
      <w:r w:rsidRPr="0019569C">
        <w:rPr>
          <w:bCs/>
          <w:lang w:val="en-AU"/>
        </w:rPr>
        <w:t>Russia’s geopolitical interests and security concepts</w:t>
      </w:r>
    </w:p>
    <w:p w14:paraId="75BD5874" w14:textId="77777777" w:rsidR="0089624B" w:rsidRPr="0019569C" w:rsidRDefault="002B7858" w:rsidP="002B7858">
      <w:pPr>
        <w:rPr>
          <w:bCs/>
          <w:lang w:val="en-AU"/>
        </w:rPr>
      </w:pPr>
      <w:r w:rsidRPr="0019569C">
        <w:rPr>
          <w:bCs/>
          <w:lang w:val="en-AU"/>
        </w:rPr>
        <w:tab/>
        <w:t>Stealth infl</w:t>
      </w:r>
      <w:r w:rsidR="0089624B" w:rsidRPr="0019569C">
        <w:rPr>
          <w:bCs/>
          <w:lang w:val="en-AU"/>
        </w:rPr>
        <w:t>uence and ideological offensive</w:t>
      </w:r>
    </w:p>
    <w:p w14:paraId="7BF73EC4" w14:textId="77777777" w:rsidR="0089624B" w:rsidRPr="0019569C" w:rsidRDefault="002B7858" w:rsidP="002B7858">
      <w:pPr>
        <w:rPr>
          <w:bCs/>
          <w:lang w:val="en-AU"/>
        </w:rPr>
      </w:pPr>
      <w:r w:rsidRPr="0019569C">
        <w:rPr>
          <w:bCs/>
          <w:lang w:val="en-AU"/>
        </w:rPr>
        <w:tab/>
        <w:t>Past cooperation and potential for the future</w:t>
      </w:r>
      <w:r w:rsidR="0089624B" w:rsidRPr="0019569C">
        <w:rPr>
          <w:bCs/>
          <w:lang w:val="en-AU"/>
        </w:rPr>
        <w:tab/>
      </w:r>
    </w:p>
    <w:p w14:paraId="572FE34E" w14:textId="77777777" w:rsidR="0089624B" w:rsidRDefault="0089624B" w:rsidP="002B7858">
      <w:pPr>
        <w:rPr>
          <w:bCs/>
          <w:lang w:val="en-AU"/>
        </w:rPr>
      </w:pPr>
      <w:r w:rsidRPr="0019569C">
        <w:rPr>
          <w:bCs/>
          <w:lang w:val="en-AU"/>
        </w:rPr>
        <w:tab/>
        <w:t>The nature of the security challenge with Russia</w:t>
      </w:r>
    </w:p>
    <w:p w14:paraId="6621681A" w14:textId="4A6C5A44" w:rsidR="005A3C9A" w:rsidRPr="0019569C" w:rsidRDefault="005A3C9A" w:rsidP="002B7858">
      <w:pPr>
        <w:rPr>
          <w:bCs/>
          <w:lang w:val="en-AU"/>
        </w:rPr>
      </w:pPr>
      <w:r>
        <w:rPr>
          <w:bCs/>
          <w:lang w:val="en-AU"/>
        </w:rPr>
        <w:t xml:space="preserve">            Energy Security</w:t>
      </w:r>
    </w:p>
    <w:p w14:paraId="5E22B47B" w14:textId="1BA31F9B" w:rsidR="00752A85" w:rsidRPr="0019569C" w:rsidRDefault="00752A85" w:rsidP="002B7858">
      <w:pPr>
        <w:rPr>
          <w:bCs/>
          <w:lang w:val="en-AU"/>
        </w:rPr>
      </w:pPr>
      <w:r w:rsidRPr="0019569C">
        <w:rPr>
          <w:bCs/>
          <w:lang w:val="en-AU"/>
        </w:rPr>
        <w:tab/>
        <w:t>H</w:t>
      </w:r>
      <w:r w:rsidR="0019569C">
        <w:rPr>
          <w:bCs/>
          <w:lang w:val="en-AU"/>
        </w:rPr>
        <w:t>ybrid Wars</w:t>
      </w:r>
    </w:p>
    <w:p w14:paraId="1A5EDDAE" w14:textId="446B17B4" w:rsidR="000F6D91" w:rsidRPr="0019569C" w:rsidRDefault="000F6D91" w:rsidP="002B7858">
      <w:pPr>
        <w:rPr>
          <w:bCs/>
          <w:lang w:val="en-AU"/>
        </w:rPr>
      </w:pPr>
      <w:r w:rsidRPr="0019569C">
        <w:rPr>
          <w:bCs/>
          <w:lang w:val="en-AU"/>
        </w:rPr>
        <w:tab/>
        <w:t>The Arctic</w:t>
      </w:r>
    </w:p>
    <w:p w14:paraId="63301C26" w14:textId="77777777" w:rsidR="00482D72" w:rsidRPr="006A1F39" w:rsidRDefault="00482D72" w:rsidP="002B7858">
      <w:pPr>
        <w:rPr>
          <w:bCs/>
          <w:lang w:val="en-AU"/>
        </w:rPr>
      </w:pPr>
    </w:p>
    <w:p w14:paraId="47B4BE76" w14:textId="77777777" w:rsidR="001B1526" w:rsidRPr="006A1F39" w:rsidRDefault="001B1526" w:rsidP="002B7858">
      <w:pPr>
        <w:rPr>
          <w:bCs/>
          <w:u w:val="single"/>
          <w:lang w:val="en-AU"/>
        </w:rPr>
      </w:pPr>
      <w:r w:rsidRPr="006A1F39">
        <w:rPr>
          <w:bCs/>
          <w:u w:val="single"/>
          <w:lang w:val="en-AU"/>
        </w:rPr>
        <w:t>Required:</w:t>
      </w:r>
    </w:p>
    <w:p w14:paraId="1916D64A" w14:textId="21C0C38E" w:rsidR="00A36C33" w:rsidRPr="00221D65" w:rsidRDefault="00CF325D" w:rsidP="00221D65">
      <w:pPr>
        <w:pStyle w:val="ListParagraph"/>
        <w:numPr>
          <w:ilvl w:val="0"/>
          <w:numId w:val="22"/>
        </w:numPr>
        <w:rPr>
          <w:lang w:val="it-IT" w:eastAsia="it-IT"/>
        </w:rPr>
      </w:pPr>
      <w:r w:rsidRPr="00A36C33">
        <w:rPr>
          <w:lang w:val="it-IT" w:eastAsia="it-IT"/>
        </w:rPr>
        <w:t>Andrew Cottey,</w:t>
      </w:r>
      <w:r w:rsidR="00A36C33">
        <w:rPr>
          <w:lang w:val="it-IT" w:eastAsia="it-IT"/>
        </w:rPr>
        <w:t xml:space="preserve"> ‘The West, Russia, and European Security: Still the long peace?’, </w:t>
      </w:r>
      <w:r w:rsidR="00A36C33">
        <w:rPr>
          <w:i/>
          <w:lang w:val="it-IT" w:eastAsia="it-IT"/>
        </w:rPr>
        <w:t xml:space="preserve">The British Journal of Politics and International Relations, </w:t>
      </w:r>
      <w:r w:rsidR="00221D65">
        <w:rPr>
          <w:lang w:val="it-IT" w:eastAsia="it-IT"/>
        </w:rPr>
        <w:t xml:space="preserve">available at </w:t>
      </w:r>
      <w:r w:rsidR="00221D65" w:rsidRPr="00221D65">
        <w:rPr>
          <w:lang w:val="it-IT" w:eastAsia="it-IT"/>
        </w:rPr>
        <w:t>https://journals.sagepub.com/doi/full/10.1177/13691481211036381</w:t>
      </w:r>
      <w:r w:rsidR="00A36C33">
        <w:rPr>
          <w:i/>
          <w:lang w:val="it-IT" w:eastAsia="it-IT"/>
        </w:rPr>
        <w:t xml:space="preserve"> </w:t>
      </w:r>
    </w:p>
    <w:p w14:paraId="646992F0" w14:textId="3B2FB171" w:rsidR="00CF325D" w:rsidRPr="00A36C33" w:rsidRDefault="00CF325D" w:rsidP="00CF325D">
      <w:pPr>
        <w:pStyle w:val="ListParagraph"/>
        <w:numPr>
          <w:ilvl w:val="0"/>
          <w:numId w:val="22"/>
        </w:numPr>
        <w:rPr>
          <w:lang w:val="it-IT" w:eastAsia="it-IT"/>
        </w:rPr>
      </w:pPr>
      <w:r w:rsidRPr="00A36C33">
        <w:rPr>
          <w:color w:val="333333"/>
          <w:shd w:val="clear" w:color="auto" w:fill="FFFFFF"/>
          <w:lang w:val="it-IT" w:eastAsia="it-IT"/>
        </w:rPr>
        <w:t>Antto Vihma &amp; Mikael Wigell, ‘Unclear and present danger: Russia’s geoeconomics and the Nord Stream II pipeline’, </w:t>
      </w:r>
      <w:r w:rsidRPr="00A36C33">
        <w:rPr>
          <w:i/>
          <w:color w:val="333333"/>
          <w:shd w:val="clear" w:color="auto" w:fill="FFFFFF"/>
          <w:lang w:val="it-IT" w:eastAsia="it-IT"/>
        </w:rPr>
        <w:t>Global Affairs</w:t>
      </w:r>
      <w:r w:rsidRPr="00A36C33">
        <w:rPr>
          <w:color w:val="333333"/>
          <w:shd w:val="clear" w:color="auto" w:fill="FFFFFF"/>
          <w:lang w:val="it-IT" w:eastAsia="it-IT"/>
        </w:rPr>
        <w:t>, 2016, 2:4, </w:t>
      </w:r>
      <w:r w:rsidR="00A017EE">
        <w:rPr>
          <w:color w:val="333333"/>
          <w:shd w:val="clear" w:color="auto" w:fill="FFFFFF"/>
          <w:lang w:val="it-IT" w:eastAsia="it-IT"/>
        </w:rPr>
        <w:t xml:space="preserve">pp. </w:t>
      </w:r>
      <w:r w:rsidRPr="00A36C33">
        <w:rPr>
          <w:color w:val="333333"/>
          <w:shd w:val="clear" w:color="auto" w:fill="FFFFFF"/>
          <w:lang w:val="it-IT" w:eastAsia="it-IT"/>
        </w:rPr>
        <w:t>377-388</w:t>
      </w:r>
    </w:p>
    <w:p w14:paraId="7BFB9AD7" w14:textId="63000973" w:rsidR="009C157F" w:rsidRPr="00A36C33" w:rsidRDefault="0019569C" w:rsidP="009C157F">
      <w:pPr>
        <w:pStyle w:val="ListParagraph"/>
        <w:numPr>
          <w:ilvl w:val="0"/>
          <w:numId w:val="22"/>
        </w:numPr>
        <w:rPr>
          <w:lang w:val="en-AU"/>
        </w:rPr>
      </w:pPr>
      <w:r w:rsidRPr="00A36C33">
        <w:rPr>
          <w:bdr w:val="none" w:sz="0" w:space="0" w:color="auto" w:frame="1"/>
          <w:lang w:val="en-AU"/>
        </w:rPr>
        <w:t>Pavel Baev, ‘</w:t>
      </w:r>
      <w:r w:rsidR="009C157F" w:rsidRPr="00A36C33">
        <w:rPr>
          <w:bdr w:val="none" w:sz="0" w:space="0" w:color="auto" w:frame="1"/>
          <w:lang w:val="en-AU"/>
        </w:rPr>
        <w:t>The military dimension of </w:t>
      </w:r>
      <w:r w:rsidR="009C157F" w:rsidRPr="00A36C33">
        <w:rPr>
          <w:rStyle w:val="Strong"/>
          <w:b w:val="0"/>
          <w:bdr w:val="none" w:sz="0" w:space="0" w:color="auto" w:frame="1"/>
          <w:lang w:val="en-AU"/>
        </w:rPr>
        <w:t>Russia</w:t>
      </w:r>
      <w:r w:rsidR="009C157F" w:rsidRPr="00A36C33">
        <w:rPr>
          <w:bdr w:val="none" w:sz="0" w:space="0" w:color="auto" w:frame="1"/>
          <w:lang w:val="en-AU"/>
        </w:rPr>
        <w:t>’s connection with </w:t>
      </w:r>
      <w:r w:rsidR="009C157F" w:rsidRPr="00A36C33">
        <w:rPr>
          <w:rStyle w:val="Strong"/>
          <w:b w:val="0"/>
          <w:bdr w:val="none" w:sz="0" w:space="0" w:color="auto" w:frame="1"/>
          <w:lang w:val="en-AU"/>
        </w:rPr>
        <w:t>Europe</w:t>
      </w:r>
      <w:r w:rsidRPr="00A36C33">
        <w:rPr>
          <w:bdr w:val="none" w:sz="0" w:space="0" w:color="auto" w:frame="1"/>
          <w:lang w:val="en-AU"/>
        </w:rPr>
        <w:t>’</w:t>
      </w:r>
      <w:r w:rsidR="009C157F" w:rsidRPr="00A36C33">
        <w:rPr>
          <w:lang w:val="en-AU"/>
        </w:rPr>
        <w:t xml:space="preserve"> </w:t>
      </w:r>
      <w:hyperlink r:id="rId44" w:tooltip="Search for European Security" w:history="1">
        <w:r w:rsidR="009C157F" w:rsidRPr="00A36C33">
          <w:rPr>
            <w:rStyle w:val="Hyperlink"/>
            <w:i/>
            <w:color w:val="auto"/>
            <w:u w:val="none"/>
            <w:bdr w:val="none" w:sz="0" w:space="0" w:color="auto" w:frame="1"/>
            <w:lang w:val="en-AU"/>
          </w:rPr>
          <w:t>European </w:t>
        </w:r>
        <w:r w:rsidR="009C157F" w:rsidRPr="00A36C33">
          <w:rPr>
            <w:rStyle w:val="Strong"/>
            <w:b w:val="0"/>
            <w:i/>
            <w:bdr w:val="none" w:sz="0" w:space="0" w:color="auto" w:frame="1"/>
            <w:lang w:val="en-AU"/>
          </w:rPr>
          <w:t>Security</w:t>
        </w:r>
      </w:hyperlink>
      <w:r w:rsidR="00A017EE">
        <w:rPr>
          <w:rStyle w:val="Strong"/>
          <w:b w:val="0"/>
          <w:bdr w:val="none" w:sz="0" w:space="0" w:color="auto" w:frame="1"/>
          <w:lang w:val="en-AU"/>
        </w:rPr>
        <w:t>,</w:t>
      </w:r>
      <w:r w:rsidR="009C157F" w:rsidRPr="00A36C33">
        <w:rPr>
          <w:i/>
          <w:lang w:val="en-AU"/>
        </w:rPr>
        <w:t xml:space="preserve"> </w:t>
      </w:r>
      <w:r w:rsidR="00A017EE">
        <w:rPr>
          <w:lang w:val="en-AU"/>
        </w:rPr>
        <w:t>2018,</w:t>
      </w:r>
      <w:r w:rsidRPr="00A36C33">
        <w:rPr>
          <w:lang w:val="en-AU"/>
        </w:rPr>
        <w:t xml:space="preserve"> </w:t>
      </w:r>
      <w:r w:rsidR="00A017EE">
        <w:rPr>
          <w:lang w:val="en-AU"/>
        </w:rPr>
        <w:t xml:space="preserve">27:1, pp. </w:t>
      </w:r>
      <w:r w:rsidRPr="00A36C33">
        <w:rPr>
          <w:lang w:val="en-AU"/>
        </w:rPr>
        <w:t>82-97</w:t>
      </w:r>
    </w:p>
    <w:p w14:paraId="7E703279" w14:textId="296B1F82" w:rsidR="009C157F" w:rsidRPr="00A36C33" w:rsidRDefault="009C157F" w:rsidP="009C157F">
      <w:pPr>
        <w:pStyle w:val="Heading3"/>
        <w:numPr>
          <w:ilvl w:val="0"/>
          <w:numId w:val="22"/>
        </w:numPr>
        <w:spacing w:before="0"/>
        <w:textAlignment w:val="baseline"/>
        <w:rPr>
          <w:rFonts w:ascii="Times New Roman" w:hAnsi="Times New Roman" w:cs="Times New Roman"/>
          <w:b w:val="0"/>
          <w:color w:val="auto"/>
          <w:lang w:val="en-AU"/>
        </w:rPr>
      </w:pPr>
      <w:r w:rsidRPr="00A36C33">
        <w:rPr>
          <w:rFonts w:ascii="Times New Roman" w:hAnsi="Times New Roman" w:cs="Times New Roman"/>
          <w:b w:val="0"/>
          <w:bCs w:val="0"/>
          <w:color w:val="auto"/>
          <w:lang w:val="en-AU"/>
        </w:rPr>
        <w:t xml:space="preserve">Pernille Rieker and Krinstian Lundby </w:t>
      </w:r>
      <w:r w:rsidRPr="00A36C33">
        <w:rPr>
          <w:rStyle w:val="Strong"/>
          <w:rFonts w:ascii="Times New Roman" w:hAnsi="Times New Roman" w:cs="Times New Roman"/>
          <w:color w:val="auto"/>
          <w:bdr w:val="none" w:sz="0" w:space="0" w:color="auto" w:frame="1"/>
          <w:lang w:val="en-AU"/>
        </w:rPr>
        <w:t xml:space="preserve">Gjerde, </w:t>
      </w:r>
      <w:r w:rsidRPr="00A36C33">
        <w:rPr>
          <w:rFonts w:ascii="Times New Roman" w:hAnsi="Times New Roman" w:cs="Times New Roman"/>
          <w:b w:val="0"/>
          <w:bCs w:val="0"/>
          <w:color w:val="auto"/>
          <w:lang w:val="en-AU"/>
        </w:rPr>
        <w:t xml:space="preserve"> ‘</w:t>
      </w:r>
      <w:hyperlink r:id="rId45" w:tooltip="The EU, Russia and the potential for dialogue – different readings of the crisis in Ukraine. " w:history="1">
        <w:r w:rsidRPr="00A36C33">
          <w:rPr>
            <w:rStyle w:val="Hyperlink"/>
            <w:rFonts w:ascii="Times New Roman" w:hAnsi="Times New Roman" w:cs="Times New Roman"/>
            <w:b w:val="0"/>
            <w:bCs w:val="0"/>
            <w:color w:val="auto"/>
            <w:u w:val="none"/>
            <w:bdr w:val="none" w:sz="0" w:space="0" w:color="auto" w:frame="1"/>
            <w:lang w:val="en-AU"/>
          </w:rPr>
          <w:t>The EU, Russia and the potential for dialogue – different readings of the crisis in Ukraine</w:t>
        </w:r>
      </w:hyperlink>
      <w:r w:rsidRPr="00A36C33">
        <w:rPr>
          <w:rFonts w:ascii="Times New Roman" w:hAnsi="Times New Roman" w:cs="Times New Roman"/>
          <w:b w:val="0"/>
          <w:bCs w:val="0"/>
          <w:color w:val="auto"/>
          <w:lang w:val="en-AU"/>
        </w:rPr>
        <w:t xml:space="preserve">’, </w:t>
      </w:r>
      <w:r w:rsidRPr="00A36C33">
        <w:rPr>
          <w:rStyle w:val="Emphasis"/>
          <w:rFonts w:ascii="Times New Roman" w:hAnsi="Times New Roman" w:cs="Times New Roman"/>
          <w:b w:val="0"/>
          <w:color w:val="auto"/>
          <w:bdr w:val="none" w:sz="0" w:space="0" w:color="auto" w:frame="1"/>
          <w:lang w:val="en-AU"/>
        </w:rPr>
        <w:t>European Security</w:t>
      </w:r>
      <w:r w:rsidR="00F66ECB">
        <w:rPr>
          <w:rStyle w:val="Emphasis"/>
          <w:rFonts w:ascii="Times New Roman" w:hAnsi="Times New Roman" w:cs="Times New Roman"/>
          <w:b w:val="0"/>
          <w:i w:val="0"/>
          <w:color w:val="auto"/>
          <w:bdr w:val="none" w:sz="0" w:space="0" w:color="auto" w:frame="1"/>
          <w:lang w:val="en-AU"/>
        </w:rPr>
        <w:t>, 2016,</w:t>
      </w:r>
      <w:r w:rsidRPr="00A36C33">
        <w:rPr>
          <w:rFonts w:ascii="Times New Roman" w:hAnsi="Times New Roman" w:cs="Times New Roman"/>
          <w:b w:val="0"/>
          <w:color w:val="auto"/>
          <w:lang w:val="en-AU"/>
        </w:rPr>
        <w:t xml:space="preserve"> 25</w:t>
      </w:r>
      <w:r w:rsidR="00F66ECB">
        <w:rPr>
          <w:rFonts w:ascii="Times New Roman" w:hAnsi="Times New Roman" w:cs="Times New Roman"/>
          <w:b w:val="0"/>
          <w:color w:val="auto"/>
          <w:lang w:val="en-AU"/>
        </w:rPr>
        <w:t>:</w:t>
      </w:r>
      <w:r w:rsidRPr="00A36C33">
        <w:rPr>
          <w:rFonts w:ascii="Times New Roman" w:hAnsi="Times New Roman" w:cs="Times New Roman"/>
          <w:b w:val="0"/>
          <w:color w:val="auto"/>
          <w:lang w:val="en-AU"/>
        </w:rPr>
        <w:t>3</w:t>
      </w:r>
      <w:r w:rsidR="00F66ECB">
        <w:rPr>
          <w:rFonts w:ascii="Times New Roman" w:hAnsi="Times New Roman" w:cs="Times New Roman"/>
          <w:b w:val="0"/>
          <w:color w:val="auto"/>
          <w:lang w:val="en-AU"/>
        </w:rPr>
        <w:t xml:space="preserve">, pp. </w:t>
      </w:r>
      <w:r w:rsidRPr="00A36C33">
        <w:rPr>
          <w:rFonts w:ascii="Times New Roman" w:hAnsi="Times New Roman" w:cs="Times New Roman"/>
          <w:b w:val="0"/>
          <w:color w:val="auto"/>
          <w:lang w:val="en-AU"/>
        </w:rPr>
        <w:t>304-325. </w:t>
      </w:r>
    </w:p>
    <w:p w14:paraId="681D0D9D" w14:textId="29E4C651" w:rsidR="000F6D91" w:rsidRPr="0019544E" w:rsidRDefault="0019569C" w:rsidP="000F6D91">
      <w:pPr>
        <w:pStyle w:val="ListParagraph"/>
        <w:numPr>
          <w:ilvl w:val="0"/>
          <w:numId w:val="22"/>
        </w:numPr>
        <w:rPr>
          <w:lang w:val="it-IT" w:eastAsia="it-IT"/>
        </w:rPr>
      </w:pPr>
      <w:r w:rsidRPr="0019544E">
        <w:rPr>
          <w:shd w:val="clear" w:color="auto" w:fill="FFFFFF"/>
          <w:lang w:val="it-IT" w:eastAsia="it-IT"/>
        </w:rPr>
        <w:t>James Kenneth Wither,</w:t>
      </w:r>
      <w:r w:rsidR="000F6D91" w:rsidRPr="0019544E">
        <w:rPr>
          <w:shd w:val="clear" w:color="auto" w:fill="FFFFFF"/>
          <w:lang w:val="it-IT" w:eastAsia="it-IT"/>
        </w:rPr>
        <w:t> </w:t>
      </w:r>
      <w:r w:rsidRPr="0019544E">
        <w:rPr>
          <w:shd w:val="clear" w:color="auto" w:fill="FFFFFF"/>
          <w:lang w:val="it-IT" w:eastAsia="it-IT"/>
        </w:rPr>
        <w:t>‘</w:t>
      </w:r>
      <w:r w:rsidR="000F6D91" w:rsidRPr="0019544E">
        <w:rPr>
          <w:shd w:val="clear" w:color="auto" w:fill="FFFFFF"/>
          <w:lang w:val="it-IT" w:eastAsia="it-IT"/>
        </w:rPr>
        <w:t>An Arctic security dilemma: assessing and mitigating the risk of unintended armed conflict in the High North</w:t>
      </w:r>
      <w:r w:rsidRPr="0019544E">
        <w:rPr>
          <w:shd w:val="clear" w:color="auto" w:fill="FFFFFF"/>
          <w:lang w:val="it-IT" w:eastAsia="it-IT"/>
        </w:rPr>
        <w:t>’</w:t>
      </w:r>
      <w:r w:rsidR="000F6D91" w:rsidRPr="0019544E">
        <w:rPr>
          <w:shd w:val="clear" w:color="auto" w:fill="FFFFFF"/>
          <w:lang w:val="it-IT" w:eastAsia="it-IT"/>
        </w:rPr>
        <w:t>, </w:t>
      </w:r>
      <w:r w:rsidR="000F6D91" w:rsidRPr="0019544E">
        <w:rPr>
          <w:i/>
          <w:shd w:val="clear" w:color="auto" w:fill="FFFFFF"/>
          <w:lang w:val="it-IT" w:eastAsia="it-IT"/>
        </w:rPr>
        <w:t>European Security</w:t>
      </w:r>
      <w:r w:rsidR="000F6D91" w:rsidRPr="0019544E">
        <w:rPr>
          <w:shd w:val="clear" w:color="auto" w:fill="FFFFFF"/>
          <w:lang w:val="it-IT" w:eastAsia="it-IT"/>
        </w:rPr>
        <w:t>, </w:t>
      </w:r>
      <w:r w:rsidRPr="0019544E">
        <w:rPr>
          <w:shd w:val="clear" w:color="auto" w:fill="FFFFFF"/>
          <w:lang w:val="it-IT" w:eastAsia="it-IT"/>
        </w:rPr>
        <w:t>2021, 30:4,</w:t>
      </w:r>
      <w:r w:rsidR="000F6D91" w:rsidRPr="0019544E">
        <w:rPr>
          <w:shd w:val="clear" w:color="auto" w:fill="FFFFFF"/>
          <w:lang w:val="it-IT" w:eastAsia="it-IT"/>
        </w:rPr>
        <w:t xml:space="preserve"> </w:t>
      </w:r>
      <w:r w:rsidR="00F66ECB">
        <w:rPr>
          <w:shd w:val="clear" w:color="auto" w:fill="FFFFFF"/>
          <w:lang w:val="it-IT" w:eastAsia="it-IT"/>
        </w:rPr>
        <w:t xml:space="preserve">pp. </w:t>
      </w:r>
      <w:r w:rsidR="000F6D91" w:rsidRPr="0019544E">
        <w:rPr>
          <w:shd w:val="clear" w:color="auto" w:fill="FFFFFF"/>
          <w:lang w:val="it-IT" w:eastAsia="it-IT"/>
        </w:rPr>
        <w:t>649-666</w:t>
      </w:r>
    </w:p>
    <w:p w14:paraId="301FCD42" w14:textId="4898CA4C" w:rsidR="00CF325D" w:rsidRPr="00AA18D3" w:rsidRDefault="00CF325D" w:rsidP="00CF325D">
      <w:pPr>
        <w:pStyle w:val="ListParagraph"/>
        <w:numPr>
          <w:ilvl w:val="0"/>
          <w:numId w:val="22"/>
        </w:numPr>
        <w:rPr>
          <w:lang w:val="en-AU" w:eastAsia="it-IT"/>
        </w:rPr>
      </w:pPr>
      <w:r w:rsidRPr="0019544E">
        <w:rPr>
          <w:shd w:val="clear" w:color="auto" w:fill="FFFFFF"/>
          <w:lang w:val="it-IT" w:eastAsia="it-IT"/>
        </w:rPr>
        <w:t>Antonio Karlović, Dario Čepo &amp; Katja Biedenkopf, ‘Politicisation of the European Foreign, security, and defence cooperation: the case of the EU’s Russian sanctions’, </w:t>
      </w:r>
      <w:r w:rsidRPr="0019544E">
        <w:rPr>
          <w:i/>
          <w:shd w:val="clear" w:color="auto" w:fill="FFFFFF"/>
          <w:lang w:val="it-IT" w:eastAsia="it-IT"/>
        </w:rPr>
        <w:t>European Security</w:t>
      </w:r>
      <w:r w:rsidRPr="0019544E">
        <w:rPr>
          <w:shd w:val="clear" w:color="auto" w:fill="FFFFFF"/>
          <w:lang w:val="it-IT" w:eastAsia="it-IT"/>
        </w:rPr>
        <w:t>, 2021, 30:3, </w:t>
      </w:r>
      <w:r w:rsidR="00F66ECB">
        <w:rPr>
          <w:shd w:val="clear" w:color="auto" w:fill="FFFFFF"/>
          <w:lang w:val="it-IT" w:eastAsia="it-IT"/>
        </w:rPr>
        <w:t>pp.</w:t>
      </w:r>
      <w:r w:rsidR="00F66ECB" w:rsidRPr="00AA18D3">
        <w:rPr>
          <w:shd w:val="clear" w:color="auto" w:fill="FFFFFF"/>
          <w:lang w:val="en-AU" w:eastAsia="it-IT"/>
        </w:rPr>
        <w:t xml:space="preserve"> </w:t>
      </w:r>
      <w:r w:rsidRPr="00AA18D3">
        <w:rPr>
          <w:shd w:val="clear" w:color="auto" w:fill="FFFFFF"/>
          <w:lang w:val="en-AU" w:eastAsia="it-IT"/>
        </w:rPr>
        <w:t>344-366</w:t>
      </w:r>
    </w:p>
    <w:p w14:paraId="5B7936C5" w14:textId="5080AF3C" w:rsidR="000F6D91" w:rsidRPr="00F43F06" w:rsidRDefault="00AA18D3" w:rsidP="00F43F06">
      <w:pPr>
        <w:pStyle w:val="ListParagraph"/>
        <w:numPr>
          <w:ilvl w:val="0"/>
          <w:numId w:val="22"/>
        </w:numPr>
        <w:shd w:val="clear" w:color="auto" w:fill="FFFFFF"/>
        <w:rPr>
          <w:lang w:val="en-AU"/>
        </w:rPr>
      </w:pPr>
      <w:r w:rsidRPr="00AA18D3">
        <w:rPr>
          <w:lang w:val="en-AU"/>
        </w:rPr>
        <w:t>Daniel Fiott and Marco Zeiss, ‘</w:t>
      </w:r>
      <w:r>
        <w:rPr>
          <w:lang w:val="en-AU"/>
        </w:rPr>
        <w:t>The Eastern neighbourh</w:t>
      </w:r>
      <w:r w:rsidRPr="00AA18D3">
        <w:rPr>
          <w:lang w:val="en-AU"/>
        </w:rPr>
        <w:t xml:space="preserve">ood’, </w:t>
      </w:r>
      <w:r w:rsidRPr="00AA18D3">
        <w:rPr>
          <w:i/>
          <w:lang w:val="en-AU"/>
        </w:rPr>
        <w:t>Yearbook of European Security</w:t>
      </w:r>
      <w:r w:rsidRPr="00AA18D3">
        <w:rPr>
          <w:lang w:val="en-AU"/>
        </w:rPr>
        <w:t xml:space="preserve">, 2021, pp. </w:t>
      </w:r>
      <w:r>
        <w:rPr>
          <w:lang w:val="en-AU"/>
        </w:rPr>
        <w:t>67-97</w:t>
      </w:r>
      <w:r w:rsidRPr="00AA18D3">
        <w:rPr>
          <w:lang w:val="en-AU"/>
        </w:rPr>
        <w:t>, available at https://www.iss.europa.eu/sites/default/files/E</w:t>
      </w:r>
      <w:r w:rsidRPr="007F3470">
        <w:rPr>
          <w:lang w:val="en-AU"/>
        </w:rPr>
        <w:t>UISSFiles</w:t>
      </w:r>
      <w:r w:rsidRPr="00290454">
        <w:rPr>
          <w:lang w:val="en-AU"/>
        </w:rPr>
        <w:t>/YES_2021.pdf</w:t>
      </w:r>
    </w:p>
    <w:p w14:paraId="150EBF75" w14:textId="77777777" w:rsidR="00C107C4" w:rsidRPr="006A1F39" w:rsidRDefault="00C107C4" w:rsidP="00C107C4">
      <w:pPr>
        <w:rPr>
          <w:lang w:val="en-AU"/>
        </w:rPr>
      </w:pPr>
    </w:p>
    <w:p w14:paraId="71D3B0E3" w14:textId="77777777" w:rsidR="00C107C4" w:rsidRPr="005A3C9A" w:rsidRDefault="00C107C4" w:rsidP="00C107C4">
      <w:pPr>
        <w:rPr>
          <w:lang w:val="en-AU"/>
        </w:rPr>
      </w:pPr>
      <w:r w:rsidRPr="006A1F39">
        <w:rPr>
          <w:lang w:val="en-AU"/>
        </w:rPr>
        <w:t xml:space="preserve">Optional: </w:t>
      </w:r>
    </w:p>
    <w:p w14:paraId="39CFC323" w14:textId="1C28B420" w:rsidR="005A3C9A" w:rsidRPr="00F66ECB" w:rsidRDefault="005A3C9A" w:rsidP="0019544E">
      <w:pPr>
        <w:pStyle w:val="ListParagraph"/>
        <w:numPr>
          <w:ilvl w:val="0"/>
          <w:numId w:val="22"/>
        </w:numPr>
        <w:rPr>
          <w:sz w:val="20"/>
          <w:szCs w:val="20"/>
          <w:lang w:val="it-IT" w:eastAsia="it-IT"/>
        </w:rPr>
      </w:pPr>
      <w:r w:rsidRPr="005A3C9A">
        <w:rPr>
          <w:color w:val="333333"/>
          <w:shd w:val="clear" w:color="auto" w:fill="FFFFFF"/>
          <w:lang w:val="it-IT" w:eastAsia="it-IT"/>
        </w:rPr>
        <w:t xml:space="preserve">Moniek </w:t>
      </w:r>
      <w:r w:rsidRPr="00F66ECB">
        <w:rPr>
          <w:shd w:val="clear" w:color="auto" w:fill="FFFFFF"/>
          <w:lang w:val="it-IT" w:eastAsia="it-IT"/>
        </w:rPr>
        <w:t>de Jong &amp; Thijs Van de Graaf, ‘Lost in Regulation: Nord Stream 2 and the Limits of the European Co</w:t>
      </w:r>
      <w:r w:rsidR="00F66ECB" w:rsidRPr="00F66ECB">
        <w:rPr>
          <w:shd w:val="clear" w:color="auto" w:fill="FFFFFF"/>
          <w:lang w:val="it-IT" w:eastAsia="it-IT"/>
        </w:rPr>
        <w:t>mmission’s Geo-Economic Power’,</w:t>
      </w:r>
      <w:r w:rsidRPr="00F66ECB">
        <w:rPr>
          <w:shd w:val="clear" w:color="auto" w:fill="FFFFFF"/>
          <w:lang w:val="it-IT" w:eastAsia="it-IT"/>
        </w:rPr>
        <w:t xml:space="preserve"> </w:t>
      </w:r>
      <w:r w:rsidRPr="00F66ECB">
        <w:rPr>
          <w:i/>
          <w:shd w:val="clear" w:color="auto" w:fill="FFFFFF"/>
          <w:lang w:val="it-IT" w:eastAsia="it-IT"/>
        </w:rPr>
        <w:t>Journal of European Integration</w:t>
      </w:r>
      <w:r w:rsidRPr="00F66ECB">
        <w:rPr>
          <w:shd w:val="clear" w:color="auto" w:fill="FFFFFF"/>
          <w:lang w:val="it-IT" w:eastAsia="it-IT"/>
        </w:rPr>
        <w:t>, </w:t>
      </w:r>
      <w:r w:rsidR="00F66ECB" w:rsidRPr="00F66ECB">
        <w:rPr>
          <w:shd w:val="clear" w:color="auto" w:fill="FFFFFF"/>
          <w:lang w:val="it-IT" w:eastAsia="it-IT"/>
        </w:rPr>
        <w:t xml:space="preserve">2021, </w:t>
      </w:r>
      <w:r w:rsidRPr="00F66ECB">
        <w:rPr>
          <w:shd w:val="clear" w:color="auto" w:fill="FFFFFF"/>
          <w:lang w:val="it-IT" w:eastAsia="it-IT"/>
        </w:rPr>
        <w:t>43:4, </w:t>
      </w:r>
      <w:r w:rsidR="00F66ECB" w:rsidRPr="00F66ECB">
        <w:rPr>
          <w:shd w:val="clear" w:color="auto" w:fill="FFFFFF"/>
          <w:lang w:val="it-IT" w:eastAsia="it-IT"/>
        </w:rPr>
        <w:t xml:space="preserve">pp. </w:t>
      </w:r>
      <w:r w:rsidRPr="00F66ECB">
        <w:rPr>
          <w:shd w:val="clear" w:color="auto" w:fill="FFFFFF"/>
          <w:lang w:val="it-IT" w:eastAsia="it-IT"/>
        </w:rPr>
        <w:t>495-510</w:t>
      </w:r>
    </w:p>
    <w:p w14:paraId="29794DD6" w14:textId="203DF6EE" w:rsidR="005A3C9A" w:rsidRPr="00F66ECB" w:rsidRDefault="005A3C9A" w:rsidP="005A3C9A">
      <w:pPr>
        <w:pStyle w:val="ListParagraph"/>
        <w:numPr>
          <w:ilvl w:val="0"/>
          <w:numId w:val="22"/>
        </w:numPr>
        <w:rPr>
          <w:sz w:val="20"/>
          <w:szCs w:val="20"/>
          <w:lang w:val="it-IT" w:eastAsia="it-IT"/>
        </w:rPr>
      </w:pPr>
      <w:r w:rsidRPr="00F66ECB">
        <w:rPr>
          <w:shd w:val="clear" w:color="auto" w:fill="FFFFFF"/>
          <w:lang w:val="it-IT" w:eastAsia="it-IT"/>
        </w:rPr>
        <w:t>Nikolay Kaveshnikov, ‘The issue of energy security in relations between Russia and the European Union’, </w:t>
      </w:r>
      <w:r w:rsidRPr="00F66ECB">
        <w:rPr>
          <w:i/>
          <w:shd w:val="clear" w:color="auto" w:fill="FFFFFF"/>
          <w:lang w:val="it-IT" w:eastAsia="it-IT"/>
        </w:rPr>
        <w:t>European Security</w:t>
      </w:r>
      <w:r w:rsidRPr="00F66ECB">
        <w:rPr>
          <w:shd w:val="clear" w:color="auto" w:fill="FFFFFF"/>
          <w:lang w:val="it-IT" w:eastAsia="it-IT"/>
        </w:rPr>
        <w:t>, 2010, 19:4, </w:t>
      </w:r>
      <w:r w:rsidR="00F66ECB" w:rsidRPr="00F66ECB">
        <w:rPr>
          <w:shd w:val="clear" w:color="auto" w:fill="FFFFFF"/>
          <w:lang w:val="it-IT" w:eastAsia="it-IT"/>
        </w:rPr>
        <w:t xml:space="preserve">pp. </w:t>
      </w:r>
      <w:r w:rsidRPr="00F66ECB">
        <w:rPr>
          <w:shd w:val="clear" w:color="auto" w:fill="FFFFFF"/>
          <w:lang w:val="it-IT" w:eastAsia="it-IT"/>
        </w:rPr>
        <w:t>585-605,</w:t>
      </w:r>
    </w:p>
    <w:p w14:paraId="258DA0D5" w14:textId="0229FF90" w:rsidR="00BB3DB9" w:rsidRPr="00F66ECB" w:rsidRDefault="00BB3DB9" w:rsidP="00BB3DB9">
      <w:pPr>
        <w:pStyle w:val="ListParagraph"/>
        <w:numPr>
          <w:ilvl w:val="0"/>
          <w:numId w:val="22"/>
        </w:numPr>
        <w:rPr>
          <w:sz w:val="20"/>
          <w:szCs w:val="20"/>
          <w:lang w:val="it-IT" w:eastAsia="it-IT"/>
        </w:rPr>
      </w:pPr>
      <w:r w:rsidRPr="00F66ECB">
        <w:rPr>
          <w:shd w:val="clear" w:color="auto" w:fill="FFFFFF"/>
          <w:lang w:val="it-IT" w:eastAsia="it-IT"/>
        </w:rPr>
        <w:t>Derek Averre, ‘The Ukraine Conflict: Russia’s Challenge to European Security Governance’, </w:t>
      </w:r>
      <w:r w:rsidRPr="00F66ECB">
        <w:rPr>
          <w:i/>
          <w:shd w:val="clear" w:color="auto" w:fill="FFFFFF"/>
          <w:lang w:val="it-IT" w:eastAsia="it-IT"/>
        </w:rPr>
        <w:t>Europe-Asia Studies</w:t>
      </w:r>
      <w:r w:rsidRPr="00F66ECB">
        <w:rPr>
          <w:shd w:val="clear" w:color="auto" w:fill="FFFFFF"/>
          <w:lang w:val="it-IT" w:eastAsia="it-IT"/>
        </w:rPr>
        <w:t>, 2016, 68:4, </w:t>
      </w:r>
      <w:r w:rsidR="00F66ECB" w:rsidRPr="00F66ECB">
        <w:rPr>
          <w:shd w:val="clear" w:color="auto" w:fill="FFFFFF"/>
          <w:lang w:val="it-IT" w:eastAsia="it-IT"/>
        </w:rPr>
        <w:t xml:space="preserve">pp. </w:t>
      </w:r>
      <w:r w:rsidRPr="00F66ECB">
        <w:rPr>
          <w:shd w:val="clear" w:color="auto" w:fill="FFFFFF"/>
          <w:lang w:val="it-IT" w:eastAsia="it-IT"/>
        </w:rPr>
        <w:t>699-725</w:t>
      </w:r>
    </w:p>
    <w:p w14:paraId="6135D5F2" w14:textId="53A12F1B" w:rsidR="00C107C4" w:rsidRPr="0019544E" w:rsidRDefault="00C107C4" w:rsidP="00C107C4">
      <w:pPr>
        <w:pStyle w:val="ListParagraph"/>
        <w:numPr>
          <w:ilvl w:val="0"/>
          <w:numId w:val="22"/>
        </w:numPr>
        <w:rPr>
          <w:bdr w:val="none" w:sz="0" w:space="0" w:color="auto" w:frame="1"/>
          <w:lang w:val="en-AU"/>
        </w:rPr>
      </w:pPr>
      <w:r w:rsidRPr="0019544E">
        <w:rPr>
          <w:bdr w:val="none" w:sz="0" w:space="0" w:color="auto" w:frame="1"/>
          <w:lang w:val="en-AU"/>
        </w:rPr>
        <w:t>Michael Mosser, ‘Embracing “embedded security”: the </w:t>
      </w:r>
      <w:r w:rsidRPr="0019544E">
        <w:rPr>
          <w:rStyle w:val="Strong"/>
          <w:b w:val="0"/>
          <w:bdr w:val="none" w:sz="0" w:space="0" w:color="auto" w:frame="1"/>
          <w:lang w:val="en-AU"/>
        </w:rPr>
        <w:t>OSCE's</w:t>
      </w:r>
      <w:r w:rsidRPr="0019544E">
        <w:rPr>
          <w:b/>
          <w:bdr w:val="none" w:sz="0" w:space="0" w:color="auto" w:frame="1"/>
          <w:lang w:val="en-AU"/>
        </w:rPr>
        <w:t> </w:t>
      </w:r>
      <w:r w:rsidRPr="0019544E">
        <w:rPr>
          <w:bdr w:val="none" w:sz="0" w:space="0" w:color="auto" w:frame="1"/>
          <w:lang w:val="en-AU"/>
        </w:rPr>
        <w:t xml:space="preserve">understated but significant role in the European security architecture’, </w:t>
      </w:r>
      <w:r w:rsidRPr="0019544E">
        <w:rPr>
          <w:i/>
          <w:bdr w:val="none" w:sz="0" w:space="0" w:color="auto" w:frame="1"/>
          <w:lang w:val="en-AU"/>
        </w:rPr>
        <w:t>European Security</w:t>
      </w:r>
      <w:r w:rsidR="00F66ECB">
        <w:rPr>
          <w:i/>
          <w:bdr w:val="none" w:sz="0" w:space="0" w:color="auto" w:frame="1"/>
          <w:lang w:val="en-AU"/>
        </w:rPr>
        <w:t>,</w:t>
      </w:r>
      <w:r w:rsidRPr="0019544E">
        <w:rPr>
          <w:bdr w:val="none" w:sz="0" w:space="0" w:color="auto" w:frame="1"/>
          <w:lang w:val="en-AU"/>
        </w:rPr>
        <w:t xml:space="preserve"> (201</w:t>
      </w:r>
      <w:r w:rsidR="0019544E" w:rsidRPr="0019544E">
        <w:rPr>
          <w:bdr w:val="none" w:sz="0" w:space="0" w:color="auto" w:frame="1"/>
          <w:lang w:val="en-AU"/>
        </w:rPr>
        <w:t>5</w:t>
      </w:r>
      <w:r w:rsidR="00F66ECB">
        <w:rPr>
          <w:bdr w:val="none" w:sz="0" w:space="0" w:color="auto" w:frame="1"/>
          <w:lang w:val="en-AU"/>
        </w:rPr>
        <w:t>), 24:4, pp.</w:t>
      </w:r>
      <w:r w:rsidRPr="0019544E">
        <w:rPr>
          <w:bdr w:val="none" w:sz="0" w:space="0" w:color="auto" w:frame="1"/>
          <w:lang w:val="en-AU"/>
        </w:rPr>
        <w:t xml:space="preserve"> 579-599</w:t>
      </w:r>
    </w:p>
    <w:p w14:paraId="695D8AE4" w14:textId="21E3A03A" w:rsidR="00C107C4" w:rsidRPr="006A1F39" w:rsidRDefault="00C107C4" w:rsidP="00C107C4">
      <w:pPr>
        <w:pStyle w:val="ListParagraph"/>
        <w:numPr>
          <w:ilvl w:val="0"/>
          <w:numId w:val="22"/>
        </w:numPr>
        <w:rPr>
          <w:rStyle w:val="Hyperlink"/>
          <w:bCs/>
          <w:color w:val="auto"/>
          <w:u w:val="none"/>
          <w:lang w:val="en-AU"/>
        </w:rPr>
      </w:pPr>
      <w:r w:rsidRPr="006A1F39">
        <w:rPr>
          <w:bCs/>
          <w:lang w:val="en-AU"/>
        </w:rPr>
        <w:t xml:space="preserve">Nelli Babayan, et al.: </w:t>
      </w:r>
      <w:r w:rsidRPr="006A1F39">
        <w:rPr>
          <w:bCs/>
          <w:i/>
          <w:lang w:val="en-AU"/>
        </w:rPr>
        <w:t>Russia. A Test for Transatlantic Un</w:t>
      </w:r>
      <w:r w:rsidRPr="006A1F39">
        <w:rPr>
          <w:bCs/>
          <w:lang w:val="en-AU"/>
        </w:rPr>
        <w:t>ity (Transatlantic Academy), Washington 2016</w:t>
      </w:r>
      <w:r w:rsidR="00F66ECB">
        <w:rPr>
          <w:bCs/>
          <w:lang w:val="en-AU"/>
        </w:rPr>
        <w:t>, available at</w:t>
      </w:r>
      <w:r w:rsidRPr="006A1F39">
        <w:rPr>
          <w:bCs/>
          <w:lang w:val="en-AU"/>
        </w:rPr>
        <w:t xml:space="preserve"> </w:t>
      </w:r>
      <w:r w:rsidR="0019544E" w:rsidRPr="00F66ECB">
        <w:rPr>
          <w:bCs/>
          <w:lang w:val="en-AU"/>
        </w:rPr>
        <w:t>http://www.transatlanticacademy.org/sites/default/files/publications/TA16_report_May16complete.pdf</w:t>
      </w:r>
    </w:p>
    <w:p w14:paraId="44A62ED6" w14:textId="3DE305C3" w:rsidR="00931215" w:rsidRPr="006A1F39" w:rsidRDefault="00F66ECB" w:rsidP="00931215">
      <w:pPr>
        <w:pStyle w:val="ListParagraph"/>
        <w:numPr>
          <w:ilvl w:val="0"/>
          <w:numId w:val="22"/>
        </w:numPr>
        <w:rPr>
          <w:bCs/>
          <w:lang w:val="en-AU"/>
        </w:rPr>
      </w:pPr>
      <w:r>
        <w:rPr>
          <w:bCs/>
          <w:lang w:val="en-AU"/>
        </w:rPr>
        <w:t>Ulrich Speck,   ‘The West’</w:t>
      </w:r>
      <w:r w:rsidR="00931215" w:rsidRPr="006A1F39">
        <w:rPr>
          <w:bCs/>
          <w:lang w:val="en-AU"/>
        </w:rPr>
        <w:t xml:space="preserve">s Response to the Ukraine Conflict. A Transatlantic Success Story’, Washington 2016, </w:t>
      </w:r>
      <w:r>
        <w:rPr>
          <w:bCs/>
          <w:lang w:val="en-AU"/>
        </w:rPr>
        <w:t xml:space="preserve">available at </w:t>
      </w:r>
      <w:r w:rsidR="00931215" w:rsidRPr="00F66ECB">
        <w:rPr>
          <w:bCs/>
          <w:lang w:val="en-AU"/>
        </w:rPr>
        <w:t>http://www.transatlanticacademy.org/sites/default/files/publications/Speck_WestResponseUkraine_Apr16_web.pdf</w:t>
      </w:r>
    </w:p>
    <w:p w14:paraId="0C6C3AB8" w14:textId="77777777" w:rsidR="005841A5" w:rsidRPr="0019544E" w:rsidRDefault="005841A5" w:rsidP="005841A5">
      <w:pPr>
        <w:pStyle w:val="ListParagraph"/>
        <w:numPr>
          <w:ilvl w:val="0"/>
          <w:numId w:val="22"/>
        </w:numPr>
        <w:rPr>
          <w:bdr w:val="none" w:sz="0" w:space="0" w:color="auto" w:frame="1"/>
          <w:lang w:val="en-AU"/>
        </w:rPr>
      </w:pPr>
      <w:r w:rsidRPr="0019544E">
        <w:rPr>
          <w:bdr w:val="none" w:sz="0" w:space="0" w:color="auto" w:frame="1"/>
          <w:lang w:val="en-AU"/>
        </w:rPr>
        <w:t xml:space="preserve">Stephen Simbala, ‘Putin and Russia in Retro and Forward: the Nuclear Dimension’, </w:t>
      </w:r>
      <w:r w:rsidRPr="0019544E">
        <w:rPr>
          <w:i/>
          <w:bdr w:val="none" w:sz="0" w:space="0" w:color="auto" w:frame="1"/>
          <w:lang w:val="en-AU"/>
        </w:rPr>
        <w:t>Defense and Security Analysis</w:t>
      </w:r>
      <w:r>
        <w:rPr>
          <w:bdr w:val="none" w:sz="0" w:space="0" w:color="auto" w:frame="1"/>
          <w:lang w:val="en-AU"/>
        </w:rPr>
        <w:t>, 2017,</w:t>
      </w:r>
      <w:r w:rsidRPr="0019544E">
        <w:rPr>
          <w:bdr w:val="none" w:sz="0" w:space="0" w:color="auto" w:frame="1"/>
          <w:lang w:val="en-AU"/>
        </w:rPr>
        <w:t xml:space="preserve"> 33</w:t>
      </w:r>
      <w:r>
        <w:rPr>
          <w:bdr w:val="none" w:sz="0" w:space="0" w:color="auto" w:frame="1"/>
          <w:lang w:val="en-AU"/>
        </w:rPr>
        <w:t>:</w:t>
      </w:r>
      <w:r w:rsidRPr="0019544E">
        <w:rPr>
          <w:bdr w:val="none" w:sz="0" w:space="0" w:color="auto" w:frame="1"/>
          <w:lang w:val="en-AU"/>
        </w:rPr>
        <w:t>1</w:t>
      </w:r>
      <w:r>
        <w:rPr>
          <w:bdr w:val="none" w:sz="0" w:space="0" w:color="auto" w:frame="1"/>
          <w:lang w:val="en-AU"/>
        </w:rPr>
        <w:t>, pp.</w:t>
      </w:r>
      <w:r w:rsidRPr="0019544E">
        <w:rPr>
          <w:bdr w:val="none" w:sz="0" w:space="0" w:color="auto" w:frame="1"/>
          <w:lang w:val="en-AU"/>
        </w:rPr>
        <w:t xml:space="preserve"> 57-67</w:t>
      </w:r>
    </w:p>
    <w:p w14:paraId="5F0734B0" w14:textId="77777777" w:rsidR="005841A5" w:rsidRPr="0019544E" w:rsidRDefault="005841A5" w:rsidP="005841A5">
      <w:pPr>
        <w:pStyle w:val="ListParagraph"/>
        <w:numPr>
          <w:ilvl w:val="0"/>
          <w:numId w:val="22"/>
        </w:numPr>
        <w:rPr>
          <w:bCs/>
          <w:lang w:val="en-AU"/>
        </w:rPr>
      </w:pPr>
      <w:r w:rsidRPr="00A36C33">
        <w:rPr>
          <w:bCs/>
          <w:lang w:val="en-AU"/>
        </w:rPr>
        <w:t xml:space="preserve">Anna Felfeli, Robin Lucke, and Bernhard Stahl, ‘Comeback of the Transatlantic Security Community?  Comparative Securitisation in the Crimea Crisis’, </w:t>
      </w:r>
      <w:r w:rsidRPr="00A36C33">
        <w:rPr>
          <w:bCs/>
          <w:i/>
          <w:lang w:val="en-AU"/>
        </w:rPr>
        <w:t>East European Politics</w:t>
      </w:r>
      <w:r>
        <w:rPr>
          <w:bCs/>
          <w:lang w:val="en-AU"/>
        </w:rPr>
        <w:t>, 2016,</w:t>
      </w:r>
      <w:r w:rsidRPr="00A36C33">
        <w:rPr>
          <w:bCs/>
          <w:lang w:val="en-AU"/>
        </w:rPr>
        <w:t xml:space="preserve"> 32</w:t>
      </w:r>
      <w:r>
        <w:rPr>
          <w:bCs/>
          <w:lang w:val="en-AU"/>
        </w:rPr>
        <w:t xml:space="preserve">: </w:t>
      </w:r>
      <w:r w:rsidRPr="00A36C33">
        <w:rPr>
          <w:bCs/>
          <w:lang w:val="en-AU"/>
        </w:rPr>
        <w:t xml:space="preserve">4, pp. 525-546 </w:t>
      </w:r>
    </w:p>
    <w:p w14:paraId="365F91B3" w14:textId="77777777" w:rsidR="00931215" w:rsidRPr="006A1F39" w:rsidRDefault="00931215" w:rsidP="00931215">
      <w:pPr>
        <w:pStyle w:val="ListParagraph"/>
        <w:rPr>
          <w:bCs/>
          <w:lang w:val="en-AU"/>
        </w:rPr>
      </w:pPr>
    </w:p>
    <w:p w14:paraId="0B653E39" w14:textId="77777777" w:rsidR="002B7858" w:rsidRPr="007042E2" w:rsidRDefault="002B7858" w:rsidP="002B7858">
      <w:pPr>
        <w:rPr>
          <w:bCs/>
          <w:color w:val="FFFF00"/>
          <w:lang w:val="en-AU"/>
        </w:rPr>
      </w:pPr>
    </w:p>
    <w:p w14:paraId="4610BB0B" w14:textId="440FB53F" w:rsidR="002B7858" w:rsidRPr="00862897" w:rsidRDefault="00604F27" w:rsidP="002B7858">
      <w:pPr>
        <w:rPr>
          <w:b/>
          <w:bCs/>
          <w:lang w:val="en-AU"/>
        </w:rPr>
      </w:pPr>
      <w:r w:rsidRPr="00862897">
        <w:rPr>
          <w:b/>
          <w:bCs/>
          <w:lang w:val="en-AU"/>
        </w:rPr>
        <w:t>Session 12</w:t>
      </w:r>
      <w:r w:rsidR="006043B5" w:rsidRPr="00862897">
        <w:rPr>
          <w:b/>
          <w:bCs/>
          <w:lang w:val="en-AU"/>
        </w:rPr>
        <w:t>:</w:t>
      </w:r>
      <w:r w:rsidRPr="00862897">
        <w:rPr>
          <w:b/>
          <w:bCs/>
          <w:lang w:val="en-AU"/>
        </w:rPr>
        <w:t xml:space="preserve"> </w:t>
      </w:r>
      <w:r w:rsidR="007042E2" w:rsidRPr="00862897">
        <w:rPr>
          <w:b/>
          <w:bCs/>
          <w:lang w:val="en-AU"/>
        </w:rPr>
        <w:t>Tuesday 5 April</w:t>
      </w:r>
    </w:p>
    <w:p w14:paraId="0AE46087" w14:textId="461548FE" w:rsidR="00C63F30" w:rsidRPr="00862897" w:rsidRDefault="00F43F06" w:rsidP="002B7858">
      <w:pPr>
        <w:rPr>
          <w:b/>
          <w:bCs/>
          <w:lang w:val="en-AU"/>
        </w:rPr>
      </w:pPr>
      <w:r>
        <w:rPr>
          <w:b/>
          <w:bCs/>
          <w:lang w:val="en-AU"/>
        </w:rPr>
        <w:t>CANADA AND</w:t>
      </w:r>
      <w:r w:rsidR="00BB5CCE" w:rsidRPr="00862897">
        <w:rPr>
          <w:b/>
          <w:bCs/>
          <w:lang w:val="en-AU"/>
        </w:rPr>
        <w:t xml:space="preserve"> EUROPEAN SECURITY</w:t>
      </w:r>
      <w:r w:rsidR="00DE5A02" w:rsidRPr="00862897">
        <w:rPr>
          <w:b/>
          <w:bCs/>
          <w:lang w:val="en-AU"/>
        </w:rPr>
        <w:t xml:space="preserve"> </w:t>
      </w:r>
    </w:p>
    <w:p w14:paraId="7657D21D" w14:textId="77777777" w:rsidR="00BB5CCE" w:rsidRPr="006A1F39" w:rsidRDefault="00BB5CCE" w:rsidP="002B7858">
      <w:pPr>
        <w:rPr>
          <w:b/>
          <w:bCs/>
          <w:lang w:val="en-AU"/>
        </w:rPr>
      </w:pPr>
    </w:p>
    <w:p w14:paraId="6D55D46A" w14:textId="356E1DDD" w:rsidR="0019544E" w:rsidRPr="00E65CF6" w:rsidRDefault="00AA7A43" w:rsidP="002B7858">
      <w:pPr>
        <w:rPr>
          <w:bCs/>
          <w:u w:val="single"/>
          <w:lang w:val="en-AU"/>
        </w:rPr>
      </w:pPr>
      <w:r w:rsidRPr="006A1F39">
        <w:rPr>
          <w:bCs/>
          <w:lang w:val="en-AU"/>
        </w:rPr>
        <w:t>Hour 1: Guest speaker:</w:t>
      </w:r>
      <w:r w:rsidR="00862897" w:rsidRPr="00862897">
        <w:rPr>
          <w:bCs/>
          <w:lang w:val="en-AU"/>
        </w:rPr>
        <w:t xml:space="preserve"> </w:t>
      </w:r>
      <w:r w:rsidR="00862897">
        <w:rPr>
          <w:lang w:val="en-AU"/>
        </w:rPr>
        <w:t>TBC</w:t>
      </w:r>
    </w:p>
    <w:p w14:paraId="6FACBF33" w14:textId="2D6D1194" w:rsidR="00AA7A43" w:rsidRPr="006A1F39" w:rsidRDefault="00E65CF6" w:rsidP="002B7858">
      <w:pPr>
        <w:rPr>
          <w:lang w:val="en-AU"/>
        </w:rPr>
      </w:pPr>
      <w:r>
        <w:rPr>
          <w:lang w:val="en-AU"/>
        </w:rPr>
        <w:t xml:space="preserve">Hour 2: </w:t>
      </w:r>
      <w:r w:rsidR="00AA7A43" w:rsidRPr="006A1F39">
        <w:rPr>
          <w:lang w:val="en-AU"/>
        </w:rPr>
        <w:t xml:space="preserve">Points of contradiction and interface with European approaches </w:t>
      </w:r>
    </w:p>
    <w:p w14:paraId="512FF5AC" w14:textId="10C2C8BE" w:rsidR="00AA7A43" w:rsidRDefault="00AA7A43" w:rsidP="002B7858">
      <w:pPr>
        <w:rPr>
          <w:lang w:val="en-AU"/>
        </w:rPr>
      </w:pPr>
      <w:r w:rsidRPr="006A1F39">
        <w:rPr>
          <w:lang w:val="en-AU"/>
        </w:rPr>
        <w:t xml:space="preserve">Canadian participation in CSDP missions </w:t>
      </w:r>
    </w:p>
    <w:p w14:paraId="7F9A7DE0" w14:textId="64DC04C4" w:rsidR="00862897" w:rsidRDefault="00862897" w:rsidP="002B7858">
      <w:pPr>
        <w:rPr>
          <w:lang w:val="en-AU"/>
        </w:rPr>
      </w:pPr>
      <w:r>
        <w:rPr>
          <w:lang w:val="en-AU"/>
        </w:rPr>
        <w:t>Canada in the transatlantic security architecture</w:t>
      </w:r>
    </w:p>
    <w:p w14:paraId="73CF6FCE" w14:textId="780117F6" w:rsidR="00F43F06" w:rsidRPr="006A1F39" w:rsidRDefault="00F43F06" w:rsidP="002B7858">
      <w:pPr>
        <w:rPr>
          <w:lang w:val="en-AU"/>
        </w:rPr>
      </w:pPr>
      <w:r>
        <w:rPr>
          <w:lang w:val="en-AU"/>
        </w:rPr>
        <w:t>The EU, Canada and Multilateralism</w:t>
      </w:r>
    </w:p>
    <w:p w14:paraId="37F0A1EC" w14:textId="77777777" w:rsidR="00AA7A43" w:rsidRPr="006A1F39" w:rsidRDefault="00AA7A43" w:rsidP="002B7858">
      <w:pPr>
        <w:rPr>
          <w:lang w:val="en-AU"/>
        </w:rPr>
      </w:pPr>
    </w:p>
    <w:p w14:paraId="2580BDCB" w14:textId="77777777" w:rsidR="007F1547" w:rsidRPr="006A1F39" w:rsidRDefault="00BB5CCE">
      <w:pPr>
        <w:rPr>
          <w:bCs/>
          <w:u w:val="single"/>
          <w:lang w:val="en-AU"/>
        </w:rPr>
      </w:pPr>
      <w:r w:rsidRPr="006A1F39">
        <w:rPr>
          <w:bCs/>
          <w:u w:val="single"/>
          <w:lang w:val="en-AU"/>
        </w:rPr>
        <w:t>Required:</w:t>
      </w:r>
    </w:p>
    <w:p w14:paraId="4F656537" w14:textId="59D87D27" w:rsidR="00581E94" w:rsidRDefault="00581E94" w:rsidP="00BB5CCE">
      <w:pPr>
        <w:pStyle w:val="ListParagraph"/>
        <w:numPr>
          <w:ilvl w:val="0"/>
          <w:numId w:val="21"/>
        </w:numPr>
        <w:shd w:val="clear" w:color="auto" w:fill="FFFFFF"/>
        <w:rPr>
          <w:lang w:val="en-AU" w:eastAsia="en-US"/>
        </w:rPr>
      </w:pPr>
      <w:r>
        <w:rPr>
          <w:lang w:val="en-AU" w:eastAsia="en-US"/>
        </w:rPr>
        <w:t xml:space="preserve">Christian Leuprecht &amp; Rhianna Hamilton, ‘New Opportunities in common foreign and defence policy: joining Pesco’, </w:t>
      </w:r>
      <w:r>
        <w:rPr>
          <w:i/>
          <w:lang w:val="en-AU" w:eastAsia="en-US"/>
        </w:rPr>
        <w:t>Australian and New Zealand Journal of International Studies</w:t>
      </w:r>
      <w:r>
        <w:rPr>
          <w:lang w:val="en-AU" w:eastAsia="en-US"/>
        </w:rPr>
        <w:t>, 2019, 11:3, pp.</w:t>
      </w:r>
      <w:r>
        <w:rPr>
          <w:i/>
          <w:lang w:val="en-AU" w:eastAsia="en-US"/>
        </w:rPr>
        <w:t xml:space="preserve"> </w:t>
      </w:r>
      <w:r>
        <w:rPr>
          <w:lang w:val="en-AU" w:eastAsia="en-US"/>
        </w:rPr>
        <w:t xml:space="preserve">78-96, available at </w:t>
      </w:r>
      <w:r w:rsidRPr="00581E94">
        <w:rPr>
          <w:lang w:val="en-AU" w:eastAsia="en-US"/>
        </w:rPr>
        <w:t>https://esaanz.org.au/wp-content/uploads/2020/02/Leuprecht_Hamilton-1.pdf</w:t>
      </w:r>
    </w:p>
    <w:p w14:paraId="63A62EE7" w14:textId="5CB192C7" w:rsidR="00862897" w:rsidRDefault="00862897" w:rsidP="00BB5CCE">
      <w:pPr>
        <w:pStyle w:val="ListParagraph"/>
        <w:numPr>
          <w:ilvl w:val="0"/>
          <w:numId w:val="21"/>
        </w:numPr>
        <w:shd w:val="clear" w:color="auto" w:fill="FFFFFF"/>
        <w:rPr>
          <w:lang w:val="en-AU" w:eastAsia="en-US"/>
        </w:rPr>
      </w:pPr>
      <w:r>
        <w:rPr>
          <w:lang w:val="en-AU" w:eastAsia="en-US"/>
        </w:rPr>
        <w:t xml:space="preserve">Annegret Bendiek et. al., ‘EU-Canada relations on the rise’, </w:t>
      </w:r>
      <w:r>
        <w:rPr>
          <w:i/>
          <w:lang w:val="en-AU" w:eastAsia="en-US"/>
        </w:rPr>
        <w:t>Stiftung Wissenschaft und Politik</w:t>
      </w:r>
      <w:r>
        <w:rPr>
          <w:lang w:val="en-AU" w:eastAsia="en-US"/>
        </w:rPr>
        <w:t xml:space="preserve">, 2019, available at </w:t>
      </w:r>
      <w:r w:rsidRPr="00862897">
        <w:rPr>
          <w:lang w:val="en-AU" w:eastAsia="en-US"/>
        </w:rPr>
        <w:t>https://www.swp-berlin.org/publications/products/arbeitspapiere/1_WP_Bendiek_etal_EU-Canada_relations_final_01.pdf</w:t>
      </w:r>
    </w:p>
    <w:p w14:paraId="614633BB" w14:textId="23275213" w:rsidR="00581E94" w:rsidRPr="00581E94" w:rsidRDefault="00581E94" w:rsidP="00581E94">
      <w:pPr>
        <w:pStyle w:val="ListParagraph"/>
        <w:numPr>
          <w:ilvl w:val="0"/>
          <w:numId w:val="21"/>
        </w:numPr>
        <w:shd w:val="clear" w:color="auto" w:fill="FFFFFF"/>
        <w:rPr>
          <w:lang w:val="en-AU" w:eastAsia="en-US"/>
        </w:rPr>
      </w:pPr>
      <w:r>
        <w:rPr>
          <w:lang w:val="en-AU" w:eastAsia="en-US"/>
        </w:rPr>
        <w:t>Annegret Bendiek &amp; Felix Schenuit, ‘</w:t>
      </w:r>
      <w:r w:rsidRPr="00581E94">
        <w:rPr>
          <w:lang w:val="en-AU" w:eastAsia="en-US"/>
        </w:rPr>
        <w:t>EU-Canada’s strategic partnership: broadening relations</w:t>
      </w:r>
      <w:r>
        <w:rPr>
          <w:lang w:val="en-AU" w:eastAsia="en-US"/>
        </w:rPr>
        <w:t xml:space="preserve"> </w:t>
      </w:r>
      <w:r w:rsidRPr="00581E94">
        <w:rPr>
          <w:lang w:val="en-AU" w:eastAsia="en-US"/>
        </w:rPr>
        <w:t>and mutual interests</w:t>
      </w:r>
      <w:r>
        <w:rPr>
          <w:lang w:val="en-AU" w:eastAsia="en-US"/>
        </w:rPr>
        <w:t xml:space="preserve">’, </w:t>
      </w:r>
      <w:r>
        <w:rPr>
          <w:i/>
          <w:lang w:val="en-AU" w:eastAsia="en-US"/>
        </w:rPr>
        <w:t>Australian and New Zealand Journal of International Studies</w:t>
      </w:r>
      <w:r>
        <w:rPr>
          <w:lang w:val="en-AU" w:eastAsia="en-US"/>
        </w:rPr>
        <w:t xml:space="preserve">, 2019, 11:3, pp. 30-44, available at </w:t>
      </w:r>
      <w:r w:rsidRPr="00581E94">
        <w:rPr>
          <w:lang w:val="en-AU" w:eastAsia="en-US"/>
        </w:rPr>
        <w:t>https://www.esaanz.org.au/wp-content/uploads/2020/02/Bendiek_Schenuit-1.pdf</w:t>
      </w:r>
      <w:r>
        <w:rPr>
          <w:lang w:val="en-AU" w:eastAsia="en-US"/>
        </w:rPr>
        <w:t xml:space="preserve"> </w:t>
      </w:r>
    </w:p>
    <w:p w14:paraId="5A365A18" w14:textId="77777777" w:rsidR="00BB5CCE" w:rsidRPr="00581E94" w:rsidRDefault="00BB5CCE" w:rsidP="00AA7A43">
      <w:pPr>
        <w:pStyle w:val="ListParagraph"/>
        <w:numPr>
          <w:ilvl w:val="0"/>
          <w:numId w:val="30"/>
        </w:numPr>
        <w:shd w:val="clear" w:color="auto" w:fill="FFFFFF"/>
        <w:rPr>
          <w:rStyle w:val="Hyperlink"/>
          <w:color w:val="auto"/>
          <w:u w:val="none"/>
          <w:lang w:val="en-AU" w:eastAsia="en-US"/>
        </w:rPr>
      </w:pPr>
      <w:r w:rsidRPr="006A1F39">
        <w:rPr>
          <w:lang w:val="en-AU" w:eastAsia="en-US"/>
        </w:rPr>
        <w:t xml:space="preserve">Document: </w:t>
      </w:r>
      <w:r w:rsidRPr="006A1F39">
        <w:rPr>
          <w:i/>
          <w:lang w:val="en-AU"/>
        </w:rPr>
        <w:t>Strategic Partnership Agreement between Canada, of the One Part, and the European Union and its Member States, of the Other Part</w:t>
      </w:r>
      <w:r w:rsidR="00AA7A43" w:rsidRPr="006A1F39">
        <w:rPr>
          <w:i/>
          <w:lang w:val="en-AU"/>
        </w:rPr>
        <w:t xml:space="preserve"> (read portions relevant to security</w:t>
      </w:r>
      <w:r w:rsidR="00AA7A43" w:rsidRPr="00581E94">
        <w:rPr>
          <w:i/>
          <w:lang w:val="en-AU"/>
        </w:rPr>
        <w:t xml:space="preserve">), </w:t>
      </w:r>
      <w:hyperlink r:id="rId46" w:history="1">
        <w:r w:rsidRPr="00581E94">
          <w:rPr>
            <w:rStyle w:val="Hyperlink"/>
            <w:lang w:val="en-AU"/>
          </w:rPr>
          <w:t>https://www.international.gc.ca/world-monde/international_relations-relations_internationales/can-eu_spa-aps_can-ue.aspx?lang=eng</w:t>
        </w:r>
      </w:hyperlink>
    </w:p>
    <w:p w14:paraId="05BF0589" w14:textId="76232464" w:rsidR="00581E94" w:rsidRPr="00581E94" w:rsidRDefault="00E65CF6" w:rsidP="00581E94">
      <w:pPr>
        <w:pStyle w:val="ListParagraph"/>
        <w:numPr>
          <w:ilvl w:val="0"/>
          <w:numId w:val="30"/>
        </w:numPr>
        <w:rPr>
          <w:lang w:val="it-IT" w:eastAsia="it-IT"/>
        </w:rPr>
      </w:pPr>
      <w:r>
        <w:rPr>
          <w:lang w:val="it-IT" w:eastAsia="it-IT"/>
        </w:rPr>
        <w:t>Canada-EU Summit Joint Declaration</w:t>
      </w:r>
      <w:r w:rsidR="00581E94" w:rsidRPr="00581E94">
        <w:rPr>
          <w:lang w:val="it-IT" w:eastAsia="it-IT"/>
        </w:rPr>
        <w:t xml:space="preserve">, </w:t>
      </w:r>
      <w:r>
        <w:rPr>
          <w:lang w:val="it-IT" w:eastAsia="it-IT"/>
        </w:rPr>
        <w:t xml:space="preserve">2019, </w:t>
      </w:r>
      <w:r w:rsidR="00581E94" w:rsidRPr="00581E94">
        <w:rPr>
          <w:lang w:val="it-IT" w:eastAsia="it-IT"/>
        </w:rPr>
        <w:t xml:space="preserve">available at </w:t>
      </w:r>
      <w:r w:rsidRPr="00E65CF6">
        <w:rPr>
          <w:lang w:val="it-IT" w:eastAsia="it-IT"/>
        </w:rPr>
        <w:t>https://www.consilium.europa.eu/media/40403/final-2019-joint-declaration-final.pdf</w:t>
      </w:r>
    </w:p>
    <w:p w14:paraId="71A1215D" w14:textId="3D13CE3A" w:rsidR="00581E94" w:rsidRPr="003F282F" w:rsidRDefault="00581E94" w:rsidP="00581E94">
      <w:pPr>
        <w:pStyle w:val="ListParagraph"/>
        <w:numPr>
          <w:ilvl w:val="0"/>
          <w:numId w:val="30"/>
        </w:numPr>
        <w:rPr>
          <w:rStyle w:val="Hyperlink"/>
          <w:color w:val="auto"/>
          <w:u w:val="none"/>
          <w:lang w:val="it-IT" w:eastAsia="it-IT"/>
        </w:rPr>
      </w:pPr>
      <w:r w:rsidRPr="00581E94">
        <w:rPr>
          <w:i/>
          <w:lang w:val="it-IT" w:eastAsia="it-IT"/>
        </w:rPr>
        <w:t xml:space="preserve">Canada-EU Summit Joint </w:t>
      </w:r>
      <w:r w:rsidR="00E65CF6">
        <w:rPr>
          <w:i/>
          <w:lang w:val="it-IT" w:eastAsia="it-IT"/>
        </w:rPr>
        <w:t>Statement</w:t>
      </w:r>
      <w:r w:rsidRPr="00581E94">
        <w:rPr>
          <w:lang w:val="it-IT" w:eastAsia="it-IT"/>
        </w:rPr>
        <w:t xml:space="preserve">, </w:t>
      </w:r>
      <w:r w:rsidR="00E65CF6">
        <w:rPr>
          <w:lang w:val="it-IT" w:eastAsia="it-IT"/>
        </w:rPr>
        <w:t xml:space="preserve">2021, </w:t>
      </w:r>
      <w:r w:rsidRPr="00581E94">
        <w:rPr>
          <w:lang w:val="it-IT" w:eastAsia="it-IT"/>
        </w:rPr>
        <w:t xml:space="preserve">available at </w:t>
      </w:r>
      <w:hyperlink r:id="rId47" w:history="1">
        <w:r w:rsidR="00E65CF6" w:rsidRPr="00A729E2">
          <w:rPr>
            <w:rStyle w:val="Hyperlink"/>
            <w:lang w:val="it-IT" w:eastAsia="it-IT"/>
          </w:rPr>
          <w:t>https://pm.gc.ca/en/news/backgrounders/2021/06/15/canada-european-union-summit-joint-statement</w:t>
        </w:r>
      </w:hyperlink>
    </w:p>
    <w:p w14:paraId="1C7D8322" w14:textId="77777777" w:rsidR="003F282F" w:rsidRDefault="003F282F" w:rsidP="003F282F">
      <w:pPr>
        <w:pStyle w:val="ListParagraph"/>
        <w:rPr>
          <w:lang w:val="it-IT" w:eastAsia="it-IT"/>
        </w:rPr>
      </w:pPr>
    </w:p>
    <w:p w14:paraId="3BDB6601" w14:textId="6C197C2B" w:rsidR="00E65CF6" w:rsidRDefault="00E65CF6" w:rsidP="00E753B8">
      <w:pPr>
        <w:pStyle w:val="ListParagraph"/>
        <w:rPr>
          <w:lang w:val="it-IT" w:eastAsia="it-IT"/>
        </w:rPr>
      </w:pPr>
      <w:r>
        <w:rPr>
          <w:lang w:val="it-IT" w:eastAsia="it-IT"/>
        </w:rPr>
        <w:t>Optional:</w:t>
      </w:r>
    </w:p>
    <w:p w14:paraId="59A380AB" w14:textId="77777777" w:rsidR="003F282F" w:rsidRPr="00E753B8" w:rsidRDefault="003F282F" w:rsidP="00E753B8">
      <w:pPr>
        <w:pStyle w:val="ListParagraph"/>
        <w:rPr>
          <w:lang w:val="it-IT" w:eastAsia="it-IT"/>
        </w:rPr>
      </w:pPr>
    </w:p>
    <w:p w14:paraId="117C7604" w14:textId="6B1F9398" w:rsidR="00E65CF6" w:rsidRPr="006A1F39" w:rsidRDefault="00E65CF6" w:rsidP="00E65CF6">
      <w:pPr>
        <w:pStyle w:val="ListParagraph"/>
        <w:numPr>
          <w:ilvl w:val="0"/>
          <w:numId w:val="21"/>
        </w:numPr>
        <w:shd w:val="clear" w:color="auto" w:fill="FFFFFF"/>
        <w:rPr>
          <w:lang w:val="en-AU" w:eastAsia="en-US"/>
        </w:rPr>
      </w:pPr>
      <w:r w:rsidRPr="006A1F39">
        <w:rPr>
          <w:lang w:val="en-AU"/>
        </w:rPr>
        <w:t xml:space="preserve">Policy memos </w:t>
      </w:r>
      <w:r>
        <w:rPr>
          <w:lang w:val="en-AU"/>
        </w:rPr>
        <w:t xml:space="preserve">and responses </w:t>
      </w:r>
      <w:r w:rsidRPr="006A1F39">
        <w:rPr>
          <w:lang w:val="en-AU"/>
        </w:rPr>
        <w:t xml:space="preserve">from the policy workshop </w:t>
      </w:r>
      <w:r>
        <w:rPr>
          <w:lang w:val="en-AU"/>
        </w:rPr>
        <w:t>‘</w:t>
      </w:r>
      <w:r w:rsidRPr="006A1F39">
        <w:rPr>
          <w:lang w:val="en-AU"/>
        </w:rPr>
        <w:t>The Transatlantic Security Triangle: Where does Canada fit?</w:t>
      </w:r>
      <w:r>
        <w:rPr>
          <w:lang w:val="en-AU"/>
        </w:rPr>
        <w:t>’</w:t>
      </w:r>
      <w:r w:rsidRPr="006A1F39">
        <w:rPr>
          <w:lang w:val="en-AU"/>
        </w:rPr>
        <w:t xml:space="preserve"> (2006), https://carleton.ca/canadaeurope/cuevents/policy-workshop-the-transatlantic-security-triangle-where-does-canada-fit/</w:t>
      </w:r>
      <w:r w:rsidRPr="006A1F39">
        <w:rPr>
          <w:lang w:val="en-AU" w:eastAsia="en-US"/>
        </w:rPr>
        <w:t xml:space="preserve"> </w:t>
      </w:r>
    </w:p>
    <w:p w14:paraId="161C726A" w14:textId="233C4158" w:rsidR="003F282F" w:rsidRPr="003F282F" w:rsidRDefault="003F282F" w:rsidP="003F282F">
      <w:pPr>
        <w:pStyle w:val="ListParagraph"/>
        <w:numPr>
          <w:ilvl w:val="0"/>
          <w:numId w:val="21"/>
        </w:numPr>
        <w:shd w:val="clear" w:color="auto" w:fill="FFFFFF"/>
        <w:rPr>
          <w:lang w:val="en-AU" w:eastAsia="en-US"/>
        </w:rPr>
      </w:pPr>
      <w:r>
        <w:rPr>
          <w:lang w:val="en-AU" w:eastAsia="en-US"/>
        </w:rPr>
        <w:t>Alexander lanoszka, ‘</w:t>
      </w:r>
      <w:r w:rsidRPr="006A1F39">
        <w:rPr>
          <w:lang w:val="en-AU" w:eastAsia="en-US"/>
        </w:rPr>
        <w:t>From Ottawa to Riga: Three tensions in Canadian defence policy</w:t>
      </w:r>
      <w:r>
        <w:rPr>
          <w:lang w:val="en-AU" w:eastAsia="en-US"/>
        </w:rPr>
        <w:t>’,</w:t>
      </w:r>
      <w:r w:rsidRPr="006A1F39">
        <w:rPr>
          <w:lang w:val="en-AU" w:eastAsia="en-US"/>
        </w:rPr>
        <w:t xml:space="preserve"> </w:t>
      </w:r>
      <w:r w:rsidRPr="006A1F39">
        <w:rPr>
          <w:i/>
          <w:lang w:val="en-AU" w:eastAsia="en-US"/>
        </w:rPr>
        <w:t>International Journal</w:t>
      </w:r>
      <w:r w:rsidRPr="006A1F39">
        <w:rPr>
          <w:lang w:val="en-AU" w:eastAsia="en-US"/>
        </w:rPr>
        <w:t xml:space="preserve">, </w:t>
      </w:r>
      <w:r>
        <w:rPr>
          <w:lang w:val="en-AU" w:eastAsia="en-US"/>
        </w:rPr>
        <w:t xml:space="preserve">2017, </w:t>
      </w:r>
      <w:r w:rsidRPr="006A1F39">
        <w:rPr>
          <w:lang w:val="en-AU" w:eastAsia="en-US"/>
        </w:rPr>
        <w:t>72</w:t>
      </w:r>
      <w:r>
        <w:rPr>
          <w:lang w:val="en-AU" w:eastAsia="en-US"/>
        </w:rPr>
        <w:t>:</w:t>
      </w:r>
      <w:r w:rsidRPr="006A1F39">
        <w:rPr>
          <w:lang w:val="en-AU" w:eastAsia="en-US"/>
        </w:rPr>
        <w:t xml:space="preserve"> 4</w:t>
      </w:r>
      <w:r>
        <w:rPr>
          <w:lang w:val="en-AU" w:eastAsia="en-US"/>
        </w:rPr>
        <w:t>, pp.</w:t>
      </w:r>
      <w:r w:rsidRPr="006A1F39">
        <w:rPr>
          <w:lang w:val="en-AU" w:eastAsia="en-US"/>
        </w:rPr>
        <w:t xml:space="preserve"> 520-537</w:t>
      </w:r>
    </w:p>
    <w:p w14:paraId="6EC840F5" w14:textId="77777777" w:rsidR="00E65CF6" w:rsidRDefault="00E65CF6" w:rsidP="00E65CF6">
      <w:pPr>
        <w:pStyle w:val="ListParagraph"/>
        <w:numPr>
          <w:ilvl w:val="0"/>
          <w:numId w:val="21"/>
        </w:numPr>
        <w:shd w:val="clear" w:color="auto" w:fill="FFFFFF"/>
        <w:rPr>
          <w:lang w:val="en-AU" w:eastAsia="en-US"/>
        </w:rPr>
      </w:pPr>
      <w:r w:rsidRPr="006A1F39">
        <w:rPr>
          <w:lang w:val="en-AU" w:eastAsia="en-US"/>
        </w:rPr>
        <w:t>Frederic Mer</w:t>
      </w:r>
      <w:r>
        <w:rPr>
          <w:lang w:val="en-AU" w:eastAsia="en-US"/>
        </w:rPr>
        <w:t>and and Antoine Vandemoortele, ‘</w:t>
      </w:r>
      <w:r w:rsidRPr="006A1F39">
        <w:rPr>
          <w:lang w:val="en-AU" w:eastAsia="en-US"/>
        </w:rPr>
        <w:t>Europe’s Place in Canadian</w:t>
      </w:r>
      <w:r>
        <w:rPr>
          <w:lang w:val="en-AU" w:eastAsia="en-US"/>
        </w:rPr>
        <w:t xml:space="preserve"> Strategic Culture (1949=-2009)’,</w:t>
      </w:r>
      <w:r w:rsidRPr="006A1F39">
        <w:rPr>
          <w:lang w:val="en-AU" w:eastAsia="en-US"/>
        </w:rPr>
        <w:t xml:space="preserve"> </w:t>
      </w:r>
      <w:r w:rsidRPr="006A1F39">
        <w:rPr>
          <w:i/>
          <w:lang w:val="en-AU" w:eastAsia="en-US"/>
        </w:rPr>
        <w:t>International Journal</w:t>
      </w:r>
      <w:r>
        <w:rPr>
          <w:lang w:val="en-AU" w:eastAsia="en-US"/>
        </w:rPr>
        <w:t>, 2011, 66:</w:t>
      </w:r>
      <w:r w:rsidRPr="006A1F39">
        <w:rPr>
          <w:lang w:val="en-AU" w:eastAsia="en-US"/>
        </w:rPr>
        <w:t xml:space="preserve"> </w:t>
      </w:r>
      <w:r>
        <w:rPr>
          <w:lang w:val="en-AU" w:eastAsia="en-US"/>
        </w:rPr>
        <w:t>2, pp.</w:t>
      </w:r>
      <w:r w:rsidRPr="006A1F39">
        <w:rPr>
          <w:lang w:val="en-AU" w:eastAsia="en-US"/>
        </w:rPr>
        <w:t xml:space="preserve"> 419-438</w:t>
      </w:r>
    </w:p>
    <w:p w14:paraId="44ABF15C" w14:textId="678D5D50" w:rsidR="00E753B8" w:rsidRPr="00E753B8" w:rsidRDefault="00E753B8" w:rsidP="00E753B8">
      <w:pPr>
        <w:pStyle w:val="ListParagraph"/>
        <w:numPr>
          <w:ilvl w:val="0"/>
          <w:numId w:val="21"/>
        </w:numPr>
        <w:shd w:val="clear" w:color="auto" w:fill="FFFFFF"/>
        <w:rPr>
          <w:lang w:val="en-AU"/>
        </w:rPr>
      </w:pPr>
      <w:r w:rsidRPr="002117DC">
        <w:rPr>
          <w:lang w:val="en-AU"/>
        </w:rPr>
        <w:t xml:space="preserve">Daniel Fiott and Marco Zeiss, </w:t>
      </w:r>
      <w:r>
        <w:rPr>
          <w:lang w:val="en-AU"/>
        </w:rPr>
        <w:t>‘Multilateralism’</w:t>
      </w:r>
      <w:r w:rsidRPr="007F3470">
        <w:rPr>
          <w:lang w:val="en-AU"/>
        </w:rPr>
        <w:t xml:space="preserve">, </w:t>
      </w:r>
      <w:r w:rsidRPr="007F3470">
        <w:rPr>
          <w:i/>
          <w:lang w:val="en-AU"/>
        </w:rPr>
        <w:t>Yearbook of European Security</w:t>
      </w:r>
      <w:r w:rsidRPr="007F3470">
        <w:rPr>
          <w:lang w:val="en-AU"/>
        </w:rPr>
        <w:t>, 2021, pp.</w:t>
      </w:r>
      <w:r>
        <w:rPr>
          <w:lang w:val="en-AU"/>
        </w:rPr>
        <w:t xml:space="preserve"> 44-57</w:t>
      </w:r>
      <w:r w:rsidRPr="007F3470">
        <w:rPr>
          <w:lang w:val="en-AU"/>
        </w:rPr>
        <w:t>, available at https://www.iss.europa.eu/sites/default/files/EUISSFiles</w:t>
      </w:r>
      <w:r w:rsidRPr="00290454">
        <w:rPr>
          <w:lang w:val="en-AU"/>
        </w:rPr>
        <w:t>/YES_2021.pdf</w:t>
      </w:r>
    </w:p>
    <w:p w14:paraId="1F39D8D3" w14:textId="77777777" w:rsidR="00915D85" w:rsidRPr="0019544E" w:rsidRDefault="00915D85" w:rsidP="007042E2">
      <w:pPr>
        <w:shd w:val="clear" w:color="auto" w:fill="FFFFFF"/>
        <w:rPr>
          <w:lang w:val="en-AU" w:eastAsia="en-US"/>
        </w:rPr>
      </w:pPr>
    </w:p>
    <w:p w14:paraId="54878BC3" w14:textId="2C59CF27" w:rsidR="007042E2" w:rsidRPr="00B13161" w:rsidRDefault="007042E2" w:rsidP="007042E2">
      <w:pPr>
        <w:shd w:val="clear" w:color="auto" w:fill="FFFFFF"/>
        <w:rPr>
          <w:b/>
          <w:lang w:val="en-AU" w:eastAsia="en-US"/>
        </w:rPr>
      </w:pPr>
      <w:r w:rsidRPr="00B13161">
        <w:rPr>
          <w:b/>
          <w:lang w:val="en-AU" w:eastAsia="en-US"/>
        </w:rPr>
        <w:t>Session 13: April 12</w:t>
      </w:r>
      <w:r w:rsidR="00F43F06">
        <w:rPr>
          <w:b/>
          <w:lang w:val="en-AU" w:eastAsia="en-US"/>
        </w:rPr>
        <w:t>,</w:t>
      </w:r>
      <w:r w:rsidR="00993286" w:rsidRPr="00B13161">
        <w:rPr>
          <w:b/>
          <w:lang w:val="en-AU" w:eastAsia="en-US"/>
        </w:rPr>
        <w:t xml:space="preserve"> </w:t>
      </w:r>
      <w:r w:rsidR="00F43F06">
        <w:rPr>
          <w:b/>
          <w:lang w:val="en-AU" w:eastAsia="en-US"/>
        </w:rPr>
        <w:t>CHINA’S RISE AND EUROPEAN SECURITY</w:t>
      </w:r>
    </w:p>
    <w:p w14:paraId="093FD2D3" w14:textId="77777777" w:rsidR="00915D85" w:rsidRPr="00B13161" w:rsidRDefault="00915D85" w:rsidP="0019544E">
      <w:pPr>
        <w:shd w:val="clear" w:color="auto" w:fill="FFFFFF"/>
        <w:outlineLvl w:val="0"/>
        <w:rPr>
          <w:lang w:val="en-AU" w:eastAsia="en-US"/>
        </w:rPr>
      </w:pPr>
    </w:p>
    <w:p w14:paraId="3A7EEC0D" w14:textId="11F6B687" w:rsidR="0019544E" w:rsidRPr="00B13161" w:rsidRDefault="0019544E" w:rsidP="0019544E">
      <w:pPr>
        <w:outlineLvl w:val="0"/>
        <w:rPr>
          <w:bCs/>
          <w:u w:val="single"/>
          <w:lang w:val="en-AU"/>
        </w:rPr>
      </w:pPr>
      <w:r w:rsidRPr="00B13161">
        <w:rPr>
          <w:bCs/>
          <w:u w:val="single"/>
          <w:lang w:val="en-AU"/>
        </w:rPr>
        <w:t>Required:</w:t>
      </w:r>
      <w:r w:rsidRPr="00B13161">
        <w:rPr>
          <w:shd w:val="clear" w:color="auto" w:fill="FFFFFF"/>
          <w:lang w:val="it-IT" w:eastAsia="it-IT"/>
        </w:rPr>
        <w:t xml:space="preserve"> </w:t>
      </w:r>
    </w:p>
    <w:p w14:paraId="57961712" w14:textId="77777777" w:rsidR="0019544E" w:rsidRPr="00E46ECF" w:rsidRDefault="0019544E" w:rsidP="0019544E">
      <w:pPr>
        <w:outlineLvl w:val="0"/>
        <w:rPr>
          <w:shd w:val="clear" w:color="auto" w:fill="FFFFFF"/>
          <w:lang w:val="it-IT" w:eastAsia="it-IT"/>
        </w:rPr>
      </w:pPr>
    </w:p>
    <w:p w14:paraId="1B8EB157" w14:textId="410C1F19" w:rsidR="00B13161" w:rsidRPr="00E46ECF" w:rsidRDefault="00B13161" w:rsidP="00B13161">
      <w:pPr>
        <w:pStyle w:val="ListParagraph"/>
        <w:numPr>
          <w:ilvl w:val="0"/>
          <w:numId w:val="30"/>
        </w:numPr>
        <w:rPr>
          <w:lang w:val="it-IT" w:eastAsia="it-IT"/>
        </w:rPr>
      </w:pPr>
      <w:r w:rsidRPr="00E46ECF">
        <w:rPr>
          <w:lang w:val="it-IT" w:eastAsia="it-IT"/>
        </w:rPr>
        <w:t xml:space="preserve">Cécile Pelaudeix , ‘The rise of China and EU vulnerability’, </w:t>
      </w:r>
      <w:r w:rsidRPr="00E46ECF">
        <w:rPr>
          <w:i/>
          <w:lang w:val="it-IT" w:eastAsia="it-IT"/>
        </w:rPr>
        <w:t>EU3D Research Papers</w:t>
      </w:r>
      <w:r w:rsidRPr="00E46ECF">
        <w:rPr>
          <w:lang w:val="it-IT" w:eastAsia="it-IT"/>
        </w:rPr>
        <w:t xml:space="preserve">,  No. 14, July 2021, available at </w:t>
      </w:r>
      <w:hyperlink r:id="rId48" w:history="1">
        <w:r w:rsidR="00E46ECF" w:rsidRPr="00E46ECF">
          <w:rPr>
            <w:rStyle w:val="Hyperlink"/>
            <w:lang w:val="it-IT" w:eastAsia="it-IT"/>
          </w:rPr>
          <w:t>https://halshs.archives-ouvertes.fr/halshs-03323014/document</w:t>
        </w:r>
      </w:hyperlink>
    </w:p>
    <w:p w14:paraId="15521B59" w14:textId="0BF8A734" w:rsidR="00E46ECF" w:rsidRPr="00E46ECF" w:rsidRDefault="00E46ECF" w:rsidP="00E46ECF">
      <w:pPr>
        <w:pStyle w:val="ListParagraph"/>
        <w:numPr>
          <w:ilvl w:val="0"/>
          <w:numId w:val="30"/>
        </w:numPr>
        <w:rPr>
          <w:lang w:val="it-IT" w:eastAsia="it-IT"/>
        </w:rPr>
      </w:pPr>
      <w:r w:rsidRPr="00E46ECF">
        <w:rPr>
          <w:lang w:val="it-IT" w:eastAsia="it-IT"/>
        </w:rPr>
        <w:t xml:space="preserve">Sophia Besch, Ian Bond and Leonard Schuette, ‘Europe, the US and China A love-hate triangle?’, </w:t>
      </w:r>
      <w:r w:rsidRPr="00E46ECF">
        <w:rPr>
          <w:i/>
          <w:lang w:val="it-IT" w:eastAsia="it-IT"/>
        </w:rPr>
        <w:t>Centre for European Reform Policy Brief</w:t>
      </w:r>
      <w:r w:rsidRPr="00E46ECF">
        <w:rPr>
          <w:lang w:val="it-IT" w:eastAsia="it-IT"/>
        </w:rPr>
        <w:t>, 2020, available at https://www.cer.eu/sites/default/files/pbrief_us_china_eu_SB_IB_LS.pdf</w:t>
      </w:r>
    </w:p>
    <w:p w14:paraId="481965F1" w14:textId="2CCB295A" w:rsidR="003444D5" w:rsidRPr="00E46ECF" w:rsidRDefault="003444D5" w:rsidP="003444D5">
      <w:pPr>
        <w:pStyle w:val="ListParagraph"/>
        <w:numPr>
          <w:ilvl w:val="0"/>
          <w:numId w:val="30"/>
        </w:numPr>
        <w:outlineLvl w:val="0"/>
        <w:rPr>
          <w:lang w:val="it-IT" w:eastAsia="it-IT"/>
        </w:rPr>
      </w:pPr>
      <w:r w:rsidRPr="00E46ECF">
        <w:rPr>
          <w:lang w:val="it-IT" w:eastAsia="it-IT"/>
        </w:rPr>
        <w:t xml:space="preserve">Josep Borrell, ‘The Sinatra Doctrine. How the EU Should Deal with the US–China Competition’, </w:t>
      </w:r>
      <w:r w:rsidRPr="00E46ECF">
        <w:rPr>
          <w:i/>
          <w:lang w:val="it-IT" w:eastAsia="it-IT"/>
        </w:rPr>
        <w:t>IAI Policy Brief 2020</w:t>
      </w:r>
      <w:r w:rsidRPr="00E46ECF">
        <w:rPr>
          <w:lang w:val="it-IT" w:eastAsia="it-IT"/>
        </w:rPr>
        <w:t>, available at https://www.iai.it/sites/default/files/iaip2024.pdf</w:t>
      </w:r>
    </w:p>
    <w:p w14:paraId="7AE66B36" w14:textId="225FCCEB" w:rsidR="0019544E" w:rsidRPr="00E46ECF" w:rsidRDefault="0019544E" w:rsidP="0019544E">
      <w:pPr>
        <w:pStyle w:val="ListParagraph"/>
        <w:numPr>
          <w:ilvl w:val="0"/>
          <w:numId w:val="30"/>
        </w:numPr>
        <w:outlineLvl w:val="0"/>
        <w:rPr>
          <w:lang w:val="it-IT" w:eastAsia="it-IT"/>
        </w:rPr>
      </w:pPr>
      <w:r w:rsidRPr="00E46ECF">
        <w:rPr>
          <w:shd w:val="clear" w:color="auto" w:fill="FFFFFF"/>
          <w:lang w:val="it-IT" w:eastAsia="it-IT"/>
        </w:rPr>
        <w:t>François Heisbourg, ‘Euro-Atlantic Security and the China Nexus’, </w:t>
      </w:r>
      <w:r w:rsidRPr="00E46ECF">
        <w:rPr>
          <w:i/>
          <w:shd w:val="clear" w:color="auto" w:fill="FFFFFF"/>
          <w:lang w:val="it-IT" w:eastAsia="it-IT"/>
        </w:rPr>
        <w:t>Survival</w:t>
      </w:r>
      <w:r w:rsidRPr="00E46ECF">
        <w:rPr>
          <w:shd w:val="clear" w:color="auto" w:fill="FFFFFF"/>
          <w:lang w:val="it-IT" w:eastAsia="it-IT"/>
        </w:rPr>
        <w:t>, 2021, 63:6, </w:t>
      </w:r>
      <w:r w:rsidR="00B13161" w:rsidRPr="00E46ECF">
        <w:rPr>
          <w:shd w:val="clear" w:color="auto" w:fill="FFFFFF"/>
          <w:lang w:val="it-IT" w:eastAsia="it-IT"/>
        </w:rPr>
        <w:t xml:space="preserve">pp. </w:t>
      </w:r>
      <w:r w:rsidRPr="00E46ECF">
        <w:rPr>
          <w:shd w:val="clear" w:color="auto" w:fill="FFFFFF"/>
          <w:lang w:val="it-IT" w:eastAsia="it-IT"/>
        </w:rPr>
        <w:t>45-62</w:t>
      </w:r>
    </w:p>
    <w:p w14:paraId="29E9D008" w14:textId="4A61BB6B" w:rsidR="0019544E" w:rsidRPr="00B13161" w:rsidRDefault="00DC7611" w:rsidP="004C3A73">
      <w:pPr>
        <w:pStyle w:val="ListParagraph"/>
        <w:numPr>
          <w:ilvl w:val="0"/>
          <w:numId w:val="30"/>
        </w:numPr>
        <w:shd w:val="clear" w:color="auto" w:fill="FFFFFF"/>
        <w:outlineLvl w:val="0"/>
        <w:rPr>
          <w:lang w:val="en-AU" w:eastAsia="en-US"/>
        </w:rPr>
      </w:pPr>
      <w:r w:rsidRPr="00E46ECF">
        <w:rPr>
          <w:shd w:val="clear" w:color="auto" w:fill="FFFFFF"/>
          <w:lang w:val="it-IT" w:eastAsia="it-IT"/>
        </w:rPr>
        <w:t>Nina Ma</w:t>
      </w:r>
      <w:r w:rsidR="0019544E" w:rsidRPr="00E46ECF">
        <w:rPr>
          <w:shd w:val="clear" w:color="auto" w:fill="FFFFFF"/>
          <w:lang w:val="it-IT" w:eastAsia="it-IT"/>
        </w:rPr>
        <w:t>rkovic Khaze &amp; Xiwen Wan,</w:t>
      </w:r>
      <w:r w:rsidRPr="00E46ECF">
        <w:rPr>
          <w:shd w:val="clear" w:color="auto" w:fill="FFFFFF"/>
          <w:lang w:val="it-IT" w:eastAsia="it-IT"/>
        </w:rPr>
        <w:t> </w:t>
      </w:r>
      <w:r w:rsidR="0019544E" w:rsidRPr="00E46ECF">
        <w:rPr>
          <w:shd w:val="clear" w:color="auto" w:fill="FFFFFF"/>
          <w:lang w:val="it-IT" w:eastAsia="it-IT"/>
        </w:rPr>
        <w:t>‘</w:t>
      </w:r>
      <w:r w:rsidRPr="00E46ECF">
        <w:rPr>
          <w:shd w:val="clear" w:color="auto" w:fill="FFFFFF"/>
          <w:lang w:val="it-IT" w:eastAsia="it-IT"/>
        </w:rPr>
        <w:t>Is China’s rising influence in the Western Balkans a threat</w:t>
      </w:r>
      <w:r w:rsidRPr="00B13161">
        <w:rPr>
          <w:shd w:val="clear" w:color="auto" w:fill="FFFFFF"/>
          <w:lang w:val="it-IT" w:eastAsia="it-IT"/>
        </w:rPr>
        <w:t xml:space="preserve"> to European integration?</w:t>
      </w:r>
      <w:r w:rsidR="0019544E" w:rsidRPr="00B13161">
        <w:rPr>
          <w:shd w:val="clear" w:color="auto" w:fill="FFFFFF"/>
          <w:lang w:val="it-IT" w:eastAsia="it-IT"/>
        </w:rPr>
        <w:t>’</w:t>
      </w:r>
      <w:r w:rsidRPr="00B13161">
        <w:rPr>
          <w:shd w:val="clear" w:color="auto" w:fill="FFFFFF"/>
          <w:lang w:val="it-IT" w:eastAsia="it-IT"/>
        </w:rPr>
        <w:t>, </w:t>
      </w:r>
      <w:r w:rsidRPr="00B13161">
        <w:rPr>
          <w:i/>
          <w:shd w:val="clear" w:color="auto" w:fill="FFFFFF"/>
          <w:lang w:val="it-IT" w:eastAsia="it-IT"/>
        </w:rPr>
        <w:t xml:space="preserve">Journal of Contemporary </w:t>
      </w:r>
      <w:r w:rsidR="0019544E" w:rsidRPr="00B13161">
        <w:rPr>
          <w:i/>
          <w:shd w:val="clear" w:color="auto" w:fill="FFFFFF"/>
          <w:lang w:val="it-IT" w:eastAsia="it-IT"/>
        </w:rPr>
        <w:t>European Studies</w:t>
      </w:r>
      <w:r w:rsidR="0019544E" w:rsidRPr="00B13161">
        <w:rPr>
          <w:shd w:val="clear" w:color="auto" w:fill="FFFFFF"/>
          <w:lang w:val="it-IT" w:eastAsia="it-IT"/>
        </w:rPr>
        <w:t>, 2021, 29:2, </w:t>
      </w:r>
      <w:r w:rsidR="00B13161" w:rsidRPr="00B13161">
        <w:rPr>
          <w:shd w:val="clear" w:color="auto" w:fill="FFFFFF"/>
          <w:lang w:val="it-IT" w:eastAsia="it-IT"/>
        </w:rPr>
        <w:t xml:space="preserve">pp. </w:t>
      </w:r>
      <w:r w:rsidR="0019544E" w:rsidRPr="00B13161">
        <w:rPr>
          <w:shd w:val="clear" w:color="auto" w:fill="FFFFFF"/>
          <w:lang w:val="it-IT" w:eastAsia="it-IT"/>
        </w:rPr>
        <w:t>234-250</w:t>
      </w:r>
    </w:p>
    <w:p w14:paraId="01A60349" w14:textId="5EDC4686" w:rsidR="00E753B8" w:rsidRPr="00E753B8" w:rsidRDefault="004C3A73" w:rsidP="00E753B8">
      <w:pPr>
        <w:pStyle w:val="ListParagraph"/>
        <w:numPr>
          <w:ilvl w:val="0"/>
          <w:numId w:val="30"/>
        </w:numPr>
        <w:shd w:val="clear" w:color="auto" w:fill="FFFFFF"/>
        <w:outlineLvl w:val="0"/>
        <w:rPr>
          <w:lang w:val="en-AU" w:eastAsia="en-US"/>
        </w:rPr>
      </w:pPr>
      <w:r w:rsidRPr="00B13161">
        <w:rPr>
          <w:shd w:val="clear" w:color="auto" w:fill="FFFFFF"/>
          <w:lang w:val="it-IT" w:eastAsia="it-IT"/>
        </w:rPr>
        <w:t>Paulo Afonso B. Dua</w:t>
      </w:r>
      <w:r w:rsidR="0019544E" w:rsidRPr="00B13161">
        <w:rPr>
          <w:shd w:val="clear" w:color="auto" w:fill="FFFFFF"/>
          <w:lang w:val="it-IT" w:eastAsia="it-IT"/>
        </w:rPr>
        <w:t>rte &amp; Laura C. Ferreira-Pereira, ‘</w:t>
      </w:r>
      <w:r w:rsidRPr="00B13161">
        <w:rPr>
          <w:shd w:val="clear" w:color="auto" w:fill="FFFFFF"/>
          <w:lang w:val="it-IT" w:eastAsia="it-IT"/>
        </w:rPr>
        <w:t>The Soft Power of China and the European Union in the context of the Belt and Road Initiative and Global Strategy</w:t>
      </w:r>
      <w:r w:rsidR="0019544E" w:rsidRPr="00B13161">
        <w:rPr>
          <w:shd w:val="clear" w:color="auto" w:fill="FFFFFF"/>
          <w:lang w:val="it-IT" w:eastAsia="it-IT"/>
        </w:rPr>
        <w:t>’</w:t>
      </w:r>
      <w:r w:rsidRPr="00B13161">
        <w:rPr>
          <w:shd w:val="clear" w:color="auto" w:fill="FFFFFF"/>
          <w:lang w:val="it-IT" w:eastAsia="it-IT"/>
        </w:rPr>
        <w:t>, </w:t>
      </w:r>
      <w:r w:rsidRPr="00B13161">
        <w:rPr>
          <w:i/>
          <w:shd w:val="clear" w:color="auto" w:fill="FFFFFF"/>
          <w:lang w:val="it-IT" w:eastAsia="it-IT"/>
        </w:rPr>
        <w:t>Journal of Contemporary European Studies,</w:t>
      </w:r>
      <w:r w:rsidR="0019544E" w:rsidRPr="00B13161">
        <w:rPr>
          <w:i/>
          <w:shd w:val="clear" w:color="auto" w:fill="FFFFFF"/>
          <w:lang w:val="it-IT" w:eastAsia="it-IT"/>
        </w:rPr>
        <w:t xml:space="preserve"> </w:t>
      </w:r>
      <w:r w:rsidR="0019544E" w:rsidRPr="00B13161">
        <w:rPr>
          <w:shd w:val="clear" w:color="auto" w:fill="FFFFFF"/>
          <w:lang w:val="it-IT" w:eastAsia="it-IT"/>
        </w:rPr>
        <w:t>2021</w:t>
      </w:r>
    </w:p>
    <w:p w14:paraId="438A6BE1" w14:textId="7993FEDD" w:rsidR="00E753B8" w:rsidRPr="00E753B8" w:rsidRDefault="00E753B8" w:rsidP="00E753B8">
      <w:pPr>
        <w:pStyle w:val="ListParagraph"/>
        <w:numPr>
          <w:ilvl w:val="0"/>
          <w:numId w:val="30"/>
        </w:numPr>
        <w:shd w:val="clear" w:color="auto" w:fill="FFFFFF"/>
        <w:rPr>
          <w:lang w:val="en-AU"/>
        </w:rPr>
      </w:pPr>
      <w:r w:rsidRPr="002117DC">
        <w:rPr>
          <w:lang w:val="en-AU"/>
        </w:rPr>
        <w:t xml:space="preserve">Daniel Fiott and Marco Zeiss, </w:t>
      </w:r>
      <w:r>
        <w:rPr>
          <w:lang w:val="en-AU"/>
        </w:rPr>
        <w:t>‘Asia’</w:t>
      </w:r>
      <w:r w:rsidRPr="007F3470">
        <w:rPr>
          <w:lang w:val="en-AU"/>
        </w:rPr>
        <w:t xml:space="preserve">, </w:t>
      </w:r>
      <w:r w:rsidRPr="007F3470">
        <w:rPr>
          <w:i/>
          <w:lang w:val="en-AU"/>
        </w:rPr>
        <w:t>Yearbook of European Security</w:t>
      </w:r>
      <w:r w:rsidRPr="007F3470">
        <w:rPr>
          <w:lang w:val="en-AU"/>
        </w:rPr>
        <w:t>, 2021, pp.</w:t>
      </w:r>
      <w:r>
        <w:rPr>
          <w:lang w:val="en-AU"/>
        </w:rPr>
        <w:t xml:space="preserve"> 113-127</w:t>
      </w:r>
      <w:r w:rsidRPr="007F3470">
        <w:rPr>
          <w:lang w:val="en-AU"/>
        </w:rPr>
        <w:t>, available at https://www.iss.europa.eu/sites/default/files/EUISSFiles</w:t>
      </w:r>
      <w:r w:rsidRPr="00290454">
        <w:rPr>
          <w:lang w:val="en-AU"/>
        </w:rPr>
        <w:t>/YES_2021.pdf</w:t>
      </w:r>
    </w:p>
    <w:p w14:paraId="52F21F6E" w14:textId="77777777" w:rsidR="004C3A73" w:rsidRPr="00B13161" w:rsidRDefault="004C3A73" w:rsidP="007042E2">
      <w:pPr>
        <w:shd w:val="clear" w:color="auto" w:fill="FFFFFF"/>
        <w:rPr>
          <w:color w:val="FFFF00"/>
          <w:lang w:val="en-AU" w:eastAsia="en-US"/>
        </w:rPr>
      </w:pPr>
    </w:p>
    <w:p w14:paraId="7E1D4DD6" w14:textId="0C6CC923" w:rsidR="00915D85" w:rsidRPr="00B13161" w:rsidRDefault="0019544E" w:rsidP="007042E2">
      <w:pPr>
        <w:shd w:val="clear" w:color="auto" w:fill="FFFFFF"/>
        <w:rPr>
          <w:lang w:val="en-AU" w:eastAsia="en-US"/>
        </w:rPr>
      </w:pPr>
      <w:r w:rsidRPr="00B13161">
        <w:rPr>
          <w:lang w:val="en-AU" w:eastAsia="en-US"/>
        </w:rPr>
        <w:t>Optional</w:t>
      </w:r>
      <w:r w:rsidR="00F43F06">
        <w:rPr>
          <w:lang w:val="en-AU" w:eastAsia="en-US"/>
        </w:rPr>
        <w:t>:</w:t>
      </w:r>
    </w:p>
    <w:p w14:paraId="3DDC07E9" w14:textId="77777777" w:rsidR="0019544E" w:rsidRPr="00C0659F" w:rsidRDefault="0019544E" w:rsidP="007042E2">
      <w:pPr>
        <w:shd w:val="clear" w:color="auto" w:fill="FFFFFF"/>
        <w:rPr>
          <w:color w:val="FFFF00"/>
          <w:lang w:val="en-AU" w:eastAsia="en-US"/>
        </w:rPr>
      </w:pPr>
    </w:p>
    <w:p w14:paraId="46E9CE0E" w14:textId="77777777" w:rsidR="003F282F" w:rsidRPr="00E753B8" w:rsidRDefault="003F282F" w:rsidP="003F282F">
      <w:pPr>
        <w:pStyle w:val="ListParagraph"/>
        <w:numPr>
          <w:ilvl w:val="0"/>
          <w:numId w:val="30"/>
        </w:numPr>
        <w:shd w:val="clear" w:color="auto" w:fill="FFFFFF"/>
        <w:outlineLvl w:val="0"/>
        <w:rPr>
          <w:lang w:val="en-AU" w:eastAsia="en-US"/>
        </w:rPr>
      </w:pPr>
      <w:r w:rsidRPr="00B13161">
        <w:rPr>
          <w:shd w:val="clear" w:color="auto" w:fill="FFFFFF"/>
          <w:lang w:val="it-IT" w:eastAsia="it-IT"/>
        </w:rPr>
        <w:t>Hugo Meijer, ‘Pulled East. The rise of China, Europe and French security policy in the Asia-Pacific’, </w:t>
      </w:r>
      <w:r w:rsidRPr="00B13161">
        <w:rPr>
          <w:i/>
          <w:shd w:val="clear" w:color="auto" w:fill="FFFFFF"/>
          <w:lang w:val="it-IT" w:eastAsia="it-IT"/>
        </w:rPr>
        <w:t>Journal of Strategic Studies,</w:t>
      </w:r>
      <w:r w:rsidRPr="00B13161">
        <w:rPr>
          <w:shd w:val="clear" w:color="auto" w:fill="FFFFFF"/>
          <w:lang w:val="it-IT" w:eastAsia="it-IT"/>
        </w:rPr>
        <w:t xml:space="preserve"> 2021</w:t>
      </w:r>
    </w:p>
    <w:p w14:paraId="2A99BC60" w14:textId="15CC6928" w:rsidR="00C0659F" w:rsidRPr="006E7780" w:rsidRDefault="00C0659F" w:rsidP="00C0659F">
      <w:pPr>
        <w:pStyle w:val="ListParagraph"/>
        <w:numPr>
          <w:ilvl w:val="0"/>
          <w:numId w:val="30"/>
        </w:numPr>
        <w:outlineLvl w:val="0"/>
        <w:rPr>
          <w:lang w:val="it-IT" w:eastAsia="it-IT"/>
        </w:rPr>
      </w:pPr>
      <w:r w:rsidRPr="006E7780">
        <w:rPr>
          <w:lang w:val="it-IT" w:eastAsia="it-IT"/>
        </w:rPr>
        <w:t xml:space="preserve">Thomas Christiansen &amp; Richard Maher, ‘The rise of China- Challenges and Opportunities for the European Union’, </w:t>
      </w:r>
      <w:r w:rsidR="00B13161" w:rsidRPr="006E7780">
        <w:rPr>
          <w:i/>
          <w:lang w:val="it-IT" w:eastAsia="it-IT"/>
        </w:rPr>
        <w:t>Asia-Europa Journal</w:t>
      </w:r>
      <w:r w:rsidR="00B13161" w:rsidRPr="006E7780">
        <w:rPr>
          <w:lang w:val="it-IT" w:eastAsia="it-IT"/>
        </w:rPr>
        <w:t>, 2017, 15, pp. 121-131, available at https://iris.luiss.it/retrieve/handle/11385/189098/84664/Christiansen-Maher2017_Article_TheRiseOfChinaChallengesAndOpp.pdf</w:t>
      </w:r>
    </w:p>
    <w:p w14:paraId="50451887" w14:textId="36B44F7A" w:rsidR="00B13161" w:rsidRPr="006E7780" w:rsidRDefault="00B13161" w:rsidP="00C0659F">
      <w:pPr>
        <w:pStyle w:val="ListParagraph"/>
        <w:numPr>
          <w:ilvl w:val="0"/>
          <w:numId w:val="30"/>
        </w:numPr>
        <w:outlineLvl w:val="0"/>
        <w:rPr>
          <w:lang w:val="it-IT" w:eastAsia="it-IT"/>
        </w:rPr>
      </w:pPr>
      <w:r w:rsidRPr="006E7780">
        <w:rPr>
          <w:lang w:val="it-IT" w:eastAsia="it-IT"/>
        </w:rPr>
        <w:t xml:space="preserve">Henrik Larsen, ‘China’s rise can unite NATO’, </w:t>
      </w:r>
      <w:r w:rsidRPr="006E7780">
        <w:rPr>
          <w:i/>
          <w:lang w:val="it-IT" w:eastAsia="it-IT"/>
        </w:rPr>
        <w:t>Policy Perspectives</w:t>
      </w:r>
      <w:r w:rsidRPr="006E7780">
        <w:rPr>
          <w:lang w:val="it-IT" w:eastAsia="it-IT"/>
        </w:rPr>
        <w:t xml:space="preserve">, 2020, 8:13, pp.1-4, available at </w:t>
      </w:r>
      <w:r w:rsidR="006E7780" w:rsidRPr="006E7780">
        <w:rPr>
          <w:lang w:val="it-IT" w:eastAsia="it-IT"/>
        </w:rPr>
        <w:t>https://css.ethz.ch/content/dam/ethz/special-interest/gess/cis/center-for-securities-studies/pdfs/PP8-13_2020-EN.pdf</w:t>
      </w:r>
    </w:p>
    <w:p w14:paraId="442F9284" w14:textId="049F5BE8" w:rsidR="006E7780" w:rsidRDefault="006E7780" w:rsidP="006E7780">
      <w:pPr>
        <w:pStyle w:val="ListParagraph"/>
        <w:numPr>
          <w:ilvl w:val="0"/>
          <w:numId w:val="30"/>
        </w:numPr>
        <w:outlineLvl w:val="0"/>
        <w:rPr>
          <w:lang w:val="it-IT" w:eastAsia="it-IT"/>
        </w:rPr>
      </w:pPr>
      <w:r w:rsidRPr="006E7780">
        <w:rPr>
          <w:lang w:val="it-IT" w:eastAsia="it-IT"/>
        </w:rPr>
        <w:t xml:space="preserve">Pan Zhenqiang, The US-Europe-China Triangle in an Increasingly Multipolar World, </w:t>
      </w:r>
      <w:r w:rsidRPr="006E7780">
        <w:rPr>
          <w:i/>
          <w:lang w:val="it-IT" w:eastAsia="it-IT"/>
        </w:rPr>
        <w:t>Konrad Adenauer Stiftung Report,</w:t>
      </w:r>
      <w:r w:rsidRPr="006E7780">
        <w:rPr>
          <w:lang w:val="it-IT" w:eastAsia="it-IT"/>
        </w:rPr>
        <w:t xml:space="preserve"> 2006, available at </w:t>
      </w:r>
      <w:hyperlink r:id="rId49" w:history="1">
        <w:r w:rsidR="003F282F" w:rsidRPr="00A729E2">
          <w:rPr>
            <w:rStyle w:val="Hyperlink"/>
            <w:lang w:val="it-IT" w:eastAsia="it-IT"/>
          </w:rPr>
          <w:t>https://www.kas.de/c/document_library/get_file?uuid=3e4a8021-c8c3-0064-581e-3def9dd112b8&amp;groupId=252038</w:t>
        </w:r>
      </w:hyperlink>
    </w:p>
    <w:p w14:paraId="7095755F" w14:textId="77777777" w:rsidR="003F282F" w:rsidRPr="00671605" w:rsidRDefault="003F282F" w:rsidP="003F282F">
      <w:pPr>
        <w:pStyle w:val="ListParagraph"/>
        <w:numPr>
          <w:ilvl w:val="0"/>
          <w:numId w:val="30"/>
        </w:numPr>
        <w:rPr>
          <w:i/>
          <w:lang w:val="en-AU"/>
        </w:rPr>
      </w:pPr>
      <w:r w:rsidRPr="00671605">
        <w:rPr>
          <w:i/>
          <w:lang w:val="en-AU"/>
        </w:rPr>
        <w:t xml:space="preserve">NATO 2030 Factsheet, </w:t>
      </w:r>
      <w:r w:rsidRPr="00671605">
        <w:rPr>
          <w:lang w:val="en-AU"/>
        </w:rPr>
        <w:t>available at https://www.nato.int/nato_static_fl2014/assets/pdf/2021/6/pdf/2106-factsheet-nato2030-en.pdf</w:t>
      </w:r>
    </w:p>
    <w:p w14:paraId="22A08FE1" w14:textId="77777777" w:rsidR="003F282F" w:rsidRPr="006E7780" w:rsidRDefault="003F282F" w:rsidP="003F282F">
      <w:pPr>
        <w:pStyle w:val="ListParagraph"/>
        <w:outlineLvl w:val="0"/>
        <w:rPr>
          <w:lang w:val="it-IT" w:eastAsia="it-IT"/>
        </w:rPr>
      </w:pPr>
    </w:p>
    <w:p w14:paraId="03D6819B" w14:textId="04A69EB7" w:rsidR="00911611" w:rsidRPr="003F282F" w:rsidRDefault="00911611" w:rsidP="00902405">
      <w:pPr>
        <w:rPr>
          <w:rFonts w:eastAsiaTheme="majorEastAsia"/>
          <w:lang w:val="en-AU"/>
        </w:rPr>
      </w:pPr>
    </w:p>
    <w:p w14:paraId="7F792D56" w14:textId="77777777" w:rsidR="00902405" w:rsidRPr="00C0659F" w:rsidRDefault="00902405" w:rsidP="00902405">
      <w:pPr>
        <w:rPr>
          <w:b/>
          <w:bCs/>
          <w:u w:val="single"/>
        </w:rPr>
      </w:pPr>
      <w:r w:rsidRPr="00C0659F">
        <w:rPr>
          <w:b/>
          <w:bCs/>
          <w:u w:val="single"/>
        </w:rPr>
        <w:t>SUPPLEMENTAL INFORMATION</w:t>
      </w:r>
    </w:p>
    <w:p w14:paraId="5736C7A3" w14:textId="77777777" w:rsidR="00911611" w:rsidRDefault="00911611" w:rsidP="00902405">
      <w:pPr>
        <w:rPr>
          <w:b/>
          <w:bCs/>
          <w:u w:val="single"/>
        </w:rPr>
      </w:pPr>
    </w:p>
    <w:p w14:paraId="6B95981F" w14:textId="73AEE501" w:rsidR="00911611" w:rsidRDefault="00911611" w:rsidP="00902405">
      <w:pPr>
        <w:rPr>
          <w:b/>
          <w:bCs/>
          <w:u w:val="single"/>
        </w:rPr>
      </w:pPr>
      <w:r>
        <w:rPr>
          <w:b/>
          <w:bCs/>
          <w:u w:val="single"/>
        </w:rPr>
        <w:t>Guest Speakers:</w:t>
      </w:r>
    </w:p>
    <w:p w14:paraId="5EE6462B" w14:textId="77777777" w:rsidR="00911611" w:rsidRDefault="00911611" w:rsidP="00902405">
      <w:pPr>
        <w:rPr>
          <w:b/>
          <w:bCs/>
          <w:u w:val="single"/>
        </w:rPr>
      </w:pPr>
    </w:p>
    <w:p w14:paraId="0D41EF98" w14:textId="4B1C36A9" w:rsidR="00911611" w:rsidRPr="00911611" w:rsidRDefault="00911611" w:rsidP="00902405">
      <w:pPr>
        <w:rPr>
          <w:bCs/>
        </w:rPr>
      </w:pPr>
      <w:r>
        <w:rPr>
          <w:bCs/>
        </w:rPr>
        <w:t>Occasionally the course</w:t>
      </w:r>
      <w:r w:rsidR="00F43F06">
        <w:rPr>
          <w:bCs/>
        </w:rPr>
        <w:t xml:space="preserve"> instructor</w:t>
      </w:r>
      <w:r>
        <w:rPr>
          <w:bCs/>
        </w:rPr>
        <w:t xml:space="preserve"> might </w:t>
      </w:r>
      <w:r w:rsidR="00F43F06">
        <w:rPr>
          <w:bCs/>
        </w:rPr>
        <w:t>invite</w:t>
      </w:r>
      <w:r>
        <w:rPr>
          <w:bCs/>
        </w:rPr>
        <w:t xml:space="preserve"> guest speakers.</w:t>
      </w:r>
    </w:p>
    <w:p w14:paraId="5DD21115" w14:textId="77777777" w:rsidR="00911611" w:rsidRDefault="00911611" w:rsidP="00902405">
      <w:pPr>
        <w:rPr>
          <w:b/>
          <w:bCs/>
          <w:u w:val="single"/>
        </w:rPr>
      </w:pPr>
    </w:p>
    <w:p w14:paraId="6BB4263A" w14:textId="77777777" w:rsidR="00902405" w:rsidRPr="006A1F39" w:rsidRDefault="00902405" w:rsidP="00902405">
      <w:pPr>
        <w:rPr>
          <w:b/>
          <w:bCs/>
          <w:u w:val="single"/>
        </w:rPr>
      </w:pPr>
      <w:r w:rsidRPr="006A1F39">
        <w:rPr>
          <w:b/>
          <w:bCs/>
          <w:u w:val="single"/>
        </w:rPr>
        <w:t>Student Support:</w:t>
      </w:r>
    </w:p>
    <w:p w14:paraId="792B6951" w14:textId="77777777" w:rsidR="00902405" w:rsidRPr="006A1F39" w:rsidRDefault="00902405" w:rsidP="00902405"/>
    <w:p w14:paraId="11743826" w14:textId="77777777" w:rsidR="00902405" w:rsidRPr="006A1F39" w:rsidRDefault="00902405" w:rsidP="00902405">
      <w:r w:rsidRPr="006A1F39">
        <w:t xml:space="preserve">The Centre for Student Academic Support (CSAS) is a centralized collection of learning support services designed to help students achieve their goals and improve their learning both inside and outside the classroom. CSAS offers academic assistance with course content, academic writing and skills development. Visit CSAS on the 4th floor of MacOdrum Library or online at: </w:t>
      </w:r>
      <w:hyperlink r:id="rId50" w:history="1">
        <w:r w:rsidRPr="006A1F39">
          <w:rPr>
            <w:rStyle w:val="Hyperlink"/>
          </w:rPr>
          <w:t>www.carleton.ca/csas</w:t>
        </w:r>
      </w:hyperlink>
      <w:r w:rsidRPr="006A1F39">
        <w:t>.</w:t>
      </w:r>
    </w:p>
    <w:p w14:paraId="329AB6B0" w14:textId="77777777" w:rsidR="00902405" w:rsidRPr="006A1F39" w:rsidRDefault="00902405" w:rsidP="00902405">
      <w:pPr>
        <w:pStyle w:val="NormalWeb"/>
        <w:rPr>
          <w:b/>
          <w:color w:val="000000"/>
        </w:rPr>
      </w:pPr>
      <w:r w:rsidRPr="006A1F39">
        <w:rPr>
          <w:b/>
          <w:color w:val="000000"/>
        </w:rPr>
        <w:t xml:space="preserve">Survivors of Sexual Violence: </w:t>
      </w:r>
      <w:r w:rsidRPr="006A1F39">
        <w:rPr>
          <w:color w:val="000000"/>
        </w:rPr>
        <w:t>As a community, Carleton University is committed to maintaining a positive learning, working and living environment where sexual violence will not be tolerated, and is survivors are supported through academic accommodations as per Carleton's Sexual Violence Policy. For more information about the services available at the university and to obtain information about sexual violence and/or support, visit: carleton.ca/sexual-violence-support</w:t>
      </w:r>
    </w:p>
    <w:p w14:paraId="745F5035" w14:textId="77777777" w:rsidR="00902405" w:rsidRPr="006A1F39" w:rsidRDefault="00902405" w:rsidP="00902405">
      <w:pPr>
        <w:pStyle w:val="NormalWeb"/>
        <w:rPr>
          <w:b/>
          <w:bCs/>
          <w:u w:val="single"/>
          <w:lang w:val="en-GB"/>
        </w:rPr>
      </w:pPr>
      <w:r w:rsidRPr="006A1F39">
        <w:rPr>
          <w:b/>
          <w:bCs/>
          <w:u w:val="single"/>
          <w:lang w:val="en-GB"/>
        </w:rPr>
        <w:t xml:space="preserve">Requests for Academic Accommodations:  </w:t>
      </w:r>
    </w:p>
    <w:p w14:paraId="0794EC08" w14:textId="77777777" w:rsidR="00902405" w:rsidRPr="006A1F39" w:rsidRDefault="00902405" w:rsidP="00902405">
      <w:pPr>
        <w:pStyle w:val="NormalWeb"/>
        <w:rPr>
          <w:color w:val="000000"/>
        </w:rPr>
      </w:pPr>
      <w:r w:rsidRPr="006A1F39">
        <w:rPr>
          <w:color w:val="000000"/>
        </w:rPr>
        <w:t>You may need special arrangements to meet your academic obligations during the term. For an accommodation request, the processes are as follows:</w:t>
      </w:r>
    </w:p>
    <w:p w14:paraId="772F9C3C" w14:textId="77777777" w:rsidR="00902405" w:rsidRPr="006A1F39" w:rsidRDefault="00902405" w:rsidP="00902405">
      <w:pPr>
        <w:pStyle w:val="NormalWeb"/>
        <w:rPr>
          <w:color w:val="000000"/>
        </w:rPr>
      </w:pPr>
      <w:r w:rsidRPr="006A1F39">
        <w:rPr>
          <w:b/>
          <w:lang w:val="en-GB"/>
        </w:rPr>
        <w:t>Religious Observance:</w:t>
      </w:r>
      <w:r w:rsidRPr="006A1F39">
        <w:rPr>
          <w:lang w:val="en-GB"/>
        </w:rPr>
        <w:t xml:space="preserve"> </w:t>
      </w:r>
      <w:r w:rsidRPr="006A1F39">
        <w:rPr>
          <w:color w:val="000000"/>
        </w:rPr>
        <w:t>Please contact your instructor with any requests for academic accommodation during the first two weeks of class, or as soon as possible after the need for accommodation is known to exist. For more details, visit the Equity Services website: carleton.ca/equity/wp-content/uploads/Student-Guide-to-Academic-Accommodation.pdf</w:t>
      </w:r>
    </w:p>
    <w:p w14:paraId="7889A5E0" w14:textId="77777777" w:rsidR="00902405" w:rsidRPr="006A1F39" w:rsidRDefault="00902405" w:rsidP="00902405">
      <w:pPr>
        <w:pStyle w:val="NormalWeb"/>
        <w:rPr>
          <w:color w:val="000000"/>
        </w:rPr>
      </w:pPr>
      <w:r w:rsidRPr="006A1F39">
        <w:rPr>
          <w:b/>
          <w:lang w:val="en-GB"/>
        </w:rPr>
        <w:t>Pregnancy:</w:t>
      </w:r>
      <w:r w:rsidRPr="006A1F39">
        <w:rPr>
          <w:lang w:val="en-GB"/>
        </w:rPr>
        <w:t xml:space="preserve"> </w:t>
      </w:r>
      <w:r w:rsidRPr="006A1F39">
        <w:rPr>
          <w:color w:val="000000"/>
        </w:rPr>
        <w:t>Please contact your instructor with any requests for academic accommodation during the first two weeks of class, or as soon as possible after the need for accommodation is known to exist. For more details, visit the Equity Services website: carleton.ca/equity/wp-content/uploads/Student-Guide-to-Academic-Accommodation.pdf</w:t>
      </w:r>
    </w:p>
    <w:p w14:paraId="53AD7AC9" w14:textId="77777777" w:rsidR="00902405" w:rsidRPr="006A1F39" w:rsidRDefault="00902405" w:rsidP="00902405">
      <w:pPr>
        <w:rPr>
          <w:lang w:eastAsia="en-CA"/>
        </w:rPr>
      </w:pPr>
      <w:r w:rsidRPr="006A1F39">
        <w:rPr>
          <w:b/>
          <w:color w:val="000000"/>
        </w:rPr>
        <w:t xml:space="preserve">Academic Accommodations for Students with Disabilities: </w:t>
      </w:r>
      <w:r w:rsidRPr="006A1F39">
        <w:rPr>
          <w:color w:val="000000"/>
        </w:rPr>
        <w:t xml:space="preserve">If you have a documented disability requiring academic accommodations in this course, please contact the Paul Menton Centre for Students with Disabilities (PMC) at 613-520-6608 or pmc@carleton.ca for a formal evaluation or contact your PMC coordinator to send your instructor your Letter of Accommodation at the beginning of the term. You must also contact the PMC no later than two weeks before the first in-class scheduled test or exam requiring accommodation (if applicable). After requesting accommodation from PMC, meet with your instructor as soon as possible to ensure accommodation arrangements are made. carleton.ca/pmc. </w:t>
      </w:r>
      <w:r w:rsidRPr="006A1F39">
        <w:t>Please consult the PMC website (</w:t>
      </w:r>
      <w:hyperlink r:id="rId51" w:history="1">
        <w:r w:rsidRPr="006A1F39">
          <w:rPr>
            <w:rStyle w:val="Hyperlink"/>
          </w:rPr>
          <w:t>www.carleton.ca/pmc</w:t>
        </w:r>
      </w:hyperlink>
      <w:r w:rsidRPr="006A1F39">
        <w:t>) for the deadline to request accommodations for the formally-scheduled exam (</w:t>
      </w:r>
      <w:r w:rsidRPr="006A1F39">
        <w:rPr>
          <w:i/>
          <w:iCs/>
        </w:rPr>
        <w:t>if applicable</w:t>
      </w:r>
      <w:r w:rsidRPr="006A1F39">
        <w:t xml:space="preserve">). </w:t>
      </w:r>
    </w:p>
    <w:p w14:paraId="414C46F6" w14:textId="77777777" w:rsidR="00902405" w:rsidRPr="006A1F39" w:rsidRDefault="00902405" w:rsidP="00902405">
      <w:pPr>
        <w:pStyle w:val="NormalWeb"/>
        <w:rPr>
          <w:color w:val="000000"/>
        </w:rPr>
      </w:pPr>
      <w:r w:rsidRPr="006A1F39">
        <w:rPr>
          <w:b/>
          <w:color w:val="000000"/>
        </w:rPr>
        <w:t xml:space="preserve">Accommodation for Student Activities: </w:t>
      </w:r>
      <w:r w:rsidRPr="006A1F39">
        <w:rPr>
          <w:color w:val="000000"/>
        </w:rPr>
        <w:t xml:space="preserve"> Carleton University recognizes the substantial benefits, both to the individual student and for the university, that result from a student participating in activities beyond the classroom experience. Reasonable accommodation must be provided to students who compete or perform at the national or international level. Please contact your instructor with any requests for academic accommodation during the first two weeks of class, or as soon as possible after the need for accommodation is known to exist. https://carleton.ca/senate/wp-content/uploads/Accommodation-for-Student-Activities-1.pdf</w:t>
      </w:r>
    </w:p>
    <w:p w14:paraId="264B3252" w14:textId="77777777" w:rsidR="00902405" w:rsidRPr="006A1F39" w:rsidRDefault="00902405" w:rsidP="00902405">
      <w:pPr>
        <w:pStyle w:val="NormalWeb"/>
        <w:rPr>
          <w:color w:val="000000"/>
        </w:rPr>
      </w:pPr>
      <w:r w:rsidRPr="006A1F39">
        <w:rPr>
          <w:color w:val="000000"/>
        </w:rPr>
        <w:t>For more information on academic accommodation, please contact the departmental administrator or visit: students.carleton.ca/course-outline</w:t>
      </w:r>
    </w:p>
    <w:p w14:paraId="2DD63D4C" w14:textId="77777777" w:rsidR="00902405" w:rsidRPr="006A1F39" w:rsidRDefault="00902405" w:rsidP="00902405">
      <w:pPr>
        <w:rPr>
          <w:b/>
          <w:u w:val="single"/>
        </w:rPr>
      </w:pPr>
      <w:r w:rsidRPr="006A1F39">
        <w:rPr>
          <w:b/>
          <w:bCs/>
          <w:u w:val="single"/>
        </w:rPr>
        <w:t>Plagiarism</w:t>
      </w:r>
      <w:r w:rsidRPr="006A1F39">
        <w:rPr>
          <w:b/>
          <w:u w:val="single"/>
        </w:rPr>
        <w:t xml:space="preserve">: </w:t>
      </w:r>
    </w:p>
    <w:p w14:paraId="0EFA475B" w14:textId="77777777" w:rsidR="00902405" w:rsidRPr="006A1F39" w:rsidRDefault="00902405" w:rsidP="00902405">
      <w:pPr>
        <w:rPr>
          <w:b/>
        </w:rPr>
      </w:pPr>
    </w:p>
    <w:p w14:paraId="3290311F" w14:textId="77777777" w:rsidR="00902405" w:rsidRPr="006A1F39" w:rsidRDefault="00902405" w:rsidP="00902405">
      <w:r w:rsidRPr="006A1F39">
        <w:t xml:space="preserve">The University Senate defines plagiarism as “presenting, whether intentional or not, the ideas, expression of ideas or work of others as one’s own”.  This can include:  </w:t>
      </w:r>
    </w:p>
    <w:p w14:paraId="60B93B8A" w14:textId="77777777" w:rsidR="00902405" w:rsidRPr="006A1F39" w:rsidRDefault="00902405" w:rsidP="00902405"/>
    <w:p w14:paraId="3D2E0FB3" w14:textId="77777777" w:rsidR="00902405" w:rsidRPr="006A1F39" w:rsidRDefault="00902405" w:rsidP="00902405">
      <w:pPr>
        <w:pStyle w:val="ListParagraph"/>
        <w:numPr>
          <w:ilvl w:val="0"/>
          <w:numId w:val="24"/>
        </w:numPr>
        <w:tabs>
          <w:tab w:val="left" w:pos="90"/>
        </w:tabs>
        <w:autoSpaceDE w:val="0"/>
        <w:autoSpaceDN w:val="0"/>
        <w:adjustRightInd w:val="0"/>
        <w:contextualSpacing/>
      </w:pPr>
      <w:r w:rsidRPr="006A1F39">
        <w:t>reproducing or paraphrasing portions of someone else’s published or unpublished material, regardless of the source, and presenting these as one’s own without proper citation or reference to the original source;</w:t>
      </w:r>
    </w:p>
    <w:p w14:paraId="2B1D1574" w14:textId="77777777" w:rsidR="00902405" w:rsidRPr="006A1F39" w:rsidRDefault="00902405" w:rsidP="00902405">
      <w:pPr>
        <w:pStyle w:val="ListParagraph"/>
        <w:numPr>
          <w:ilvl w:val="0"/>
          <w:numId w:val="24"/>
        </w:numPr>
        <w:tabs>
          <w:tab w:val="left" w:pos="90"/>
        </w:tabs>
        <w:autoSpaceDE w:val="0"/>
        <w:autoSpaceDN w:val="0"/>
        <w:adjustRightInd w:val="0"/>
        <w:contextualSpacing/>
      </w:pPr>
      <w:r w:rsidRPr="006A1F39">
        <w:t>submitting a take-home examination, essay, laboratory report or other assignment written, in whole or in part, by someone else;</w:t>
      </w:r>
    </w:p>
    <w:p w14:paraId="15CCCB4D" w14:textId="77777777" w:rsidR="00902405" w:rsidRPr="006A1F39" w:rsidRDefault="00902405" w:rsidP="00902405">
      <w:pPr>
        <w:pStyle w:val="ListParagraph"/>
        <w:numPr>
          <w:ilvl w:val="0"/>
          <w:numId w:val="24"/>
        </w:numPr>
        <w:tabs>
          <w:tab w:val="left" w:pos="90"/>
        </w:tabs>
        <w:autoSpaceDE w:val="0"/>
        <w:autoSpaceDN w:val="0"/>
        <w:adjustRightInd w:val="0"/>
        <w:contextualSpacing/>
      </w:pPr>
      <w:r w:rsidRPr="006A1F39">
        <w:t>using ideas or direct, verbatim quotations, or paraphrased material, concepts, or ideas without appropriate acknowledgment in any academic assignment;</w:t>
      </w:r>
    </w:p>
    <w:p w14:paraId="6C9FF960" w14:textId="77777777" w:rsidR="00902405" w:rsidRPr="006A1F39" w:rsidRDefault="00902405" w:rsidP="00902405">
      <w:pPr>
        <w:pStyle w:val="ListParagraph"/>
        <w:numPr>
          <w:ilvl w:val="0"/>
          <w:numId w:val="24"/>
        </w:numPr>
        <w:tabs>
          <w:tab w:val="left" w:pos="90"/>
        </w:tabs>
        <w:autoSpaceDE w:val="0"/>
        <w:autoSpaceDN w:val="0"/>
        <w:adjustRightInd w:val="0"/>
        <w:contextualSpacing/>
      </w:pPr>
      <w:r w:rsidRPr="006A1F39">
        <w:t>using another’s data or research findings;</w:t>
      </w:r>
    </w:p>
    <w:p w14:paraId="502EBEC0" w14:textId="77777777" w:rsidR="00902405" w:rsidRPr="006A1F39" w:rsidRDefault="00902405" w:rsidP="00902405">
      <w:pPr>
        <w:pStyle w:val="ListParagraph"/>
        <w:numPr>
          <w:ilvl w:val="0"/>
          <w:numId w:val="24"/>
        </w:numPr>
        <w:tabs>
          <w:tab w:val="left" w:pos="90"/>
        </w:tabs>
        <w:autoSpaceDE w:val="0"/>
        <w:autoSpaceDN w:val="0"/>
        <w:adjustRightInd w:val="0"/>
        <w:contextualSpacing/>
      </w:pPr>
      <w:r w:rsidRPr="006A1F39">
        <w:t>failing to acknowledge sources through the use of proper citations when using another’s works and/or failing to use quotation marks;</w:t>
      </w:r>
    </w:p>
    <w:p w14:paraId="2C58B4BA" w14:textId="77777777" w:rsidR="00902405" w:rsidRPr="006A1F39" w:rsidRDefault="00902405" w:rsidP="00902405">
      <w:pPr>
        <w:pStyle w:val="ListParagraph"/>
        <w:numPr>
          <w:ilvl w:val="0"/>
          <w:numId w:val="24"/>
        </w:numPr>
        <w:tabs>
          <w:tab w:val="left" w:pos="90"/>
        </w:tabs>
        <w:autoSpaceDE w:val="0"/>
        <w:autoSpaceDN w:val="0"/>
        <w:adjustRightInd w:val="0"/>
        <w:contextualSpacing/>
      </w:pPr>
      <w:r w:rsidRPr="006A1F39">
        <w:t>handing in substantially the same piece of work for academic credit more than once without prior written permission of the course instructor in which the submission occurs.</w:t>
      </w:r>
    </w:p>
    <w:p w14:paraId="621A0967" w14:textId="77777777" w:rsidR="00902405" w:rsidRPr="006A1F39" w:rsidRDefault="00902405" w:rsidP="00902405">
      <w:pPr>
        <w:ind w:left="144"/>
      </w:pPr>
    </w:p>
    <w:p w14:paraId="1BE79959" w14:textId="77777777" w:rsidR="00902405" w:rsidRPr="006A1F39" w:rsidRDefault="00902405" w:rsidP="00902405">
      <w:r w:rsidRPr="006A1F39">
        <w:t>All suspicions of plagiarism will be dealt with according the Carleton’s Academic Integrity Policy (</w:t>
      </w:r>
      <w:hyperlink r:id="rId52" w:history="1">
        <w:r w:rsidRPr="006A1F39">
          <w:rPr>
            <w:rStyle w:val="Hyperlink"/>
          </w:rPr>
          <w:t>http://carleton.ca/studentaffairs/academic-integrity/</w:t>
        </w:r>
      </w:hyperlink>
      <w:r w:rsidRPr="006A1F39">
        <w:t xml:space="preserve">). The Associate Dean of the Faculty will conduct a rigorous investigation, including an interview with the student.  Penalties are not trivial. They may include a mark of zero for the plagiarized work or a final grade of F for the course. </w:t>
      </w:r>
    </w:p>
    <w:p w14:paraId="1EF2B883" w14:textId="77777777" w:rsidR="00902405" w:rsidRPr="006A1F39" w:rsidRDefault="00902405" w:rsidP="00902405">
      <w:pPr>
        <w:rPr>
          <w:b/>
          <w:bCs/>
        </w:rPr>
      </w:pPr>
    </w:p>
    <w:p w14:paraId="609D3083" w14:textId="77777777" w:rsidR="00902405" w:rsidRPr="006A1F39" w:rsidRDefault="00902405" w:rsidP="00902405">
      <w:pPr>
        <w:jc w:val="both"/>
        <w:rPr>
          <w:b/>
          <w:bCs/>
        </w:rPr>
      </w:pPr>
      <w:r w:rsidRPr="006A1F39">
        <w:t>Student or professor materials created for this course (including presentations and posted notes, labs, case studies, assignments and exams) remain the intellectual property of the author(s). They are intended for personal use and may not be reproduced or redistributed without prior written consent of the author(s).</w:t>
      </w:r>
    </w:p>
    <w:p w14:paraId="095AF0E7" w14:textId="77777777" w:rsidR="00902405" w:rsidRPr="006A1F39" w:rsidRDefault="00902405" w:rsidP="00902405">
      <w:pPr>
        <w:rPr>
          <w:b/>
          <w:bCs/>
        </w:rPr>
      </w:pPr>
    </w:p>
    <w:p w14:paraId="00D88332" w14:textId="77777777" w:rsidR="00902405" w:rsidRPr="006A1F39" w:rsidRDefault="00902405" w:rsidP="00902405">
      <w:pPr>
        <w:rPr>
          <w:u w:val="single"/>
        </w:rPr>
      </w:pPr>
      <w:r w:rsidRPr="006A1F39">
        <w:rPr>
          <w:b/>
          <w:bCs/>
          <w:u w:val="single"/>
        </w:rPr>
        <w:t>Submission, Return and Grading of Term Work:</w:t>
      </w:r>
      <w:r w:rsidRPr="006A1F39">
        <w:rPr>
          <w:u w:val="single"/>
        </w:rPr>
        <w:t xml:space="preserve"> </w:t>
      </w:r>
    </w:p>
    <w:p w14:paraId="0D2DCE43" w14:textId="77777777" w:rsidR="00902405" w:rsidRPr="006A1F39" w:rsidRDefault="00902405" w:rsidP="00902405"/>
    <w:p w14:paraId="314EA38E" w14:textId="77777777" w:rsidR="00902405" w:rsidRPr="006A1F39" w:rsidRDefault="00902405" w:rsidP="00902405">
      <w:r w:rsidRPr="006A1F39">
        <w:t xml:space="preserve">Written assignments must be submitted directly to the instructor(s) according to the instructions in the course outline. If permitted in the course outline, late assignments may be submitted to the drop box in the corridor outside room 3305 Richcraft Hall. Assignments will be retrieved every business day at </w:t>
      </w:r>
      <w:r w:rsidRPr="006A1F39">
        <w:rPr>
          <w:b/>
        </w:rPr>
        <w:t>4 p.m.</w:t>
      </w:r>
      <w:r w:rsidRPr="006A1F39">
        <w:t xml:space="preserve">, stamped with that day's date, and then distributed to the instructors.  For written assignments not returned in class please attach a </w:t>
      </w:r>
      <w:r w:rsidRPr="006A1F39">
        <w:rPr>
          <w:bCs/>
        </w:rPr>
        <w:t>stamped, self-addressed envelope</w:t>
      </w:r>
      <w:r w:rsidRPr="006A1F39">
        <w:t xml:space="preserve"> if you wish to have your assignment returned by mail.  Final exams are intended solely for the purpose of evaluation and </w:t>
      </w:r>
      <w:r w:rsidRPr="006A1F39">
        <w:rPr>
          <w:u w:val="single"/>
        </w:rPr>
        <w:t>will not</w:t>
      </w:r>
      <w:r w:rsidRPr="006A1F39">
        <w:t xml:space="preserve"> be returned.</w:t>
      </w:r>
    </w:p>
    <w:p w14:paraId="30E53AF1" w14:textId="77777777" w:rsidR="00902405" w:rsidRPr="006A1F39" w:rsidRDefault="00902405" w:rsidP="00902405"/>
    <w:p w14:paraId="65130228" w14:textId="77777777" w:rsidR="00902405" w:rsidRPr="006A1F39" w:rsidRDefault="00902405" w:rsidP="00902405">
      <w:r w:rsidRPr="006A1F39">
        <w:t>Final standing in courses will be shown by alphabetical grades. The system of grades used, with corresponding grade points is:</w:t>
      </w:r>
    </w:p>
    <w:p w14:paraId="2546AF7B" w14:textId="77777777" w:rsidR="00902405" w:rsidRPr="006A1F39" w:rsidRDefault="00902405" w:rsidP="00902405">
      <w:pPr>
        <w:jc w:val="both"/>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550"/>
        <w:gridCol w:w="1550"/>
        <w:gridCol w:w="1550"/>
        <w:gridCol w:w="1550"/>
        <w:gridCol w:w="1550"/>
        <w:gridCol w:w="1551"/>
      </w:tblGrid>
      <w:tr w:rsidR="00902405" w:rsidRPr="006A1F39" w14:paraId="02250CC0" w14:textId="77777777" w:rsidTr="006A1F39">
        <w:tc>
          <w:tcPr>
            <w:tcW w:w="1550" w:type="dxa"/>
            <w:tcBorders>
              <w:top w:val="single" w:sz="4" w:space="0" w:color="auto"/>
              <w:left w:val="single" w:sz="4" w:space="0" w:color="auto"/>
              <w:bottom w:val="double" w:sz="4" w:space="0" w:color="auto"/>
              <w:right w:val="single" w:sz="4" w:space="0" w:color="auto"/>
            </w:tcBorders>
            <w:hideMark/>
          </w:tcPr>
          <w:p w14:paraId="23C6D5E8" w14:textId="77777777" w:rsidR="00902405" w:rsidRPr="006A1F39" w:rsidRDefault="00902405" w:rsidP="006A1F39">
            <w:pPr>
              <w:jc w:val="both"/>
            </w:pPr>
            <w:r w:rsidRPr="006A1F39">
              <w:t>Percentage</w:t>
            </w:r>
          </w:p>
        </w:tc>
        <w:tc>
          <w:tcPr>
            <w:tcW w:w="1550" w:type="dxa"/>
            <w:tcBorders>
              <w:top w:val="single" w:sz="4" w:space="0" w:color="auto"/>
              <w:left w:val="single" w:sz="4" w:space="0" w:color="auto"/>
              <w:bottom w:val="double" w:sz="4" w:space="0" w:color="auto"/>
              <w:right w:val="single" w:sz="4" w:space="0" w:color="auto"/>
            </w:tcBorders>
            <w:hideMark/>
          </w:tcPr>
          <w:p w14:paraId="1E08DF0E" w14:textId="77777777" w:rsidR="00902405" w:rsidRPr="006A1F39" w:rsidRDefault="00902405" w:rsidP="006A1F39">
            <w:pPr>
              <w:jc w:val="both"/>
            </w:pPr>
            <w:r w:rsidRPr="006A1F39">
              <w:t>Letter grade</w:t>
            </w:r>
          </w:p>
        </w:tc>
        <w:tc>
          <w:tcPr>
            <w:tcW w:w="1550" w:type="dxa"/>
            <w:tcBorders>
              <w:top w:val="single" w:sz="4" w:space="0" w:color="auto"/>
              <w:left w:val="single" w:sz="4" w:space="0" w:color="auto"/>
              <w:bottom w:val="double" w:sz="4" w:space="0" w:color="auto"/>
              <w:right w:val="double" w:sz="4" w:space="0" w:color="auto"/>
            </w:tcBorders>
            <w:hideMark/>
          </w:tcPr>
          <w:p w14:paraId="5561D149" w14:textId="77777777" w:rsidR="00902405" w:rsidRPr="006A1F39" w:rsidRDefault="00902405" w:rsidP="006A1F39">
            <w:pPr>
              <w:jc w:val="both"/>
            </w:pPr>
            <w:r w:rsidRPr="006A1F39">
              <w:t>12-point scale</w:t>
            </w:r>
          </w:p>
        </w:tc>
        <w:tc>
          <w:tcPr>
            <w:tcW w:w="1550" w:type="dxa"/>
            <w:tcBorders>
              <w:top w:val="single" w:sz="4" w:space="0" w:color="auto"/>
              <w:left w:val="double" w:sz="4" w:space="0" w:color="auto"/>
              <w:bottom w:val="double" w:sz="4" w:space="0" w:color="auto"/>
              <w:right w:val="single" w:sz="4" w:space="0" w:color="auto"/>
            </w:tcBorders>
            <w:hideMark/>
          </w:tcPr>
          <w:p w14:paraId="24A6B603" w14:textId="77777777" w:rsidR="00902405" w:rsidRPr="006A1F39" w:rsidRDefault="00902405" w:rsidP="006A1F39">
            <w:pPr>
              <w:jc w:val="both"/>
            </w:pPr>
            <w:r w:rsidRPr="006A1F39">
              <w:t>Percentage</w:t>
            </w:r>
          </w:p>
        </w:tc>
        <w:tc>
          <w:tcPr>
            <w:tcW w:w="1550" w:type="dxa"/>
            <w:tcBorders>
              <w:top w:val="single" w:sz="4" w:space="0" w:color="auto"/>
              <w:left w:val="single" w:sz="4" w:space="0" w:color="auto"/>
              <w:bottom w:val="double" w:sz="4" w:space="0" w:color="auto"/>
              <w:right w:val="single" w:sz="4" w:space="0" w:color="auto"/>
            </w:tcBorders>
            <w:hideMark/>
          </w:tcPr>
          <w:p w14:paraId="2AA1586C" w14:textId="77777777" w:rsidR="00902405" w:rsidRPr="006A1F39" w:rsidRDefault="00902405" w:rsidP="006A1F39">
            <w:pPr>
              <w:jc w:val="both"/>
            </w:pPr>
            <w:r w:rsidRPr="006A1F39">
              <w:t>Letter grade</w:t>
            </w:r>
          </w:p>
        </w:tc>
        <w:tc>
          <w:tcPr>
            <w:tcW w:w="1551" w:type="dxa"/>
            <w:tcBorders>
              <w:top w:val="single" w:sz="4" w:space="0" w:color="auto"/>
              <w:left w:val="single" w:sz="4" w:space="0" w:color="auto"/>
              <w:bottom w:val="double" w:sz="4" w:space="0" w:color="auto"/>
              <w:right w:val="single" w:sz="4" w:space="0" w:color="auto"/>
            </w:tcBorders>
            <w:hideMark/>
          </w:tcPr>
          <w:p w14:paraId="0AC9FE14" w14:textId="77777777" w:rsidR="00902405" w:rsidRPr="006A1F39" w:rsidRDefault="00902405" w:rsidP="006A1F39">
            <w:pPr>
              <w:jc w:val="both"/>
            </w:pPr>
            <w:r w:rsidRPr="006A1F39">
              <w:t>12-point scale</w:t>
            </w:r>
          </w:p>
        </w:tc>
      </w:tr>
      <w:tr w:rsidR="00902405" w:rsidRPr="006A1F39" w14:paraId="78F6D7BD" w14:textId="77777777" w:rsidTr="006A1F39">
        <w:tc>
          <w:tcPr>
            <w:tcW w:w="1550" w:type="dxa"/>
            <w:tcBorders>
              <w:top w:val="double" w:sz="4" w:space="0" w:color="auto"/>
              <w:left w:val="single" w:sz="4" w:space="0" w:color="auto"/>
              <w:bottom w:val="single" w:sz="4" w:space="0" w:color="auto"/>
              <w:right w:val="single" w:sz="4" w:space="0" w:color="auto"/>
            </w:tcBorders>
            <w:hideMark/>
          </w:tcPr>
          <w:p w14:paraId="6266E02A" w14:textId="77777777" w:rsidR="00902405" w:rsidRPr="006A1F39" w:rsidRDefault="00902405" w:rsidP="006A1F39">
            <w:pPr>
              <w:jc w:val="both"/>
            </w:pPr>
            <w:r w:rsidRPr="006A1F39">
              <w:t>90-100</w:t>
            </w:r>
          </w:p>
        </w:tc>
        <w:tc>
          <w:tcPr>
            <w:tcW w:w="1550" w:type="dxa"/>
            <w:tcBorders>
              <w:top w:val="double" w:sz="4" w:space="0" w:color="auto"/>
              <w:left w:val="single" w:sz="4" w:space="0" w:color="auto"/>
              <w:bottom w:val="single" w:sz="4" w:space="0" w:color="auto"/>
              <w:right w:val="single" w:sz="4" w:space="0" w:color="auto"/>
            </w:tcBorders>
            <w:hideMark/>
          </w:tcPr>
          <w:p w14:paraId="1FB290DD" w14:textId="77777777" w:rsidR="00902405" w:rsidRPr="006A1F39" w:rsidRDefault="00902405" w:rsidP="006A1F39">
            <w:pPr>
              <w:jc w:val="both"/>
            </w:pPr>
            <w:r w:rsidRPr="006A1F39">
              <w:t>A+</w:t>
            </w:r>
          </w:p>
        </w:tc>
        <w:tc>
          <w:tcPr>
            <w:tcW w:w="1550" w:type="dxa"/>
            <w:tcBorders>
              <w:top w:val="double" w:sz="4" w:space="0" w:color="auto"/>
              <w:left w:val="single" w:sz="4" w:space="0" w:color="auto"/>
              <w:bottom w:val="single" w:sz="4" w:space="0" w:color="auto"/>
              <w:right w:val="double" w:sz="4" w:space="0" w:color="auto"/>
            </w:tcBorders>
            <w:hideMark/>
          </w:tcPr>
          <w:p w14:paraId="206C4474" w14:textId="77777777" w:rsidR="00902405" w:rsidRPr="006A1F39" w:rsidRDefault="00902405" w:rsidP="006A1F39">
            <w:pPr>
              <w:jc w:val="both"/>
            </w:pPr>
            <w:r w:rsidRPr="006A1F39">
              <w:t>12</w:t>
            </w:r>
          </w:p>
        </w:tc>
        <w:tc>
          <w:tcPr>
            <w:tcW w:w="1550" w:type="dxa"/>
            <w:tcBorders>
              <w:top w:val="double" w:sz="4" w:space="0" w:color="auto"/>
              <w:left w:val="double" w:sz="4" w:space="0" w:color="auto"/>
              <w:bottom w:val="single" w:sz="4" w:space="0" w:color="auto"/>
              <w:right w:val="single" w:sz="4" w:space="0" w:color="auto"/>
            </w:tcBorders>
            <w:hideMark/>
          </w:tcPr>
          <w:p w14:paraId="748AEBA2" w14:textId="77777777" w:rsidR="00902405" w:rsidRPr="006A1F39" w:rsidRDefault="00902405" w:rsidP="006A1F39">
            <w:pPr>
              <w:jc w:val="both"/>
            </w:pPr>
            <w:r w:rsidRPr="006A1F39">
              <w:t>67-69</w:t>
            </w:r>
          </w:p>
        </w:tc>
        <w:tc>
          <w:tcPr>
            <w:tcW w:w="1550" w:type="dxa"/>
            <w:tcBorders>
              <w:top w:val="double" w:sz="4" w:space="0" w:color="auto"/>
              <w:left w:val="single" w:sz="4" w:space="0" w:color="auto"/>
              <w:bottom w:val="single" w:sz="4" w:space="0" w:color="auto"/>
              <w:right w:val="single" w:sz="4" w:space="0" w:color="auto"/>
            </w:tcBorders>
            <w:hideMark/>
          </w:tcPr>
          <w:p w14:paraId="107E895C" w14:textId="77777777" w:rsidR="00902405" w:rsidRPr="006A1F39" w:rsidRDefault="00902405" w:rsidP="006A1F39">
            <w:pPr>
              <w:jc w:val="both"/>
            </w:pPr>
            <w:r w:rsidRPr="006A1F39">
              <w:t>C+</w:t>
            </w:r>
          </w:p>
        </w:tc>
        <w:tc>
          <w:tcPr>
            <w:tcW w:w="1551" w:type="dxa"/>
            <w:tcBorders>
              <w:top w:val="double" w:sz="4" w:space="0" w:color="auto"/>
              <w:left w:val="single" w:sz="4" w:space="0" w:color="auto"/>
              <w:bottom w:val="single" w:sz="4" w:space="0" w:color="auto"/>
              <w:right w:val="single" w:sz="4" w:space="0" w:color="auto"/>
            </w:tcBorders>
            <w:hideMark/>
          </w:tcPr>
          <w:p w14:paraId="61684A4A" w14:textId="77777777" w:rsidR="00902405" w:rsidRPr="006A1F39" w:rsidRDefault="00902405" w:rsidP="006A1F39">
            <w:pPr>
              <w:jc w:val="both"/>
            </w:pPr>
            <w:r w:rsidRPr="006A1F39">
              <w:t>6</w:t>
            </w:r>
          </w:p>
        </w:tc>
      </w:tr>
      <w:tr w:rsidR="00902405" w:rsidRPr="006A1F39" w14:paraId="5C371256" w14:textId="77777777" w:rsidTr="006A1F39">
        <w:tc>
          <w:tcPr>
            <w:tcW w:w="1550" w:type="dxa"/>
            <w:tcBorders>
              <w:top w:val="single" w:sz="4" w:space="0" w:color="auto"/>
              <w:left w:val="single" w:sz="4" w:space="0" w:color="auto"/>
              <w:bottom w:val="single" w:sz="4" w:space="0" w:color="auto"/>
              <w:right w:val="single" w:sz="4" w:space="0" w:color="auto"/>
            </w:tcBorders>
            <w:hideMark/>
          </w:tcPr>
          <w:p w14:paraId="30BF6C37" w14:textId="77777777" w:rsidR="00902405" w:rsidRPr="006A1F39" w:rsidRDefault="00902405" w:rsidP="006A1F39">
            <w:pPr>
              <w:jc w:val="both"/>
            </w:pPr>
            <w:r w:rsidRPr="006A1F39">
              <w:t>85-89</w:t>
            </w:r>
          </w:p>
        </w:tc>
        <w:tc>
          <w:tcPr>
            <w:tcW w:w="1550" w:type="dxa"/>
            <w:tcBorders>
              <w:top w:val="single" w:sz="4" w:space="0" w:color="auto"/>
              <w:left w:val="single" w:sz="4" w:space="0" w:color="auto"/>
              <w:bottom w:val="single" w:sz="4" w:space="0" w:color="auto"/>
              <w:right w:val="single" w:sz="4" w:space="0" w:color="auto"/>
            </w:tcBorders>
            <w:hideMark/>
          </w:tcPr>
          <w:p w14:paraId="3AA74BE1" w14:textId="77777777" w:rsidR="00902405" w:rsidRPr="006A1F39" w:rsidRDefault="00902405" w:rsidP="006A1F39">
            <w:pPr>
              <w:jc w:val="both"/>
            </w:pPr>
            <w:r w:rsidRPr="006A1F39">
              <w:t>A</w:t>
            </w:r>
          </w:p>
        </w:tc>
        <w:tc>
          <w:tcPr>
            <w:tcW w:w="1550" w:type="dxa"/>
            <w:tcBorders>
              <w:top w:val="single" w:sz="4" w:space="0" w:color="auto"/>
              <w:left w:val="single" w:sz="4" w:space="0" w:color="auto"/>
              <w:bottom w:val="single" w:sz="4" w:space="0" w:color="auto"/>
              <w:right w:val="double" w:sz="4" w:space="0" w:color="auto"/>
            </w:tcBorders>
            <w:hideMark/>
          </w:tcPr>
          <w:p w14:paraId="3F16BEAB" w14:textId="77777777" w:rsidR="00902405" w:rsidRPr="006A1F39" w:rsidRDefault="00902405" w:rsidP="006A1F39">
            <w:pPr>
              <w:jc w:val="both"/>
            </w:pPr>
            <w:r w:rsidRPr="006A1F39">
              <w:t>11</w:t>
            </w:r>
          </w:p>
        </w:tc>
        <w:tc>
          <w:tcPr>
            <w:tcW w:w="1550" w:type="dxa"/>
            <w:tcBorders>
              <w:top w:val="single" w:sz="4" w:space="0" w:color="auto"/>
              <w:left w:val="double" w:sz="4" w:space="0" w:color="auto"/>
              <w:bottom w:val="single" w:sz="4" w:space="0" w:color="auto"/>
              <w:right w:val="single" w:sz="4" w:space="0" w:color="auto"/>
            </w:tcBorders>
            <w:hideMark/>
          </w:tcPr>
          <w:p w14:paraId="669D8E58" w14:textId="77777777" w:rsidR="00902405" w:rsidRPr="006A1F39" w:rsidRDefault="00902405" w:rsidP="006A1F39">
            <w:pPr>
              <w:jc w:val="both"/>
            </w:pPr>
            <w:r w:rsidRPr="006A1F39">
              <w:t>63-66</w:t>
            </w:r>
          </w:p>
        </w:tc>
        <w:tc>
          <w:tcPr>
            <w:tcW w:w="1550" w:type="dxa"/>
            <w:tcBorders>
              <w:top w:val="single" w:sz="4" w:space="0" w:color="auto"/>
              <w:left w:val="single" w:sz="4" w:space="0" w:color="auto"/>
              <w:bottom w:val="single" w:sz="4" w:space="0" w:color="auto"/>
              <w:right w:val="single" w:sz="4" w:space="0" w:color="auto"/>
            </w:tcBorders>
            <w:hideMark/>
          </w:tcPr>
          <w:p w14:paraId="456AB935" w14:textId="77777777" w:rsidR="00902405" w:rsidRPr="006A1F39" w:rsidRDefault="00902405" w:rsidP="006A1F39">
            <w:pPr>
              <w:jc w:val="both"/>
            </w:pPr>
            <w:r w:rsidRPr="006A1F39">
              <w:t>C</w:t>
            </w:r>
          </w:p>
        </w:tc>
        <w:tc>
          <w:tcPr>
            <w:tcW w:w="1551" w:type="dxa"/>
            <w:tcBorders>
              <w:top w:val="single" w:sz="4" w:space="0" w:color="auto"/>
              <w:left w:val="single" w:sz="4" w:space="0" w:color="auto"/>
              <w:bottom w:val="single" w:sz="4" w:space="0" w:color="auto"/>
              <w:right w:val="single" w:sz="4" w:space="0" w:color="auto"/>
            </w:tcBorders>
            <w:hideMark/>
          </w:tcPr>
          <w:p w14:paraId="2A500E08" w14:textId="77777777" w:rsidR="00902405" w:rsidRPr="006A1F39" w:rsidRDefault="00902405" w:rsidP="006A1F39">
            <w:pPr>
              <w:jc w:val="both"/>
            </w:pPr>
            <w:r w:rsidRPr="006A1F39">
              <w:t>5</w:t>
            </w:r>
          </w:p>
        </w:tc>
      </w:tr>
      <w:tr w:rsidR="00902405" w:rsidRPr="006A1F39" w14:paraId="2E4609EA" w14:textId="77777777" w:rsidTr="006A1F39">
        <w:tc>
          <w:tcPr>
            <w:tcW w:w="1550" w:type="dxa"/>
            <w:tcBorders>
              <w:top w:val="single" w:sz="4" w:space="0" w:color="auto"/>
              <w:left w:val="single" w:sz="4" w:space="0" w:color="auto"/>
              <w:bottom w:val="single" w:sz="4" w:space="0" w:color="auto"/>
              <w:right w:val="single" w:sz="4" w:space="0" w:color="auto"/>
            </w:tcBorders>
            <w:hideMark/>
          </w:tcPr>
          <w:p w14:paraId="47C74761" w14:textId="77777777" w:rsidR="00902405" w:rsidRPr="006A1F39" w:rsidRDefault="00902405" w:rsidP="006A1F39">
            <w:pPr>
              <w:jc w:val="both"/>
            </w:pPr>
            <w:r w:rsidRPr="006A1F39">
              <w:t>80-84</w:t>
            </w:r>
          </w:p>
        </w:tc>
        <w:tc>
          <w:tcPr>
            <w:tcW w:w="1550" w:type="dxa"/>
            <w:tcBorders>
              <w:top w:val="single" w:sz="4" w:space="0" w:color="auto"/>
              <w:left w:val="single" w:sz="4" w:space="0" w:color="auto"/>
              <w:bottom w:val="single" w:sz="4" w:space="0" w:color="auto"/>
              <w:right w:val="single" w:sz="4" w:space="0" w:color="auto"/>
            </w:tcBorders>
            <w:hideMark/>
          </w:tcPr>
          <w:p w14:paraId="430A41C9" w14:textId="77777777" w:rsidR="00902405" w:rsidRPr="006A1F39" w:rsidRDefault="00902405" w:rsidP="006A1F39">
            <w:pPr>
              <w:jc w:val="both"/>
            </w:pPr>
            <w:r w:rsidRPr="006A1F39">
              <w:t>A-</w:t>
            </w:r>
          </w:p>
        </w:tc>
        <w:tc>
          <w:tcPr>
            <w:tcW w:w="1550" w:type="dxa"/>
            <w:tcBorders>
              <w:top w:val="single" w:sz="4" w:space="0" w:color="auto"/>
              <w:left w:val="single" w:sz="4" w:space="0" w:color="auto"/>
              <w:bottom w:val="single" w:sz="4" w:space="0" w:color="auto"/>
              <w:right w:val="double" w:sz="4" w:space="0" w:color="auto"/>
            </w:tcBorders>
            <w:hideMark/>
          </w:tcPr>
          <w:p w14:paraId="7B8A84EC" w14:textId="77777777" w:rsidR="00902405" w:rsidRPr="006A1F39" w:rsidRDefault="00902405" w:rsidP="006A1F39">
            <w:pPr>
              <w:jc w:val="both"/>
            </w:pPr>
            <w:r w:rsidRPr="006A1F39">
              <w:t>10</w:t>
            </w:r>
          </w:p>
        </w:tc>
        <w:tc>
          <w:tcPr>
            <w:tcW w:w="1550" w:type="dxa"/>
            <w:tcBorders>
              <w:top w:val="single" w:sz="4" w:space="0" w:color="auto"/>
              <w:left w:val="double" w:sz="4" w:space="0" w:color="auto"/>
              <w:bottom w:val="single" w:sz="4" w:space="0" w:color="auto"/>
              <w:right w:val="single" w:sz="4" w:space="0" w:color="auto"/>
            </w:tcBorders>
            <w:hideMark/>
          </w:tcPr>
          <w:p w14:paraId="0C1A47D3" w14:textId="77777777" w:rsidR="00902405" w:rsidRPr="006A1F39" w:rsidRDefault="00902405" w:rsidP="006A1F39">
            <w:pPr>
              <w:jc w:val="both"/>
            </w:pPr>
            <w:r w:rsidRPr="006A1F39">
              <w:t>60-62</w:t>
            </w:r>
          </w:p>
        </w:tc>
        <w:tc>
          <w:tcPr>
            <w:tcW w:w="1550" w:type="dxa"/>
            <w:tcBorders>
              <w:top w:val="single" w:sz="4" w:space="0" w:color="auto"/>
              <w:left w:val="single" w:sz="4" w:space="0" w:color="auto"/>
              <w:bottom w:val="single" w:sz="4" w:space="0" w:color="auto"/>
              <w:right w:val="single" w:sz="4" w:space="0" w:color="auto"/>
            </w:tcBorders>
            <w:hideMark/>
          </w:tcPr>
          <w:p w14:paraId="67422751" w14:textId="77777777" w:rsidR="00902405" w:rsidRPr="006A1F39" w:rsidRDefault="00902405" w:rsidP="006A1F39">
            <w:pPr>
              <w:jc w:val="both"/>
            </w:pPr>
            <w:r w:rsidRPr="006A1F39">
              <w:t>C-</w:t>
            </w:r>
          </w:p>
        </w:tc>
        <w:tc>
          <w:tcPr>
            <w:tcW w:w="1551" w:type="dxa"/>
            <w:tcBorders>
              <w:top w:val="single" w:sz="4" w:space="0" w:color="auto"/>
              <w:left w:val="single" w:sz="4" w:space="0" w:color="auto"/>
              <w:bottom w:val="single" w:sz="4" w:space="0" w:color="auto"/>
              <w:right w:val="single" w:sz="4" w:space="0" w:color="auto"/>
            </w:tcBorders>
            <w:hideMark/>
          </w:tcPr>
          <w:p w14:paraId="6FEB3B12" w14:textId="77777777" w:rsidR="00902405" w:rsidRPr="006A1F39" w:rsidRDefault="00902405" w:rsidP="006A1F39">
            <w:pPr>
              <w:jc w:val="both"/>
            </w:pPr>
            <w:r w:rsidRPr="006A1F39">
              <w:t>4</w:t>
            </w:r>
          </w:p>
        </w:tc>
      </w:tr>
      <w:tr w:rsidR="00902405" w:rsidRPr="006A1F39" w14:paraId="54B68699" w14:textId="77777777" w:rsidTr="006A1F39">
        <w:tc>
          <w:tcPr>
            <w:tcW w:w="1550" w:type="dxa"/>
            <w:tcBorders>
              <w:top w:val="single" w:sz="4" w:space="0" w:color="auto"/>
              <w:left w:val="single" w:sz="4" w:space="0" w:color="auto"/>
              <w:bottom w:val="single" w:sz="4" w:space="0" w:color="auto"/>
              <w:right w:val="single" w:sz="4" w:space="0" w:color="auto"/>
            </w:tcBorders>
            <w:hideMark/>
          </w:tcPr>
          <w:p w14:paraId="4FF730E5" w14:textId="77777777" w:rsidR="00902405" w:rsidRPr="006A1F39" w:rsidRDefault="00902405" w:rsidP="006A1F39">
            <w:pPr>
              <w:jc w:val="both"/>
            </w:pPr>
            <w:r w:rsidRPr="006A1F39">
              <w:t>77-79</w:t>
            </w:r>
          </w:p>
        </w:tc>
        <w:tc>
          <w:tcPr>
            <w:tcW w:w="1550" w:type="dxa"/>
            <w:tcBorders>
              <w:top w:val="single" w:sz="4" w:space="0" w:color="auto"/>
              <w:left w:val="single" w:sz="4" w:space="0" w:color="auto"/>
              <w:bottom w:val="single" w:sz="4" w:space="0" w:color="auto"/>
              <w:right w:val="single" w:sz="4" w:space="0" w:color="auto"/>
            </w:tcBorders>
            <w:hideMark/>
          </w:tcPr>
          <w:p w14:paraId="591BA7B1" w14:textId="77777777" w:rsidR="00902405" w:rsidRPr="006A1F39" w:rsidRDefault="00902405" w:rsidP="006A1F39">
            <w:pPr>
              <w:jc w:val="both"/>
            </w:pPr>
            <w:r w:rsidRPr="006A1F39">
              <w:t>B+</w:t>
            </w:r>
          </w:p>
        </w:tc>
        <w:tc>
          <w:tcPr>
            <w:tcW w:w="1550" w:type="dxa"/>
            <w:tcBorders>
              <w:top w:val="single" w:sz="4" w:space="0" w:color="auto"/>
              <w:left w:val="single" w:sz="4" w:space="0" w:color="auto"/>
              <w:bottom w:val="single" w:sz="4" w:space="0" w:color="auto"/>
              <w:right w:val="double" w:sz="4" w:space="0" w:color="auto"/>
            </w:tcBorders>
            <w:hideMark/>
          </w:tcPr>
          <w:p w14:paraId="14FD1DBA" w14:textId="77777777" w:rsidR="00902405" w:rsidRPr="006A1F39" w:rsidRDefault="00902405" w:rsidP="006A1F39">
            <w:pPr>
              <w:jc w:val="both"/>
            </w:pPr>
            <w:r w:rsidRPr="006A1F39">
              <w:t>9</w:t>
            </w:r>
          </w:p>
        </w:tc>
        <w:tc>
          <w:tcPr>
            <w:tcW w:w="1550" w:type="dxa"/>
            <w:tcBorders>
              <w:top w:val="single" w:sz="4" w:space="0" w:color="auto"/>
              <w:left w:val="double" w:sz="4" w:space="0" w:color="auto"/>
              <w:bottom w:val="single" w:sz="4" w:space="0" w:color="auto"/>
              <w:right w:val="single" w:sz="4" w:space="0" w:color="auto"/>
            </w:tcBorders>
            <w:hideMark/>
          </w:tcPr>
          <w:p w14:paraId="4D6A15AD" w14:textId="77777777" w:rsidR="00902405" w:rsidRPr="006A1F39" w:rsidRDefault="00902405" w:rsidP="006A1F39">
            <w:pPr>
              <w:jc w:val="both"/>
            </w:pPr>
            <w:r w:rsidRPr="006A1F39">
              <w:t>57-59</w:t>
            </w:r>
          </w:p>
        </w:tc>
        <w:tc>
          <w:tcPr>
            <w:tcW w:w="1550" w:type="dxa"/>
            <w:tcBorders>
              <w:top w:val="single" w:sz="4" w:space="0" w:color="auto"/>
              <w:left w:val="single" w:sz="4" w:space="0" w:color="auto"/>
              <w:bottom w:val="single" w:sz="4" w:space="0" w:color="auto"/>
              <w:right w:val="single" w:sz="4" w:space="0" w:color="auto"/>
            </w:tcBorders>
            <w:hideMark/>
          </w:tcPr>
          <w:p w14:paraId="79CE7505" w14:textId="77777777" w:rsidR="00902405" w:rsidRPr="006A1F39" w:rsidRDefault="00902405" w:rsidP="006A1F39">
            <w:pPr>
              <w:jc w:val="both"/>
            </w:pPr>
            <w:r w:rsidRPr="006A1F39">
              <w:t>D+</w:t>
            </w:r>
          </w:p>
        </w:tc>
        <w:tc>
          <w:tcPr>
            <w:tcW w:w="1551" w:type="dxa"/>
            <w:tcBorders>
              <w:top w:val="single" w:sz="4" w:space="0" w:color="auto"/>
              <w:left w:val="single" w:sz="4" w:space="0" w:color="auto"/>
              <w:bottom w:val="single" w:sz="4" w:space="0" w:color="auto"/>
              <w:right w:val="single" w:sz="4" w:space="0" w:color="auto"/>
            </w:tcBorders>
            <w:hideMark/>
          </w:tcPr>
          <w:p w14:paraId="006C4598" w14:textId="77777777" w:rsidR="00902405" w:rsidRPr="006A1F39" w:rsidRDefault="00902405" w:rsidP="006A1F39">
            <w:pPr>
              <w:jc w:val="both"/>
            </w:pPr>
            <w:r w:rsidRPr="006A1F39">
              <w:t>3</w:t>
            </w:r>
          </w:p>
        </w:tc>
      </w:tr>
      <w:tr w:rsidR="00902405" w:rsidRPr="006A1F39" w14:paraId="5F3B4DA9" w14:textId="77777777" w:rsidTr="006A1F39">
        <w:tc>
          <w:tcPr>
            <w:tcW w:w="1550" w:type="dxa"/>
            <w:tcBorders>
              <w:top w:val="single" w:sz="4" w:space="0" w:color="auto"/>
              <w:left w:val="single" w:sz="4" w:space="0" w:color="auto"/>
              <w:bottom w:val="single" w:sz="4" w:space="0" w:color="auto"/>
              <w:right w:val="single" w:sz="4" w:space="0" w:color="auto"/>
            </w:tcBorders>
            <w:hideMark/>
          </w:tcPr>
          <w:p w14:paraId="79568621" w14:textId="77777777" w:rsidR="00902405" w:rsidRPr="006A1F39" w:rsidRDefault="00902405" w:rsidP="006A1F39">
            <w:pPr>
              <w:jc w:val="both"/>
            </w:pPr>
            <w:r w:rsidRPr="006A1F39">
              <w:t>73-76</w:t>
            </w:r>
          </w:p>
        </w:tc>
        <w:tc>
          <w:tcPr>
            <w:tcW w:w="1550" w:type="dxa"/>
            <w:tcBorders>
              <w:top w:val="single" w:sz="4" w:space="0" w:color="auto"/>
              <w:left w:val="single" w:sz="4" w:space="0" w:color="auto"/>
              <w:bottom w:val="single" w:sz="4" w:space="0" w:color="auto"/>
              <w:right w:val="single" w:sz="4" w:space="0" w:color="auto"/>
            </w:tcBorders>
            <w:hideMark/>
          </w:tcPr>
          <w:p w14:paraId="07649089" w14:textId="77777777" w:rsidR="00902405" w:rsidRPr="006A1F39" w:rsidRDefault="00902405" w:rsidP="006A1F39">
            <w:pPr>
              <w:jc w:val="both"/>
            </w:pPr>
            <w:r w:rsidRPr="006A1F39">
              <w:t>B</w:t>
            </w:r>
          </w:p>
        </w:tc>
        <w:tc>
          <w:tcPr>
            <w:tcW w:w="1550" w:type="dxa"/>
            <w:tcBorders>
              <w:top w:val="single" w:sz="4" w:space="0" w:color="auto"/>
              <w:left w:val="single" w:sz="4" w:space="0" w:color="auto"/>
              <w:bottom w:val="single" w:sz="4" w:space="0" w:color="auto"/>
              <w:right w:val="double" w:sz="4" w:space="0" w:color="auto"/>
            </w:tcBorders>
            <w:hideMark/>
          </w:tcPr>
          <w:p w14:paraId="380984A7" w14:textId="77777777" w:rsidR="00902405" w:rsidRPr="006A1F39" w:rsidRDefault="00902405" w:rsidP="006A1F39">
            <w:pPr>
              <w:jc w:val="both"/>
            </w:pPr>
            <w:r w:rsidRPr="006A1F39">
              <w:t>8</w:t>
            </w:r>
          </w:p>
        </w:tc>
        <w:tc>
          <w:tcPr>
            <w:tcW w:w="1550" w:type="dxa"/>
            <w:tcBorders>
              <w:top w:val="single" w:sz="4" w:space="0" w:color="auto"/>
              <w:left w:val="double" w:sz="4" w:space="0" w:color="auto"/>
              <w:bottom w:val="single" w:sz="4" w:space="0" w:color="auto"/>
              <w:right w:val="single" w:sz="4" w:space="0" w:color="auto"/>
            </w:tcBorders>
            <w:hideMark/>
          </w:tcPr>
          <w:p w14:paraId="6032CCF0" w14:textId="77777777" w:rsidR="00902405" w:rsidRPr="006A1F39" w:rsidRDefault="00902405" w:rsidP="006A1F39">
            <w:pPr>
              <w:jc w:val="both"/>
            </w:pPr>
            <w:r w:rsidRPr="006A1F39">
              <w:t>53-56</w:t>
            </w:r>
          </w:p>
        </w:tc>
        <w:tc>
          <w:tcPr>
            <w:tcW w:w="1550" w:type="dxa"/>
            <w:tcBorders>
              <w:top w:val="single" w:sz="4" w:space="0" w:color="auto"/>
              <w:left w:val="single" w:sz="4" w:space="0" w:color="auto"/>
              <w:bottom w:val="single" w:sz="4" w:space="0" w:color="auto"/>
              <w:right w:val="single" w:sz="4" w:space="0" w:color="auto"/>
            </w:tcBorders>
            <w:hideMark/>
          </w:tcPr>
          <w:p w14:paraId="17ECFDF7" w14:textId="77777777" w:rsidR="00902405" w:rsidRPr="006A1F39" w:rsidRDefault="00902405" w:rsidP="006A1F39">
            <w:pPr>
              <w:jc w:val="both"/>
            </w:pPr>
            <w:r w:rsidRPr="006A1F39">
              <w:t>D</w:t>
            </w:r>
          </w:p>
        </w:tc>
        <w:tc>
          <w:tcPr>
            <w:tcW w:w="1551" w:type="dxa"/>
            <w:tcBorders>
              <w:top w:val="single" w:sz="4" w:space="0" w:color="auto"/>
              <w:left w:val="single" w:sz="4" w:space="0" w:color="auto"/>
              <w:bottom w:val="single" w:sz="4" w:space="0" w:color="auto"/>
              <w:right w:val="single" w:sz="4" w:space="0" w:color="auto"/>
            </w:tcBorders>
            <w:hideMark/>
          </w:tcPr>
          <w:p w14:paraId="79D799FC" w14:textId="77777777" w:rsidR="00902405" w:rsidRPr="006A1F39" w:rsidRDefault="00902405" w:rsidP="006A1F39">
            <w:pPr>
              <w:jc w:val="both"/>
            </w:pPr>
            <w:r w:rsidRPr="006A1F39">
              <w:t>2</w:t>
            </w:r>
          </w:p>
        </w:tc>
      </w:tr>
      <w:tr w:rsidR="00902405" w:rsidRPr="006A1F39" w14:paraId="33555EDF" w14:textId="77777777" w:rsidTr="006A1F39">
        <w:tc>
          <w:tcPr>
            <w:tcW w:w="1550" w:type="dxa"/>
            <w:tcBorders>
              <w:top w:val="single" w:sz="4" w:space="0" w:color="auto"/>
              <w:left w:val="single" w:sz="4" w:space="0" w:color="auto"/>
              <w:bottom w:val="single" w:sz="4" w:space="0" w:color="auto"/>
              <w:right w:val="single" w:sz="4" w:space="0" w:color="auto"/>
            </w:tcBorders>
            <w:hideMark/>
          </w:tcPr>
          <w:p w14:paraId="011F22A4" w14:textId="77777777" w:rsidR="00902405" w:rsidRPr="006A1F39" w:rsidRDefault="00902405" w:rsidP="006A1F39">
            <w:pPr>
              <w:jc w:val="both"/>
            </w:pPr>
            <w:r w:rsidRPr="006A1F39">
              <w:t>70-72</w:t>
            </w:r>
          </w:p>
        </w:tc>
        <w:tc>
          <w:tcPr>
            <w:tcW w:w="1550" w:type="dxa"/>
            <w:tcBorders>
              <w:top w:val="single" w:sz="4" w:space="0" w:color="auto"/>
              <w:left w:val="single" w:sz="4" w:space="0" w:color="auto"/>
              <w:bottom w:val="single" w:sz="4" w:space="0" w:color="auto"/>
              <w:right w:val="single" w:sz="4" w:space="0" w:color="auto"/>
            </w:tcBorders>
            <w:hideMark/>
          </w:tcPr>
          <w:p w14:paraId="2280A3AE" w14:textId="77777777" w:rsidR="00902405" w:rsidRPr="006A1F39" w:rsidRDefault="00902405" w:rsidP="006A1F39">
            <w:pPr>
              <w:jc w:val="both"/>
            </w:pPr>
            <w:r w:rsidRPr="006A1F39">
              <w:t>B-</w:t>
            </w:r>
          </w:p>
        </w:tc>
        <w:tc>
          <w:tcPr>
            <w:tcW w:w="1550" w:type="dxa"/>
            <w:tcBorders>
              <w:top w:val="single" w:sz="4" w:space="0" w:color="auto"/>
              <w:left w:val="single" w:sz="4" w:space="0" w:color="auto"/>
              <w:bottom w:val="single" w:sz="4" w:space="0" w:color="auto"/>
              <w:right w:val="double" w:sz="4" w:space="0" w:color="auto"/>
            </w:tcBorders>
            <w:hideMark/>
          </w:tcPr>
          <w:p w14:paraId="3C14033C" w14:textId="77777777" w:rsidR="00902405" w:rsidRPr="006A1F39" w:rsidRDefault="00902405" w:rsidP="006A1F39">
            <w:pPr>
              <w:jc w:val="both"/>
            </w:pPr>
            <w:r w:rsidRPr="006A1F39">
              <w:t>7</w:t>
            </w:r>
          </w:p>
        </w:tc>
        <w:tc>
          <w:tcPr>
            <w:tcW w:w="1550" w:type="dxa"/>
            <w:tcBorders>
              <w:top w:val="single" w:sz="4" w:space="0" w:color="auto"/>
              <w:left w:val="double" w:sz="4" w:space="0" w:color="auto"/>
              <w:bottom w:val="single" w:sz="4" w:space="0" w:color="auto"/>
              <w:right w:val="single" w:sz="4" w:space="0" w:color="auto"/>
            </w:tcBorders>
            <w:hideMark/>
          </w:tcPr>
          <w:p w14:paraId="66CCDC8A" w14:textId="77777777" w:rsidR="00902405" w:rsidRPr="006A1F39" w:rsidRDefault="00902405" w:rsidP="006A1F39">
            <w:pPr>
              <w:jc w:val="both"/>
            </w:pPr>
            <w:r w:rsidRPr="006A1F39">
              <w:t>50-52</w:t>
            </w:r>
          </w:p>
        </w:tc>
        <w:tc>
          <w:tcPr>
            <w:tcW w:w="1550" w:type="dxa"/>
            <w:tcBorders>
              <w:top w:val="single" w:sz="4" w:space="0" w:color="auto"/>
              <w:left w:val="single" w:sz="4" w:space="0" w:color="auto"/>
              <w:bottom w:val="single" w:sz="4" w:space="0" w:color="auto"/>
              <w:right w:val="single" w:sz="4" w:space="0" w:color="auto"/>
            </w:tcBorders>
            <w:hideMark/>
          </w:tcPr>
          <w:p w14:paraId="5C358414" w14:textId="77777777" w:rsidR="00902405" w:rsidRPr="006A1F39" w:rsidRDefault="00902405" w:rsidP="006A1F39">
            <w:pPr>
              <w:jc w:val="both"/>
            </w:pPr>
            <w:r w:rsidRPr="006A1F39">
              <w:t>D-</w:t>
            </w:r>
          </w:p>
        </w:tc>
        <w:tc>
          <w:tcPr>
            <w:tcW w:w="1551" w:type="dxa"/>
            <w:tcBorders>
              <w:top w:val="single" w:sz="4" w:space="0" w:color="auto"/>
              <w:left w:val="single" w:sz="4" w:space="0" w:color="auto"/>
              <w:bottom w:val="single" w:sz="4" w:space="0" w:color="auto"/>
              <w:right w:val="single" w:sz="4" w:space="0" w:color="auto"/>
            </w:tcBorders>
            <w:hideMark/>
          </w:tcPr>
          <w:p w14:paraId="0C18ED54" w14:textId="77777777" w:rsidR="00902405" w:rsidRPr="006A1F39" w:rsidRDefault="00902405" w:rsidP="006A1F39">
            <w:pPr>
              <w:jc w:val="both"/>
            </w:pPr>
            <w:r w:rsidRPr="006A1F39">
              <w:t>1</w:t>
            </w:r>
          </w:p>
        </w:tc>
      </w:tr>
    </w:tbl>
    <w:p w14:paraId="6D25630E" w14:textId="77777777" w:rsidR="00902405" w:rsidRPr="006A1F39" w:rsidRDefault="00902405" w:rsidP="00902405"/>
    <w:p w14:paraId="4E560C51" w14:textId="77777777" w:rsidR="00902405" w:rsidRPr="006A1F39" w:rsidRDefault="00902405" w:rsidP="00902405">
      <w:pPr>
        <w:rPr>
          <w:b/>
          <w:bCs/>
        </w:rPr>
      </w:pPr>
      <w:r w:rsidRPr="006A1F39">
        <w:t>Standing in a course is determined by the course instructor subject to the approval of the Faculty Dean. This means that grades submitted by an instructor may be subject to revision. No grades are final until they have been approved by the Dean.</w:t>
      </w:r>
    </w:p>
    <w:p w14:paraId="56235F8F" w14:textId="77777777" w:rsidR="00902405" w:rsidRDefault="00902405" w:rsidP="00902405">
      <w:pPr>
        <w:rPr>
          <w:b/>
          <w:bCs/>
        </w:rPr>
      </w:pPr>
    </w:p>
    <w:p w14:paraId="554CDED9" w14:textId="77777777" w:rsidR="00B660AD" w:rsidRPr="00B660AD" w:rsidRDefault="00B660AD" w:rsidP="00B660AD">
      <w:pPr>
        <w:pStyle w:val="NormalWeb"/>
        <w:shd w:val="clear" w:color="auto" w:fill="FFFFFF"/>
        <w:spacing w:before="0" w:beforeAutospacing="0" w:after="0" w:afterAutospacing="0"/>
        <w:jc w:val="both"/>
        <w:rPr>
          <w:rFonts w:ascii="Segoe UI" w:hAnsi="Segoe UI" w:cs="Segoe UI"/>
          <w:color w:val="201F1E"/>
          <w:u w:val="single"/>
        </w:rPr>
      </w:pPr>
      <w:r w:rsidRPr="00B660AD">
        <w:rPr>
          <w:rStyle w:val="Strong"/>
          <w:rFonts w:cs="Segoe UI"/>
          <w:color w:val="191919"/>
          <w:u w:val="single"/>
          <w:bdr w:val="none" w:sz="0" w:space="0" w:color="auto" w:frame="1"/>
        </w:rPr>
        <w:t>COVID-19 and the Classroom</w:t>
      </w:r>
    </w:p>
    <w:p w14:paraId="010DFC95" w14:textId="77777777" w:rsidR="00B660AD" w:rsidRPr="00B660AD" w:rsidRDefault="00B660AD" w:rsidP="00B660AD">
      <w:pPr>
        <w:pStyle w:val="NormalWeb"/>
        <w:shd w:val="clear" w:color="auto" w:fill="FFFFFF"/>
        <w:spacing w:before="0" w:beforeAutospacing="0" w:after="0" w:afterAutospacing="0"/>
        <w:jc w:val="both"/>
        <w:rPr>
          <w:rFonts w:ascii="Segoe UI" w:hAnsi="Segoe UI" w:cs="Segoe UI"/>
          <w:color w:val="201F1E"/>
        </w:rPr>
      </w:pPr>
      <w:r w:rsidRPr="00B660AD">
        <w:rPr>
          <w:rFonts w:cs="Segoe UI"/>
          <w:color w:val="191919"/>
          <w:bdr w:val="none" w:sz="0" w:space="0" w:color="auto" w:frame="1"/>
        </w:rPr>
        <w:t>All members of the Carleton community are required to follow COVID-19 prevention measures and all mandatory public health requirements (e.g. wearing a mask, physical distancing, hand hygiene, respiratory and cough etiquette) and </w:t>
      </w:r>
      <w:hyperlink r:id="rId53" w:tgtFrame="_blank" w:history="1">
        <w:r w:rsidRPr="00B660AD">
          <w:rPr>
            <w:rStyle w:val="Hyperlink"/>
            <w:rFonts w:cs="Segoe UI"/>
            <w:color w:val="CF112D"/>
            <w:u w:val="none"/>
            <w:bdr w:val="none" w:sz="0" w:space="0" w:color="auto" w:frame="1"/>
          </w:rPr>
          <w:t>mandatory self-screening</w:t>
        </w:r>
      </w:hyperlink>
      <w:r w:rsidRPr="00B660AD">
        <w:rPr>
          <w:rFonts w:cs="Segoe UI"/>
          <w:color w:val="191919"/>
          <w:bdr w:val="none" w:sz="0" w:space="0" w:color="auto" w:frame="1"/>
        </w:rPr>
        <w:t> prior to coming to campus daily.</w:t>
      </w:r>
    </w:p>
    <w:p w14:paraId="109F9A20" w14:textId="77777777" w:rsidR="00B660AD" w:rsidRPr="00B660AD" w:rsidRDefault="00B660AD" w:rsidP="00B660AD">
      <w:pPr>
        <w:pStyle w:val="NormalWeb"/>
        <w:shd w:val="clear" w:color="auto" w:fill="FFFFFF"/>
        <w:spacing w:before="0" w:beforeAutospacing="0" w:after="0" w:afterAutospacing="0"/>
        <w:jc w:val="both"/>
        <w:rPr>
          <w:rFonts w:ascii="Segoe UI" w:hAnsi="Segoe UI" w:cs="Segoe UI"/>
          <w:color w:val="201F1E"/>
        </w:rPr>
      </w:pPr>
      <w:r w:rsidRPr="00B660AD">
        <w:rPr>
          <w:rFonts w:cs="Segoe UI"/>
          <w:color w:val="191919"/>
          <w:bdr w:val="none" w:sz="0" w:space="0" w:color="auto" w:frame="1"/>
        </w:rPr>
        <w:t>If you feel ill or exhibit COVID-19 symptoms while on campus or in class, please leave campus immediately, self-isolate, and complete the mandatory </w:t>
      </w:r>
      <w:hyperlink r:id="rId54" w:tgtFrame="_blank" w:history="1">
        <w:r w:rsidRPr="00B660AD">
          <w:rPr>
            <w:rStyle w:val="Hyperlink"/>
            <w:rFonts w:cs="Segoe UI"/>
            <w:color w:val="CF112D"/>
            <w:u w:val="none"/>
            <w:bdr w:val="none" w:sz="0" w:space="0" w:color="auto" w:frame="1"/>
          </w:rPr>
          <w:t>symptom reporting tool</w:t>
        </w:r>
      </w:hyperlink>
      <w:r w:rsidRPr="00B660AD">
        <w:rPr>
          <w:rFonts w:cs="Segoe UI"/>
          <w:color w:val="191919"/>
          <w:bdr w:val="none" w:sz="0" w:space="0" w:color="auto" w:frame="1"/>
        </w:rPr>
        <w:t>. For purposes of contact tracing, attendance will be taken in all classes and labs. Participants can check in using posted QR codes through the cuScreen platform where provided. Students who do not have a smartphone will be required to complete a paper process as indicated on the </w:t>
      </w:r>
      <w:hyperlink r:id="rId55" w:tgtFrame="_blank" w:history="1">
        <w:r w:rsidRPr="00B660AD">
          <w:rPr>
            <w:rStyle w:val="Hyperlink"/>
            <w:rFonts w:cs="Segoe UI"/>
            <w:color w:val="CF112D"/>
            <w:u w:val="none"/>
            <w:bdr w:val="none" w:sz="0" w:space="0" w:color="auto" w:frame="1"/>
          </w:rPr>
          <w:t>COVID-19 website</w:t>
        </w:r>
      </w:hyperlink>
      <w:r w:rsidRPr="00B660AD">
        <w:rPr>
          <w:rFonts w:cs="Segoe UI"/>
          <w:color w:val="191919"/>
          <w:bdr w:val="none" w:sz="0" w:space="0" w:color="auto" w:frame="1"/>
        </w:rPr>
        <w:t>.</w:t>
      </w:r>
    </w:p>
    <w:p w14:paraId="55E887BB" w14:textId="77777777" w:rsidR="00B660AD" w:rsidRPr="00B660AD" w:rsidRDefault="00B660AD" w:rsidP="00B660AD">
      <w:pPr>
        <w:pStyle w:val="NormalWeb"/>
        <w:shd w:val="clear" w:color="auto" w:fill="FFFFFF"/>
        <w:spacing w:before="0" w:beforeAutospacing="0" w:after="0" w:afterAutospacing="0"/>
        <w:jc w:val="both"/>
        <w:rPr>
          <w:rFonts w:ascii="Segoe UI" w:hAnsi="Segoe UI" w:cs="Segoe UI"/>
          <w:color w:val="201F1E"/>
        </w:rPr>
      </w:pPr>
      <w:r w:rsidRPr="00B660AD">
        <w:rPr>
          <w:rFonts w:cs="Segoe UI"/>
          <w:color w:val="191919"/>
          <w:bdr w:val="none" w:sz="0" w:space="0" w:color="auto" w:frame="1"/>
        </w:rPr>
        <w:t>All members of the Carleton community are required to follow guidelines regarding safe movement and seating on campus (e.g. directional arrows, designated entrances and exits, designated seats that maintain physical distancing). In order to avoid congestion, allow all previous occupants to fully vacate a classroom before entering. No food or drinks are permitted in any classrooms or labs.</w:t>
      </w:r>
    </w:p>
    <w:p w14:paraId="54ABE890" w14:textId="77777777" w:rsidR="00B660AD" w:rsidRPr="00B660AD" w:rsidRDefault="00B660AD" w:rsidP="00B660AD">
      <w:pPr>
        <w:pStyle w:val="NormalWeb"/>
        <w:shd w:val="clear" w:color="auto" w:fill="FFFFFF"/>
        <w:spacing w:before="0" w:beforeAutospacing="0" w:after="0" w:afterAutospacing="0"/>
        <w:jc w:val="both"/>
        <w:rPr>
          <w:rFonts w:ascii="Segoe UI" w:hAnsi="Segoe UI" w:cs="Segoe UI"/>
          <w:color w:val="201F1E"/>
        </w:rPr>
      </w:pPr>
      <w:r w:rsidRPr="00B660AD">
        <w:rPr>
          <w:rFonts w:cs="Segoe UI"/>
          <w:color w:val="191919"/>
          <w:bdr w:val="none" w:sz="0" w:space="0" w:color="auto" w:frame="1"/>
        </w:rPr>
        <w:t>For the most recent information about Carleton’s COVID-19 response and required measures, please see the </w:t>
      </w:r>
      <w:hyperlink r:id="rId56" w:tgtFrame="_blank" w:history="1">
        <w:r w:rsidRPr="00B660AD">
          <w:rPr>
            <w:rStyle w:val="Hyperlink"/>
            <w:rFonts w:cs="Segoe UI"/>
            <w:color w:val="CF112D"/>
            <w:u w:val="none"/>
            <w:bdr w:val="none" w:sz="0" w:space="0" w:color="auto" w:frame="1"/>
          </w:rPr>
          <w:t>University’s COVID-19 webpage</w:t>
        </w:r>
      </w:hyperlink>
      <w:r w:rsidRPr="00B660AD">
        <w:rPr>
          <w:rFonts w:cs="Segoe UI"/>
          <w:color w:val="191919"/>
          <w:bdr w:val="none" w:sz="0" w:space="0" w:color="auto" w:frame="1"/>
        </w:rPr>
        <w:t> and review the </w:t>
      </w:r>
      <w:hyperlink r:id="rId57" w:tgtFrame="_blank" w:history="1">
        <w:r w:rsidRPr="00B660AD">
          <w:rPr>
            <w:rStyle w:val="Hyperlink"/>
            <w:rFonts w:cs="Segoe UI"/>
            <w:color w:val="CF112D"/>
            <w:u w:val="none"/>
            <w:bdr w:val="none" w:sz="0" w:space="0" w:color="auto" w:frame="1"/>
          </w:rPr>
          <w:t>Frequently Asked Questions (FAQs)</w:t>
        </w:r>
      </w:hyperlink>
      <w:r w:rsidRPr="00B660AD">
        <w:rPr>
          <w:rFonts w:cs="Segoe UI"/>
          <w:color w:val="191919"/>
          <w:bdr w:val="none" w:sz="0" w:space="0" w:color="auto" w:frame="1"/>
        </w:rPr>
        <w:t>. Should you have additional questions after reviewing, please contact </w:t>
      </w:r>
      <w:hyperlink r:id="rId58" w:tgtFrame="_blank" w:history="1">
        <w:r w:rsidRPr="00B660AD">
          <w:rPr>
            <w:rStyle w:val="Hyperlink"/>
            <w:rFonts w:cs="Segoe UI"/>
            <w:color w:val="CF112D"/>
            <w:u w:val="none"/>
            <w:bdr w:val="none" w:sz="0" w:space="0" w:color="auto" w:frame="1"/>
          </w:rPr>
          <w:t>covidinfo@carleton.ca</w:t>
        </w:r>
      </w:hyperlink>
    </w:p>
    <w:p w14:paraId="6205B361" w14:textId="77777777" w:rsidR="00B660AD" w:rsidRPr="00B660AD" w:rsidRDefault="00B660AD" w:rsidP="00B660AD">
      <w:pPr>
        <w:pStyle w:val="NormalWeb"/>
        <w:shd w:val="clear" w:color="auto" w:fill="FFFFFF"/>
        <w:spacing w:before="0" w:beforeAutospacing="0" w:after="0" w:afterAutospacing="0"/>
        <w:jc w:val="both"/>
        <w:rPr>
          <w:rFonts w:ascii="Segoe UI" w:hAnsi="Segoe UI" w:cs="Segoe UI"/>
          <w:color w:val="201F1E"/>
        </w:rPr>
      </w:pPr>
      <w:r w:rsidRPr="00B660AD">
        <w:rPr>
          <w:rFonts w:cs="Segoe UI"/>
          <w:color w:val="191919"/>
          <w:bdr w:val="none" w:sz="0" w:space="0" w:color="auto" w:frame="1"/>
        </w:rPr>
        <w:t>Please note that failure to comply with University policies and mandatory public health requirements, and endangering the safety of others are considered misconduct under the </w:t>
      </w:r>
      <w:hyperlink r:id="rId59" w:tgtFrame="_blank" w:history="1">
        <w:r w:rsidRPr="00B660AD">
          <w:rPr>
            <w:rStyle w:val="Hyperlink"/>
            <w:rFonts w:cs="Segoe UI"/>
            <w:color w:val="CF112D"/>
            <w:u w:val="none"/>
            <w:bdr w:val="none" w:sz="0" w:space="0" w:color="auto" w:frame="1"/>
          </w:rPr>
          <w:t>Student Rights and Responsibilities Policy</w:t>
        </w:r>
      </w:hyperlink>
      <w:r w:rsidRPr="00B660AD">
        <w:rPr>
          <w:rFonts w:cs="Segoe UI"/>
          <w:color w:val="191919"/>
          <w:bdr w:val="none" w:sz="0" w:space="0" w:color="auto" w:frame="1"/>
        </w:rPr>
        <w:t>. Failure to comply with Carleton’s COVID-19 procedures may lead to supplementary action involving Campus Safety and/or Student Affairs.</w:t>
      </w:r>
    </w:p>
    <w:p w14:paraId="0FBF6CA1" w14:textId="77777777" w:rsidR="00B660AD" w:rsidRPr="00B660AD" w:rsidRDefault="00B660AD" w:rsidP="00B660AD">
      <w:pPr>
        <w:pStyle w:val="NormalWeb"/>
        <w:shd w:val="clear" w:color="auto" w:fill="FFFFFF"/>
        <w:spacing w:before="0" w:beforeAutospacing="0" w:after="0" w:afterAutospacing="0"/>
        <w:jc w:val="both"/>
        <w:rPr>
          <w:rFonts w:ascii="Segoe UI" w:hAnsi="Segoe UI" w:cs="Segoe UI"/>
          <w:color w:val="201F1E"/>
        </w:rPr>
      </w:pPr>
      <w:r w:rsidRPr="00B660AD">
        <w:rPr>
          <w:rStyle w:val="Strong"/>
          <w:rFonts w:cs="Segoe UI"/>
          <w:color w:val="191919"/>
          <w:bdr w:val="none" w:sz="0" w:space="0" w:color="auto" w:frame="1"/>
        </w:rPr>
        <w:t> </w:t>
      </w:r>
    </w:p>
    <w:p w14:paraId="0D248F93" w14:textId="6F54D915" w:rsidR="00B660AD" w:rsidRPr="00B660AD" w:rsidRDefault="00B660AD" w:rsidP="00B660AD">
      <w:pPr>
        <w:pStyle w:val="NormalWeb"/>
        <w:shd w:val="clear" w:color="auto" w:fill="FFFFFF"/>
        <w:spacing w:before="0" w:beforeAutospacing="0" w:after="0" w:afterAutospacing="0"/>
        <w:jc w:val="both"/>
        <w:rPr>
          <w:rFonts w:ascii="Segoe UI" w:hAnsi="Segoe UI" w:cs="Segoe UI"/>
          <w:color w:val="201F1E"/>
        </w:rPr>
      </w:pPr>
      <w:r w:rsidRPr="00B660AD">
        <w:rPr>
          <w:rFonts w:cs="Segoe UI"/>
          <w:b/>
          <w:bCs/>
          <w:color w:val="191919"/>
          <w:bdr w:val="none" w:sz="0" w:space="0" w:color="auto" w:frame="1"/>
        </w:rPr>
        <w:br/>
      </w:r>
      <w:r w:rsidRPr="00B660AD">
        <w:rPr>
          <w:rStyle w:val="Strong"/>
          <w:rFonts w:cs="Segoe UI"/>
          <w:color w:val="191919"/>
          <w:bdr w:val="none" w:sz="0" w:space="0" w:color="auto" w:frame="1"/>
        </w:rPr>
        <w:t>PLAGIARISM</w:t>
      </w:r>
    </w:p>
    <w:p w14:paraId="4EA4BC6A" w14:textId="77777777" w:rsidR="00B660AD" w:rsidRPr="00B660AD" w:rsidRDefault="00B660AD" w:rsidP="00B660AD">
      <w:pPr>
        <w:pStyle w:val="NormalWeb"/>
        <w:shd w:val="clear" w:color="auto" w:fill="FFFFFF"/>
        <w:spacing w:before="0" w:beforeAutospacing="0" w:after="0" w:afterAutospacing="0"/>
        <w:jc w:val="both"/>
        <w:rPr>
          <w:rFonts w:ascii="Segoe UI" w:hAnsi="Segoe UI" w:cs="Segoe UI"/>
          <w:color w:val="201F1E"/>
        </w:rPr>
      </w:pPr>
      <w:r w:rsidRPr="00B660AD">
        <w:rPr>
          <w:rFonts w:cs="Segoe UI"/>
          <w:color w:val="191919"/>
          <w:bdr w:val="none" w:sz="0" w:space="0" w:color="auto" w:frame="1"/>
        </w:rPr>
        <w:t>The University Academic Integrity Policy defines plagiarism as “</w:t>
      </w:r>
      <w:r w:rsidRPr="00B660AD">
        <w:rPr>
          <w:rStyle w:val="Emphasis"/>
          <w:color w:val="191919"/>
          <w:bdr w:val="none" w:sz="0" w:space="0" w:color="auto" w:frame="1"/>
        </w:rPr>
        <w:t>presenting, whether intentionally or not, the ideas, expression of ideas or work of others as one’s own.”  </w:t>
      </w:r>
      <w:r w:rsidRPr="00B660AD">
        <w:rPr>
          <w:rFonts w:cs="Segoe UI"/>
          <w:color w:val="191919"/>
          <w:bdr w:val="none" w:sz="0" w:space="0" w:color="auto" w:frame="1"/>
        </w:rPr>
        <w:t>This includes reproducing or paraphrasing portions of someone else’s published or unpublished material, regardless of the source, and presenting these as one’s own without proper citation or reference to the original source. Examples of sources from which the ideas, expressions of ideas or works of others may be drawn from include but are not limited to: books, articles, papers, literary compositions and phrases, performance compositions, chemical compounds, artworks, laboratory reports, research results, calculations and the results of calculations, diagrams, constructions, computer reports, computer code/software, material on the internet and/or conversations.</w:t>
      </w:r>
    </w:p>
    <w:p w14:paraId="20DD0953" w14:textId="77777777" w:rsidR="00B660AD" w:rsidRPr="00B660AD" w:rsidRDefault="00B660AD" w:rsidP="00B660AD">
      <w:pPr>
        <w:pStyle w:val="NormalWeb"/>
        <w:shd w:val="clear" w:color="auto" w:fill="FFFFFF"/>
        <w:spacing w:before="0" w:beforeAutospacing="0" w:after="0" w:afterAutospacing="0"/>
        <w:jc w:val="both"/>
        <w:rPr>
          <w:rFonts w:ascii="Segoe UI" w:hAnsi="Segoe UI" w:cs="Segoe UI"/>
          <w:color w:val="201F1E"/>
        </w:rPr>
      </w:pPr>
      <w:r w:rsidRPr="00B660AD">
        <w:rPr>
          <w:rFonts w:cs="Segoe UI"/>
          <w:color w:val="191919"/>
          <w:bdr w:val="none" w:sz="0" w:space="0" w:color="auto" w:frame="1"/>
        </w:rPr>
        <w:t>Examples of plagiarism include, but are not limited to:</w:t>
      </w:r>
    </w:p>
    <w:p w14:paraId="5ABB6E52" w14:textId="77777777" w:rsidR="00B660AD" w:rsidRPr="00B660AD" w:rsidRDefault="00B660AD" w:rsidP="00B660AD">
      <w:pPr>
        <w:numPr>
          <w:ilvl w:val="0"/>
          <w:numId w:val="32"/>
        </w:numPr>
        <w:shd w:val="clear" w:color="auto" w:fill="FFFFFF"/>
        <w:jc w:val="both"/>
        <w:rPr>
          <w:rFonts w:ascii="Calibri" w:hAnsi="Calibri" w:cs="Segoe UI"/>
          <w:color w:val="191919"/>
        </w:rPr>
      </w:pPr>
      <w:r w:rsidRPr="00B660AD">
        <w:rPr>
          <w:rFonts w:cs="Segoe UI"/>
          <w:color w:val="191919"/>
          <w:bdr w:val="none" w:sz="0" w:space="0" w:color="auto" w:frame="1"/>
        </w:rPr>
        <w:t>any submission prepared in whole or in part, by someone else;</w:t>
      </w:r>
    </w:p>
    <w:p w14:paraId="63843054" w14:textId="77777777" w:rsidR="00B660AD" w:rsidRPr="00B660AD" w:rsidRDefault="00B660AD" w:rsidP="00B660AD">
      <w:pPr>
        <w:numPr>
          <w:ilvl w:val="0"/>
          <w:numId w:val="32"/>
        </w:numPr>
        <w:shd w:val="clear" w:color="auto" w:fill="FFFFFF"/>
        <w:jc w:val="both"/>
        <w:rPr>
          <w:rFonts w:ascii="Calibri" w:hAnsi="Calibri" w:cs="Segoe UI"/>
          <w:color w:val="191919"/>
        </w:rPr>
      </w:pPr>
      <w:r w:rsidRPr="00B660AD">
        <w:rPr>
          <w:rFonts w:cs="Segoe UI"/>
          <w:color w:val="191919"/>
          <w:bdr w:val="none" w:sz="0" w:space="0" w:color="auto" w:frame="1"/>
        </w:rPr>
        <w:t>using ideas or direct, verbatim quotations, paraphrased material, algorithms, formulae, scientific or mathematical concepts, or ideas without appropriate acknowledgment in any academic assignment;</w:t>
      </w:r>
    </w:p>
    <w:p w14:paraId="613EFFF9" w14:textId="77777777" w:rsidR="00B660AD" w:rsidRPr="00B660AD" w:rsidRDefault="00B660AD" w:rsidP="00B660AD">
      <w:pPr>
        <w:numPr>
          <w:ilvl w:val="0"/>
          <w:numId w:val="32"/>
        </w:numPr>
        <w:shd w:val="clear" w:color="auto" w:fill="FFFFFF"/>
        <w:jc w:val="both"/>
        <w:rPr>
          <w:rFonts w:ascii="Calibri" w:hAnsi="Calibri" w:cs="Segoe UI"/>
          <w:color w:val="191919"/>
        </w:rPr>
      </w:pPr>
      <w:r w:rsidRPr="00B660AD">
        <w:rPr>
          <w:rFonts w:cs="Segoe UI"/>
          <w:color w:val="191919"/>
          <w:bdr w:val="none" w:sz="0" w:space="0" w:color="auto" w:frame="1"/>
        </w:rPr>
        <w:t>using another’s data or research findings without appropriate acknowledgement;</w:t>
      </w:r>
    </w:p>
    <w:p w14:paraId="48EEDE28" w14:textId="77777777" w:rsidR="00B660AD" w:rsidRPr="00B660AD" w:rsidRDefault="00B660AD" w:rsidP="00B660AD">
      <w:pPr>
        <w:numPr>
          <w:ilvl w:val="0"/>
          <w:numId w:val="32"/>
        </w:numPr>
        <w:shd w:val="clear" w:color="auto" w:fill="FFFFFF"/>
        <w:jc w:val="both"/>
        <w:rPr>
          <w:rFonts w:ascii="Calibri" w:hAnsi="Calibri" w:cs="Segoe UI"/>
          <w:color w:val="191919"/>
        </w:rPr>
      </w:pPr>
      <w:r w:rsidRPr="00B660AD">
        <w:rPr>
          <w:rFonts w:cs="Segoe UI"/>
          <w:color w:val="191919"/>
          <w:bdr w:val="none" w:sz="0" w:space="0" w:color="auto" w:frame="1"/>
        </w:rPr>
        <w:t>submitting a computer program developed in whole or in part by someone else, with or without modifications, as one’s own; and</w:t>
      </w:r>
    </w:p>
    <w:p w14:paraId="0ECD7130" w14:textId="77777777" w:rsidR="00B660AD" w:rsidRPr="00B660AD" w:rsidRDefault="00B660AD" w:rsidP="00B660AD">
      <w:pPr>
        <w:numPr>
          <w:ilvl w:val="0"/>
          <w:numId w:val="32"/>
        </w:numPr>
        <w:shd w:val="clear" w:color="auto" w:fill="FFFFFF"/>
        <w:jc w:val="both"/>
        <w:rPr>
          <w:rFonts w:ascii="Calibri" w:hAnsi="Calibri" w:cs="Segoe UI"/>
          <w:color w:val="191919"/>
        </w:rPr>
      </w:pPr>
      <w:r w:rsidRPr="00B660AD">
        <w:rPr>
          <w:rFonts w:cs="Segoe UI"/>
          <w:color w:val="191919"/>
          <w:bdr w:val="none" w:sz="0" w:space="0" w:color="auto" w:frame="1"/>
        </w:rPr>
        <w:t>failing to acknowledge sources through the use of proper citations when using another’s work and/or failing to use quotations marks.</w:t>
      </w:r>
    </w:p>
    <w:p w14:paraId="7A7BEAF1" w14:textId="77777777" w:rsidR="00B660AD" w:rsidRPr="00B660AD" w:rsidRDefault="00B660AD" w:rsidP="00B660AD">
      <w:pPr>
        <w:pStyle w:val="NormalWeb"/>
        <w:shd w:val="clear" w:color="auto" w:fill="FFFFFF"/>
        <w:spacing w:before="0" w:beforeAutospacing="0" w:after="0" w:afterAutospacing="0"/>
        <w:jc w:val="both"/>
        <w:rPr>
          <w:rFonts w:ascii="Segoe UI" w:eastAsiaTheme="minorHAnsi" w:hAnsi="Segoe UI" w:cs="Segoe UI"/>
          <w:color w:val="201F1E"/>
        </w:rPr>
      </w:pPr>
      <w:r w:rsidRPr="00B660AD">
        <w:rPr>
          <w:rFonts w:cs="Segoe UI"/>
          <w:color w:val="191919"/>
          <w:bdr w:val="none" w:sz="0" w:space="0" w:color="auto" w:frame="1"/>
        </w:rPr>
        <w:t>Plagiarism is a serious offence that cannot be resolved directly by the course’s instructor. The Associate Dean of the Faculty conducts a rigorous investigation, including an interview with the student, when an instructor suspects a piece of work has been plagiarized. Penalties are not trivial. They can include a final grade of “F” for the course.</w:t>
      </w:r>
    </w:p>
    <w:p w14:paraId="2518FE48" w14:textId="77777777" w:rsidR="00B660AD" w:rsidRDefault="00B660AD" w:rsidP="00B660AD">
      <w:pPr>
        <w:pStyle w:val="NormalWeb"/>
        <w:shd w:val="clear" w:color="auto" w:fill="FFFFFF"/>
        <w:spacing w:before="0" w:beforeAutospacing="0" w:after="0" w:afterAutospacing="0"/>
        <w:jc w:val="both"/>
        <w:rPr>
          <w:rStyle w:val="Strong"/>
          <w:rFonts w:cs="Segoe UI"/>
          <w:color w:val="191919"/>
          <w:bdr w:val="none" w:sz="0" w:space="0" w:color="auto" w:frame="1"/>
        </w:rPr>
      </w:pPr>
    </w:p>
    <w:p w14:paraId="38BF8242" w14:textId="77777777" w:rsidR="00B660AD" w:rsidRPr="00B660AD" w:rsidRDefault="00B660AD" w:rsidP="00B660AD">
      <w:pPr>
        <w:pStyle w:val="NormalWeb"/>
        <w:shd w:val="clear" w:color="auto" w:fill="FFFFFF"/>
        <w:spacing w:before="0" w:beforeAutospacing="0" w:after="0" w:afterAutospacing="0"/>
        <w:jc w:val="both"/>
        <w:rPr>
          <w:rFonts w:ascii="Segoe UI" w:hAnsi="Segoe UI" w:cs="Segoe UI"/>
          <w:color w:val="201F1E"/>
        </w:rPr>
      </w:pPr>
      <w:r w:rsidRPr="00B660AD">
        <w:rPr>
          <w:rStyle w:val="Strong"/>
          <w:rFonts w:cs="Segoe UI"/>
          <w:color w:val="191919"/>
          <w:bdr w:val="none" w:sz="0" w:space="0" w:color="auto" w:frame="1"/>
        </w:rPr>
        <w:t>ACADEMIC ACCOMMODATION</w:t>
      </w:r>
    </w:p>
    <w:p w14:paraId="67F7CCC4" w14:textId="77777777" w:rsidR="00B660AD" w:rsidRDefault="00B660AD" w:rsidP="00B660AD">
      <w:pPr>
        <w:pStyle w:val="NormalWeb"/>
        <w:shd w:val="clear" w:color="auto" w:fill="FFFFFF"/>
        <w:spacing w:before="0" w:beforeAutospacing="0" w:after="0" w:afterAutospacing="0"/>
        <w:jc w:val="both"/>
        <w:rPr>
          <w:rFonts w:cs="Segoe UI"/>
          <w:color w:val="191919"/>
          <w:bdr w:val="none" w:sz="0" w:space="0" w:color="auto" w:frame="1"/>
        </w:rPr>
      </w:pPr>
    </w:p>
    <w:p w14:paraId="25F50130" w14:textId="77777777" w:rsidR="00B660AD" w:rsidRDefault="00B660AD" w:rsidP="00B660AD">
      <w:pPr>
        <w:pStyle w:val="NormalWeb"/>
        <w:shd w:val="clear" w:color="auto" w:fill="FFFFFF"/>
        <w:spacing w:before="0" w:beforeAutospacing="0" w:after="0" w:afterAutospacing="0"/>
        <w:jc w:val="both"/>
        <w:rPr>
          <w:rFonts w:cs="Segoe UI"/>
          <w:color w:val="191919"/>
          <w:bdr w:val="none" w:sz="0" w:space="0" w:color="auto" w:frame="1"/>
        </w:rPr>
      </w:pPr>
      <w:r w:rsidRPr="00B660AD">
        <w:rPr>
          <w:rFonts w:cs="Segoe UI"/>
          <w:color w:val="191919"/>
          <w:bdr w:val="none" w:sz="0" w:space="0" w:color="auto" w:frame="1"/>
        </w:rPr>
        <w:t>You may need special arrangements to meet your academic obligations during the term. For an accommodation request the processes are as follows:</w:t>
      </w:r>
    </w:p>
    <w:p w14:paraId="532C5CFA" w14:textId="77777777" w:rsidR="00B660AD" w:rsidRPr="00B660AD" w:rsidRDefault="00B660AD" w:rsidP="00B660AD">
      <w:pPr>
        <w:pStyle w:val="NormalWeb"/>
        <w:shd w:val="clear" w:color="auto" w:fill="FFFFFF"/>
        <w:spacing w:before="0" w:beforeAutospacing="0" w:after="0" w:afterAutospacing="0"/>
        <w:jc w:val="both"/>
        <w:rPr>
          <w:rFonts w:ascii="Segoe UI" w:hAnsi="Segoe UI" w:cs="Segoe UI"/>
          <w:color w:val="201F1E"/>
        </w:rPr>
      </w:pPr>
    </w:p>
    <w:p w14:paraId="433B456F" w14:textId="77777777" w:rsidR="00B660AD" w:rsidRDefault="00B660AD" w:rsidP="00B660AD">
      <w:pPr>
        <w:pStyle w:val="NormalWeb"/>
        <w:shd w:val="clear" w:color="auto" w:fill="FFFFFF"/>
        <w:spacing w:before="0" w:beforeAutospacing="0" w:after="0" w:afterAutospacing="0"/>
        <w:jc w:val="both"/>
        <w:rPr>
          <w:rFonts w:cs="Segoe UI"/>
          <w:color w:val="191919"/>
          <w:bdr w:val="none" w:sz="0" w:space="0" w:color="auto" w:frame="1"/>
        </w:rPr>
      </w:pPr>
      <w:r w:rsidRPr="00B660AD">
        <w:rPr>
          <w:rStyle w:val="Strong"/>
          <w:rFonts w:cs="Segoe UI"/>
          <w:color w:val="191919"/>
          <w:bdr w:val="none" w:sz="0" w:space="0" w:color="auto" w:frame="1"/>
        </w:rPr>
        <w:t>Pregnancy obligation</w:t>
      </w:r>
      <w:r w:rsidRPr="00B660AD">
        <w:rPr>
          <w:rFonts w:cs="Segoe UI"/>
          <w:color w:val="191919"/>
          <w:bdr w:val="none" w:sz="0" w:space="0" w:color="auto" w:frame="1"/>
        </w:rPr>
        <w:t>: write to me with any requests for academic accommodation during the first two weeks of class, or as soon as possible after the need for accommodation is known to exist. For accommodation regarding a formally-scheduled final exam, you must complete the Pregnancy Accommodation Form (</w:t>
      </w:r>
      <w:hyperlink r:id="rId60" w:tgtFrame="_blank" w:history="1">
        <w:r w:rsidRPr="00B660AD">
          <w:rPr>
            <w:rStyle w:val="Hyperlink"/>
            <w:rFonts w:cs="Segoe UI"/>
            <w:color w:val="CF112D"/>
            <w:u w:val="none"/>
            <w:bdr w:val="none" w:sz="0" w:space="0" w:color="auto" w:frame="1"/>
          </w:rPr>
          <w:t>click here</w:t>
        </w:r>
      </w:hyperlink>
      <w:r w:rsidRPr="00B660AD">
        <w:rPr>
          <w:rFonts w:cs="Segoe UI"/>
          <w:color w:val="191919"/>
          <w:bdr w:val="none" w:sz="0" w:space="0" w:color="auto" w:frame="1"/>
        </w:rPr>
        <w:t>).</w:t>
      </w:r>
    </w:p>
    <w:p w14:paraId="0635A5F5" w14:textId="77777777" w:rsidR="00B660AD" w:rsidRPr="00B660AD" w:rsidRDefault="00B660AD" w:rsidP="00B660AD">
      <w:pPr>
        <w:pStyle w:val="NormalWeb"/>
        <w:shd w:val="clear" w:color="auto" w:fill="FFFFFF"/>
        <w:spacing w:before="0" w:beforeAutospacing="0" w:after="0" w:afterAutospacing="0"/>
        <w:jc w:val="both"/>
        <w:rPr>
          <w:rFonts w:ascii="Segoe UI" w:hAnsi="Segoe UI" w:cs="Segoe UI"/>
          <w:color w:val="201F1E"/>
        </w:rPr>
      </w:pPr>
    </w:p>
    <w:p w14:paraId="53E3999A" w14:textId="77777777" w:rsidR="00B660AD" w:rsidRDefault="00B660AD" w:rsidP="00B660AD">
      <w:pPr>
        <w:pStyle w:val="NormalWeb"/>
        <w:shd w:val="clear" w:color="auto" w:fill="FFFFFF"/>
        <w:spacing w:before="0" w:beforeAutospacing="0" w:after="0" w:afterAutospacing="0"/>
        <w:jc w:val="both"/>
        <w:rPr>
          <w:rFonts w:cs="Segoe UI"/>
          <w:color w:val="191919"/>
          <w:bdr w:val="none" w:sz="0" w:space="0" w:color="auto" w:frame="1"/>
        </w:rPr>
      </w:pPr>
      <w:r w:rsidRPr="00B660AD">
        <w:rPr>
          <w:rStyle w:val="Strong"/>
          <w:rFonts w:cs="Segoe UI"/>
          <w:color w:val="191919"/>
          <w:bdr w:val="none" w:sz="0" w:space="0" w:color="auto" w:frame="1"/>
        </w:rPr>
        <w:t>Religious obligation:</w:t>
      </w:r>
      <w:r w:rsidRPr="00B660AD">
        <w:rPr>
          <w:rFonts w:cs="Segoe UI"/>
          <w:color w:val="191919"/>
          <w:bdr w:val="none" w:sz="0" w:space="0" w:color="auto" w:frame="1"/>
        </w:rPr>
        <w:t> write to me with any requests for academic accommodation during the first two weeks of class, or as soon as possible after the need for accommodation is known to exist. For more details </w:t>
      </w:r>
      <w:hyperlink r:id="rId61" w:tgtFrame="_blank" w:history="1">
        <w:r w:rsidRPr="00B660AD">
          <w:rPr>
            <w:rStyle w:val="Hyperlink"/>
            <w:rFonts w:cs="Segoe UI"/>
            <w:color w:val="CF112D"/>
            <w:u w:val="none"/>
            <w:bdr w:val="none" w:sz="0" w:space="0" w:color="auto" w:frame="1"/>
          </w:rPr>
          <w:t>click here</w:t>
        </w:r>
      </w:hyperlink>
      <w:r w:rsidRPr="00B660AD">
        <w:rPr>
          <w:rFonts w:cs="Segoe UI"/>
          <w:color w:val="191919"/>
          <w:bdr w:val="none" w:sz="0" w:space="0" w:color="auto" w:frame="1"/>
        </w:rPr>
        <w:t>.</w:t>
      </w:r>
    </w:p>
    <w:p w14:paraId="4ADFC92D" w14:textId="77777777" w:rsidR="00B660AD" w:rsidRPr="00B660AD" w:rsidRDefault="00B660AD" w:rsidP="00B660AD">
      <w:pPr>
        <w:pStyle w:val="NormalWeb"/>
        <w:shd w:val="clear" w:color="auto" w:fill="FFFFFF"/>
        <w:spacing w:before="0" w:beforeAutospacing="0" w:after="0" w:afterAutospacing="0"/>
        <w:jc w:val="both"/>
        <w:rPr>
          <w:rFonts w:ascii="Segoe UI" w:hAnsi="Segoe UI" w:cs="Segoe UI"/>
          <w:color w:val="201F1E"/>
        </w:rPr>
      </w:pPr>
    </w:p>
    <w:p w14:paraId="5D888076" w14:textId="77777777" w:rsidR="00B660AD" w:rsidRPr="00B660AD" w:rsidRDefault="00B660AD" w:rsidP="00B660AD">
      <w:pPr>
        <w:pStyle w:val="NormalWeb"/>
        <w:shd w:val="clear" w:color="auto" w:fill="FFFFFF"/>
        <w:spacing w:before="0" w:beforeAutospacing="0" w:after="0" w:afterAutospacing="0"/>
        <w:jc w:val="both"/>
        <w:rPr>
          <w:rFonts w:ascii="Segoe UI" w:hAnsi="Segoe UI" w:cs="Segoe UI"/>
          <w:color w:val="201F1E"/>
        </w:rPr>
      </w:pPr>
      <w:r w:rsidRPr="00B660AD">
        <w:rPr>
          <w:rStyle w:val="Strong"/>
          <w:rFonts w:cs="Segoe UI"/>
          <w:color w:val="191919"/>
          <w:bdr w:val="none" w:sz="0" w:space="0" w:color="auto" w:frame="1"/>
        </w:rPr>
        <w:t>Academic Accommodations for Students with Disabilities</w:t>
      </w:r>
      <w:r w:rsidRPr="00B660AD">
        <w:rPr>
          <w:rFonts w:cs="Segoe UI"/>
          <w:color w:val="191919"/>
          <w:bdr w:val="none" w:sz="0" w:space="0" w:color="auto" w:frame="1"/>
        </w:rPr>
        <w:t>: The Paul Menton Centre for Students with Disabilities (PMC) provides services to students with Learning Disabilities (LD), psychiatric/mental health disabilities, Attention Deficit Hyperactivity Disorder (ADHD), Autism Spectrum Disorders (ASD), chronic medical conditions, and impairments in mobility, hearing, and vision. If you have a disability requiring academic accommodations in this course, please contact PMC at 613-520-6608 or </w:t>
      </w:r>
      <w:hyperlink r:id="rId62" w:tgtFrame="_blank" w:history="1">
        <w:r w:rsidRPr="00B660AD">
          <w:rPr>
            <w:rStyle w:val="Hyperlink"/>
            <w:rFonts w:cs="Segoe UI"/>
            <w:color w:val="CF112D"/>
            <w:u w:val="none"/>
            <w:bdr w:val="none" w:sz="0" w:space="0" w:color="auto" w:frame="1"/>
          </w:rPr>
          <w:t>pmc@carleton.ca</w:t>
        </w:r>
      </w:hyperlink>
      <w:r w:rsidRPr="00B660AD">
        <w:rPr>
          <w:rFonts w:cs="Segoe UI"/>
          <w:color w:val="191919"/>
          <w:bdr w:val="none" w:sz="0" w:space="0" w:color="auto" w:frame="1"/>
        </w:rPr>
        <w:t> for a formal evaluation. If you are already registered with the PMC, contact your PMC coordinator to send me your Letter of Accommodation at the beginning of the term, and no later than two weeks before the first in-class scheduled test or exam requiring accommodation (if applicable). After requesting accommodation from PMC, meet with me to ensure accommodation arrangements are made. Please consult the PMC website for the deadline to request accommodations for the formally-scheduled exam (if applicable).</w:t>
      </w:r>
    </w:p>
    <w:p w14:paraId="28777543" w14:textId="77777777" w:rsidR="00B660AD" w:rsidRDefault="00B660AD" w:rsidP="00B660AD">
      <w:pPr>
        <w:pStyle w:val="NormalWeb"/>
        <w:shd w:val="clear" w:color="auto" w:fill="FFFFFF"/>
        <w:spacing w:before="0" w:beforeAutospacing="0" w:after="0" w:afterAutospacing="0"/>
        <w:jc w:val="both"/>
        <w:rPr>
          <w:rStyle w:val="Strong"/>
          <w:rFonts w:cs="Segoe UI"/>
          <w:color w:val="191919"/>
          <w:bdr w:val="none" w:sz="0" w:space="0" w:color="auto" w:frame="1"/>
        </w:rPr>
      </w:pPr>
    </w:p>
    <w:p w14:paraId="01323402" w14:textId="77777777" w:rsidR="00B660AD" w:rsidRDefault="00B660AD" w:rsidP="00B660AD">
      <w:pPr>
        <w:pStyle w:val="NormalWeb"/>
        <w:shd w:val="clear" w:color="auto" w:fill="FFFFFF"/>
        <w:spacing w:before="0" w:beforeAutospacing="0" w:after="0" w:afterAutospacing="0"/>
        <w:jc w:val="both"/>
        <w:rPr>
          <w:rStyle w:val="Strong"/>
          <w:rFonts w:cs="Segoe UI"/>
          <w:color w:val="191919"/>
          <w:bdr w:val="none" w:sz="0" w:space="0" w:color="auto" w:frame="1"/>
        </w:rPr>
      </w:pPr>
      <w:r>
        <w:rPr>
          <w:rStyle w:val="Strong"/>
          <w:rFonts w:cs="Segoe UI"/>
          <w:color w:val="191919"/>
          <w:bdr w:val="none" w:sz="0" w:space="0" w:color="auto" w:frame="1"/>
        </w:rPr>
        <w:t>Survivors of Sexual Violence</w:t>
      </w:r>
    </w:p>
    <w:p w14:paraId="2A8825F6" w14:textId="77777777" w:rsidR="00B660AD" w:rsidRDefault="00B660AD" w:rsidP="00B660AD">
      <w:pPr>
        <w:pStyle w:val="NormalWeb"/>
        <w:shd w:val="clear" w:color="auto" w:fill="FFFFFF"/>
        <w:spacing w:before="0" w:beforeAutospacing="0" w:after="0" w:afterAutospacing="0"/>
        <w:jc w:val="both"/>
        <w:rPr>
          <w:rStyle w:val="Strong"/>
          <w:rFonts w:cs="Segoe UI"/>
          <w:color w:val="191919"/>
          <w:bdr w:val="none" w:sz="0" w:space="0" w:color="auto" w:frame="1"/>
        </w:rPr>
      </w:pPr>
    </w:p>
    <w:p w14:paraId="58B50EB3" w14:textId="7E01EA58" w:rsidR="00B660AD" w:rsidRPr="00B660AD" w:rsidRDefault="00B660AD" w:rsidP="00B660AD">
      <w:pPr>
        <w:pStyle w:val="NormalWeb"/>
        <w:shd w:val="clear" w:color="auto" w:fill="FFFFFF"/>
        <w:spacing w:before="0" w:beforeAutospacing="0" w:after="0" w:afterAutospacing="0"/>
        <w:jc w:val="both"/>
        <w:rPr>
          <w:rFonts w:ascii="Segoe UI" w:hAnsi="Segoe UI" w:cs="Segoe UI"/>
          <w:color w:val="201F1E"/>
        </w:rPr>
      </w:pPr>
      <w:r w:rsidRPr="00B660AD">
        <w:rPr>
          <w:rFonts w:cs="Segoe UI"/>
          <w:color w:val="191919"/>
          <w:bdr w:val="none" w:sz="0" w:space="0" w:color="auto" w:frame="1"/>
        </w:rPr>
        <w:t>As a community, Carleton University is committed to maintaining a positive learning, working and living environment where sexual violence will not be tolerated, and where survivors are supported through academic accommodations as per Carleton’s Sexual Violence Policy. For more information about the services available at the university and to obtain information about sexual violence and/or support, visit: </w:t>
      </w:r>
      <w:hyperlink r:id="rId63" w:tgtFrame="_blank" w:history="1">
        <w:r w:rsidRPr="00B660AD">
          <w:rPr>
            <w:rStyle w:val="Hyperlink"/>
            <w:rFonts w:cs="Segoe UI"/>
            <w:color w:val="CF112D"/>
            <w:u w:val="none"/>
            <w:bdr w:val="none" w:sz="0" w:space="0" w:color="auto" w:frame="1"/>
          </w:rPr>
          <w:t>https://carleton.ca/equity/sexual-assault-support-services</w:t>
        </w:r>
      </w:hyperlink>
    </w:p>
    <w:p w14:paraId="09DA6110" w14:textId="77777777" w:rsidR="00B660AD" w:rsidRDefault="00B660AD" w:rsidP="00B660AD">
      <w:pPr>
        <w:pStyle w:val="NormalWeb"/>
        <w:shd w:val="clear" w:color="auto" w:fill="FFFFFF"/>
        <w:spacing w:before="0" w:beforeAutospacing="0" w:after="0" w:afterAutospacing="0"/>
        <w:jc w:val="both"/>
        <w:rPr>
          <w:rStyle w:val="Strong"/>
          <w:rFonts w:cs="Segoe UI"/>
          <w:color w:val="191919"/>
          <w:bdr w:val="none" w:sz="0" w:space="0" w:color="auto" w:frame="1"/>
        </w:rPr>
      </w:pPr>
    </w:p>
    <w:p w14:paraId="5D87AD53" w14:textId="6BD7ACD0" w:rsidR="00B660AD" w:rsidRDefault="00B660AD" w:rsidP="00B660AD">
      <w:pPr>
        <w:pStyle w:val="NormalWeb"/>
        <w:shd w:val="clear" w:color="auto" w:fill="FFFFFF"/>
        <w:spacing w:before="0" w:beforeAutospacing="0" w:after="0" w:afterAutospacing="0"/>
        <w:jc w:val="both"/>
        <w:rPr>
          <w:rStyle w:val="Strong"/>
          <w:rFonts w:cs="Segoe UI"/>
          <w:color w:val="191919"/>
          <w:bdr w:val="none" w:sz="0" w:space="0" w:color="auto" w:frame="1"/>
        </w:rPr>
      </w:pPr>
      <w:r>
        <w:rPr>
          <w:rStyle w:val="Strong"/>
          <w:rFonts w:cs="Segoe UI"/>
          <w:color w:val="191919"/>
          <w:bdr w:val="none" w:sz="0" w:space="0" w:color="auto" w:frame="1"/>
        </w:rPr>
        <w:t>Accommodation for Student Activities</w:t>
      </w:r>
    </w:p>
    <w:p w14:paraId="64B416B3" w14:textId="77777777" w:rsidR="00B660AD" w:rsidRDefault="00B660AD" w:rsidP="00B660AD">
      <w:pPr>
        <w:pStyle w:val="NormalWeb"/>
        <w:shd w:val="clear" w:color="auto" w:fill="FFFFFF"/>
        <w:spacing w:before="0" w:beforeAutospacing="0" w:after="0" w:afterAutospacing="0"/>
        <w:jc w:val="both"/>
        <w:rPr>
          <w:rStyle w:val="Strong"/>
          <w:rFonts w:cs="Segoe UI"/>
          <w:color w:val="191919"/>
          <w:bdr w:val="none" w:sz="0" w:space="0" w:color="auto" w:frame="1"/>
        </w:rPr>
      </w:pPr>
    </w:p>
    <w:p w14:paraId="3501CF15" w14:textId="39113892" w:rsidR="00B660AD" w:rsidRPr="00B660AD" w:rsidRDefault="00B660AD" w:rsidP="00B660AD">
      <w:pPr>
        <w:pStyle w:val="NormalWeb"/>
        <w:shd w:val="clear" w:color="auto" w:fill="FFFFFF"/>
        <w:spacing w:before="0" w:beforeAutospacing="0" w:after="0" w:afterAutospacing="0"/>
        <w:jc w:val="both"/>
        <w:rPr>
          <w:rFonts w:ascii="Segoe UI" w:hAnsi="Segoe UI" w:cs="Segoe UI"/>
          <w:color w:val="201F1E"/>
        </w:rPr>
      </w:pPr>
      <w:r w:rsidRPr="00B660AD">
        <w:rPr>
          <w:rFonts w:cs="Segoe UI"/>
          <w:color w:val="191919"/>
          <w:bdr w:val="none" w:sz="0" w:space="0" w:color="auto" w:frame="1"/>
        </w:rPr>
        <w:t>Carleton University recognizes the substantial benefits, both to the individual student and for the university, that result from a student participating in activities beyond the classroom experience. Reasonable accommodation will be provided to students who compete or perform at the national or international level. Write to me with any requests for academic accommodation during the first two weeks of class, or as soon as possible after the need for accommodation is known to exist. </w:t>
      </w:r>
      <w:hyperlink r:id="rId64" w:tgtFrame="_blank" w:history="1">
        <w:r w:rsidRPr="00B660AD">
          <w:rPr>
            <w:rStyle w:val="Hyperlink"/>
            <w:rFonts w:cs="Segoe UI"/>
            <w:color w:val="CF112D"/>
            <w:u w:val="none"/>
            <w:bdr w:val="none" w:sz="0" w:space="0" w:color="auto" w:frame="1"/>
          </w:rPr>
          <w:t>https://carleton.ca/senate/wp-content/uploads/Accommodation-for-Student-Activities-1.pdf</w:t>
        </w:r>
      </w:hyperlink>
    </w:p>
    <w:p w14:paraId="209283FF" w14:textId="77777777" w:rsidR="00B660AD" w:rsidRPr="006A1F39" w:rsidRDefault="00B660AD" w:rsidP="00902405">
      <w:pPr>
        <w:rPr>
          <w:b/>
          <w:bCs/>
        </w:rPr>
      </w:pPr>
    </w:p>
    <w:p w14:paraId="2615CC83" w14:textId="77777777" w:rsidR="00902405" w:rsidRPr="006A1F39" w:rsidRDefault="00902405" w:rsidP="00902405">
      <w:r w:rsidRPr="006A1F39">
        <w:rPr>
          <w:b/>
          <w:bCs/>
          <w:u w:val="single"/>
        </w:rPr>
        <w:t>Carleton E-mail Accounts</w:t>
      </w:r>
      <w:r w:rsidRPr="006A1F39">
        <w:rPr>
          <w:b/>
          <w:bCs/>
        </w:rPr>
        <w:t>:</w:t>
      </w:r>
      <w:r w:rsidRPr="006A1F39">
        <w:t xml:space="preserve"> All email communication to students from the Institute of European, Russian and Eurasian Studies will be via official Carleton university e-mail accounts and/or cuLearn. As important course and university information is distributed this way, it is the student’s responsibility to monitor their Carleton and cuLearn accounts. </w:t>
      </w:r>
    </w:p>
    <w:p w14:paraId="2D539615" w14:textId="77777777" w:rsidR="00902405" w:rsidRPr="006A1F39" w:rsidRDefault="00902405" w:rsidP="00902405"/>
    <w:p w14:paraId="7AB16AF5" w14:textId="77777777" w:rsidR="00902405" w:rsidRPr="006A1F39" w:rsidRDefault="00902405" w:rsidP="00902405">
      <w:pPr>
        <w:rPr>
          <w:bCs/>
        </w:rPr>
      </w:pPr>
      <w:r w:rsidRPr="006A1F39">
        <w:rPr>
          <w:b/>
          <w:u w:val="single"/>
        </w:rPr>
        <w:t>Official Course Outline</w:t>
      </w:r>
      <w:r w:rsidRPr="006A1F39">
        <w:rPr>
          <w:b/>
        </w:rPr>
        <w:t xml:space="preserve">: </w:t>
      </w:r>
      <w:r w:rsidRPr="006A1F39">
        <w:t>The course outline posted to EURUS website is the official course.</w:t>
      </w:r>
    </w:p>
    <w:p w14:paraId="03613637" w14:textId="77777777" w:rsidR="00513A8F" w:rsidRDefault="00513A8F" w:rsidP="00902405">
      <w:pPr>
        <w:rPr>
          <w:lang w:val="en-US"/>
        </w:rPr>
      </w:pPr>
    </w:p>
    <w:p w14:paraId="5993F9E2" w14:textId="77777777" w:rsidR="00B660AD" w:rsidRPr="006A1F39" w:rsidRDefault="00B660AD" w:rsidP="00902405">
      <w:pPr>
        <w:rPr>
          <w:lang w:val="en-US"/>
        </w:rPr>
      </w:pPr>
    </w:p>
    <w:sectPr w:rsidR="00B660AD" w:rsidRPr="006A1F39">
      <w:footerReference w:type="default" r:id="rId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D6C71" w14:textId="77777777" w:rsidR="00A5642D" w:rsidRDefault="00A5642D" w:rsidP="006A1F39">
      <w:r>
        <w:separator/>
      </w:r>
    </w:p>
  </w:endnote>
  <w:endnote w:type="continuationSeparator" w:id="0">
    <w:p w14:paraId="7F9F5AFA" w14:textId="77777777" w:rsidR="00A5642D" w:rsidRDefault="00A5642D" w:rsidP="006A1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panose1 w:val="00000000000000000000"/>
    <w:charset w:val="00"/>
    <w:family w:val="swiss"/>
    <w:notTrueType/>
    <w:pitch w:val="variable"/>
    <w:sig w:usb0="20000287" w:usb1="00000001" w:usb2="00000000" w:usb3="00000000" w:csb0="0000019F" w:csb1="00000000"/>
  </w:font>
  <w:font w:name="Segoe UI">
    <w:altName w:val="Courier New"/>
    <w:panose1 w:val="020B0502040204020203"/>
    <w:charset w:val="00"/>
    <w:family w:val="swiss"/>
    <w:pitch w:val="variable"/>
    <w:sig w:usb0="E10022FF" w:usb1="C000E47F" w:usb2="00000029" w:usb3="00000000" w:csb0="000001D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0310445"/>
      <w:docPartObj>
        <w:docPartGallery w:val="Page Numbers (Bottom of Page)"/>
        <w:docPartUnique/>
      </w:docPartObj>
    </w:sdtPr>
    <w:sdtEndPr>
      <w:rPr>
        <w:noProof/>
      </w:rPr>
    </w:sdtEndPr>
    <w:sdtContent>
      <w:p w14:paraId="13278DA9" w14:textId="77777777" w:rsidR="005841A5" w:rsidRDefault="005841A5">
        <w:pPr>
          <w:pStyle w:val="Footer"/>
          <w:jc w:val="center"/>
        </w:pPr>
        <w:r>
          <w:fldChar w:fldCharType="begin"/>
        </w:r>
        <w:r>
          <w:instrText xml:space="preserve"> PAGE   \* MERGEFORMAT </w:instrText>
        </w:r>
        <w:r>
          <w:fldChar w:fldCharType="separate"/>
        </w:r>
        <w:r w:rsidR="003F282F">
          <w:rPr>
            <w:noProof/>
          </w:rPr>
          <w:t>23</w:t>
        </w:r>
        <w:r>
          <w:rPr>
            <w:noProof/>
          </w:rPr>
          <w:fldChar w:fldCharType="end"/>
        </w:r>
      </w:p>
    </w:sdtContent>
  </w:sdt>
  <w:p w14:paraId="6F72414B" w14:textId="77777777" w:rsidR="005841A5" w:rsidRDefault="005841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570BE" w14:textId="77777777" w:rsidR="00A5642D" w:rsidRDefault="00A5642D" w:rsidP="006A1F39">
      <w:r>
        <w:separator/>
      </w:r>
    </w:p>
  </w:footnote>
  <w:footnote w:type="continuationSeparator" w:id="0">
    <w:p w14:paraId="790A6EED" w14:textId="77777777" w:rsidR="00A5642D" w:rsidRDefault="00A5642D" w:rsidP="006A1F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7564B"/>
    <w:multiLevelType w:val="hybridMultilevel"/>
    <w:tmpl w:val="4ACE47F8"/>
    <w:lvl w:ilvl="0" w:tplc="944A89CE">
      <w:start w:val="1"/>
      <w:numFmt w:val="upperLetter"/>
      <w:lvlText w:val="%1."/>
      <w:lvlJc w:val="left"/>
      <w:pPr>
        <w:ind w:left="360" w:hanging="360"/>
      </w:pPr>
      <w:rPr>
        <w:rFonts w:ascii="Helvetica" w:hAnsi="Helvetica" w:cs="Helvetica" w:hint="default"/>
        <w:color w:val="181817"/>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F57B0A"/>
    <w:multiLevelType w:val="hybridMultilevel"/>
    <w:tmpl w:val="9956F294"/>
    <w:lvl w:ilvl="0" w:tplc="B40E12DA">
      <w:numFmt w:val="bullet"/>
      <w:lvlText w:val="•"/>
      <w:lvlJc w:val="left"/>
      <w:pPr>
        <w:ind w:left="1080" w:hanging="72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6AB6EFF"/>
    <w:multiLevelType w:val="hybridMultilevel"/>
    <w:tmpl w:val="8738E8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40E46"/>
    <w:multiLevelType w:val="hybridMultilevel"/>
    <w:tmpl w:val="98BE2B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1C559AA"/>
    <w:multiLevelType w:val="hybridMultilevel"/>
    <w:tmpl w:val="AAA05738"/>
    <w:lvl w:ilvl="0" w:tplc="FFFFFFFF">
      <w:start w:val="1"/>
      <w:numFmt w:val="bullet"/>
      <w:lvlText w:val="o"/>
      <w:lvlJc w:val="left"/>
      <w:pPr>
        <w:tabs>
          <w:tab w:val="num" w:pos="720"/>
        </w:tabs>
        <w:ind w:left="720" w:hanging="360"/>
      </w:pPr>
      <w:rPr>
        <w:rFonts w:ascii="Courier New" w:hAnsi="Courier New" w:cs="Courier New"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FE4C63"/>
    <w:multiLevelType w:val="hybridMultilevel"/>
    <w:tmpl w:val="8848AC74"/>
    <w:lvl w:ilvl="0" w:tplc="8BE8CEE4">
      <w:start w:val="1"/>
      <w:numFmt w:val="lowerLetter"/>
      <w:lvlText w:val="%1)"/>
      <w:lvlJc w:val="left"/>
      <w:pPr>
        <w:ind w:left="1428" w:hanging="360"/>
      </w:pPr>
      <w:rPr>
        <w:rFonts w:hint="default"/>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6" w15:restartNumberingAfterBreak="0">
    <w:nsid w:val="14900BE4"/>
    <w:multiLevelType w:val="hybridMultilevel"/>
    <w:tmpl w:val="D3064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BA6239"/>
    <w:multiLevelType w:val="hybridMultilevel"/>
    <w:tmpl w:val="C6DA4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2D03E9"/>
    <w:multiLevelType w:val="hybridMultilevel"/>
    <w:tmpl w:val="40B6060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A50793F"/>
    <w:multiLevelType w:val="hybridMultilevel"/>
    <w:tmpl w:val="F1E09FEE"/>
    <w:lvl w:ilvl="0" w:tplc="B40E12DA">
      <w:numFmt w:val="bullet"/>
      <w:lvlText w:val="•"/>
      <w:lvlJc w:val="left"/>
      <w:pPr>
        <w:ind w:left="1080" w:hanging="72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E095A9C"/>
    <w:multiLevelType w:val="hybridMultilevel"/>
    <w:tmpl w:val="97A061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EC87A66"/>
    <w:multiLevelType w:val="hybridMultilevel"/>
    <w:tmpl w:val="C7DCB532"/>
    <w:lvl w:ilvl="0" w:tplc="B40E12DA">
      <w:numFmt w:val="bullet"/>
      <w:lvlText w:val="•"/>
      <w:lvlJc w:val="left"/>
      <w:pPr>
        <w:ind w:left="1080" w:hanging="72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0AD1A0C"/>
    <w:multiLevelType w:val="hybridMultilevel"/>
    <w:tmpl w:val="3D543214"/>
    <w:lvl w:ilvl="0" w:tplc="B40E12DA">
      <w:numFmt w:val="bullet"/>
      <w:lvlText w:val="•"/>
      <w:lvlJc w:val="left"/>
      <w:pPr>
        <w:ind w:left="1080" w:hanging="72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63B3697"/>
    <w:multiLevelType w:val="hybridMultilevel"/>
    <w:tmpl w:val="CB08B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060D53"/>
    <w:multiLevelType w:val="hybridMultilevel"/>
    <w:tmpl w:val="BFA6EC36"/>
    <w:lvl w:ilvl="0" w:tplc="B40E12DA">
      <w:numFmt w:val="bullet"/>
      <w:lvlText w:val="•"/>
      <w:lvlJc w:val="left"/>
      <w:pPr>
        <w:ind w:left="1080" w:hanging="72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B270B6B"/>
    <w:multiLevelType w:val="hybridMultilevel"/>
    <w:tmpl w:val="7F648E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BD51E60"/>
    <w:multiLevelType w:val="hybridMultilevel"/>
    <w:tmpl w:val="1A824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AC5836"/>
    <w:multiLevelType w:val="hybridMultilevel"/>
    <w:tmpl w:val="C98228DE"/>
    <w:lvl w:ilvl="0" w:tplc="0409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0B812CE"/>
    <w:multiLevelType w:val="hybridMultilevel"/>
    <w:tmpl w:val="2410ED06"/>
    <w:lvl w:ilvl="0" w:tplc="0409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7F12900"/>
    <w:multiLevelType w:val="hybridMultilevel"/>
    <w:tmpl w:val="27E4A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27108C"/>
    <w:multiLevelType w:val="multilevel"/>
    <w:tmpl w:val="197C2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F454FD3"/>
    <w:multiLevelType w:val="hybridMultilevel"/>
    <w:tmpl w:val="14C88D40"/>
    <w:lvl w:ilvl="0" w:tplc="B40E12DA">
      <w:numFmt w:val="bullet"/>
      <w:lvlText w:val="•"/>
      <w:lvlJc w:val="left"/>
      <w:pPr>
        <w:ind w:left="1080" w:hanging="72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31C0664"/>
    <w:multiLevelType w:val="hybridMultilevel"/>
    <w:tmpl w:val="B8C602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5926DBD"/>
    <w:multiLevelType w:val="hybridMultilevel"/>
    <w:tmpl w:val="53CC105E"/>
    <w:lvl w:ilvl="0" w:tplc="B40E12DA">
      <w:numFmt w:val="bullet"/>
      <w:lvlText w:val="•"/>
      <w:lvlJc w:val="left"/>
      <w:pPr>
        <w:ind w:left="1080" w:hanging="72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5E66D31"/>
    <w:multiLevelType w:val="hybridMultilevel"/>
    <w:tmpl w:val="60D4F9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61F6ED2"/>
    <w:multiLevelType w:val="hybridMultilevel"/>
    <w:tmpl w:val="8F089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6B571F"/>
    <w:multiLevelType w:val="hybridMultilevel"/>
    <w:tmpl w:val="011AAD98"/>
    <w:lvl w:ilvl="0" w:tplc="71600C16">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34D1389"/>
    <w:multiLevelType w:val="hybridMultilevel"/>
    <w:tmpl w:val="3816FC58"/>
    <w:lvl w:ilvl="0" w:tplc="7682DBAA">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40374E2"/>
    <w:multiLevelType w:val="hybridMultilevel"/>
    <w:tmpl w:val="BE5EB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611DAE"/>
    <w:multiLevelType w:val="hybridMultilevel"/>
    <w:tmpl w:val="01428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F50E83"/>
    <w:multiLevelType w:val="hybridMultilevel"/>
    <w:tmpl w:val="D536F7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CB8632F"/>
    <w:multiLevelType w:val="hybridMultilevel"/>
    <w:tmpl w:val="D91A59DA"/>
    <w:lvl w:ilvl="0" w:tplc="05E21234">
      <w:start w:val="1"/>
      <w:numFmt w:val="lowerLetter"/>
      <w:lvlText w:val="%1)"/>
      <w:lvlJc w:val="left"/>
      <w:pPr>
        <w:ind w:left="1068" w:hanging="360"/>
      </w:pPr>
      <w:rPr>
        <w:rFonts w:hint="default"/>
        <w:b/>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num w:numId="1">
    <w:abstractNumId w:val="26"/>
  </w:num>
  <w:num w:numId="2">
    <w:abstractNumId w:val="17"/>
  </w:num>
  <w:num w:numId="3">
    <w:abstractNumId w:val="18"/>
  </w:num>
  <w:num w:numId="4">
    <w:abstractNumId w:val="4"/>
  </w:num>
  <w:num w:numId="5">
    <w:abstractNumId w:val="27"/>
  </w:num>
  <w:num w:numId="6">
    <w:abstractNumId w:val="31"/>
  </w:num>
  <w:num w:numId="7">
    <w:abstractNumId w:val="5"/>
  </w:num>
  <w:num w:numId="8">
    <w:abstractNumId w:val="3"/>
  </w:num>
  <w:num w:numId="9">
    <w:abstractNumId w:val="15"/>
  </w:num>
  <w:num w:numId="10">
    <w:abstractNumId w:val="30"/>
  </w:num>
  <w:num w:numId="11">
    <w:abstractNumId w:val="1"/>
  </w:num>
  <w:num w:numId="12">
    <w:abstractNumId w:val="14"/>
  </w:num>
  <w:num w:numId="13">
    <w:abstractNumId w:val="12"/>
  </w:num>
  <w:num w:numId="14">
    <w:abstractNumId w:val="23"/>
  </w:num>
  <w:num w:numId="15">
    <w:abstractNumId w:val="11"/>
  </w:num>
  <w:num w:numId="16">
    <w:abstractNumId w:val="21"/>
  </w:num>
  <w:num w:numId="17">
    <w:abstractNumId w:val="9"/>
  </w:num>
  <w:num w:numId="18">
    <w:abstractNumId w:val="10"/>
  </w:num>
  <w:num w:numId="19">
    <w:abstractNumId w:val="19"/>
  </w:num>
  <w:num w:numId="20">
    <w:abstractNumId w:val="16"/>
  </w:num>
  <w:num w:numId="21">
    <w:abstractNumId w:val="13"/>
  </w:num>
  <w:num w:numId="22">
    <w:abstractNumId w:val="7"/>
  </w:num>
  <w:num w:numId="23">
    <w:abstractNumId w:val="29"/>
  </w:num>
  <w:num w:numId="24">
    <w:abstractNumId w:val="8"/>
  </w:num>
  <w:num w:numId="25">
    <w:abstractNumId w:val="6"/>
  </w:num>
  <w:num w:numId="26">
    <w:abstractNumId w:val="24"/>
  </w:num>
  <w:num w:numId="27">
    <w:abstractNumId w:val="0"/>
  </w:num>
  <w:num w:numId="28">
    <w:abstractNumId w:val="28"/>
  </w:num>
  <w:num w:numId="29">
    <w:abstractNumId w:val="2"/>
  </w:num>
  <w:num w:numId="30">
    <w:abstractNumId w:val="25"/>
  </w:num>
  <w:num w:numId="31">
    <w:abstractNumId w:val="22"/>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858"/>
    <w:rsid w:val="00033E37"/>
    <w:rsid w:val="00036A4B"/>
    <w:rsid w:val="00036D55"/>
    <w:rsid w:val="00037C6E"/>
    <w:rsid w:val="00046260"/>
    <w:rsid w:val="00083FF6"/>
    <w:rsid w:val="00097933"/>
    <w:rsid w:val="000D2AD3"/>
    <w:rsid w:val="000D3416"/>
    <w:rsid w:val="000D3AF6"/>
    <w:rsid w:val="000D4864"/>
    <w:rsid w:val="000E1310"/>
    <w:rsid w:val="000E7B5B"/>
    <w:rsid w:val="000F6D91"/>
    <w:rsid w:val="0010321B"/>
    <w:rsid w:val="0011697F"/>
    <w:rsid w:val="00122A52"/>
    <w:rsid w:val="00123A9A"/>
    <w:rsid w:val="00136D02"/>
    <w:rsid w:val="00144433"/>
    <w:rsid w:val="00145F17"/>
    <w:rsid w:val="00146A49"/>
    <w:rsid w:val="00152259"/>
    <w:rsid w:val="00190DC0"/>
    <w:rsid w:val="0019544E"/>
    <w:rsid w:val="0019569C"/>
    <w:rsid w:val="001A0FAC"/>
    <w:rsid w:val="001B1526"/>
    <w:rsid w:val="001B2E79"/>
    <w:rsid w:val="001B6212"/>
    <w:rsid w:val="001B7571"/>
    <w:rsid w:val="001C010A"/>
    <w:rsid w:val="001E3815"/>
    <w:rsid w:val="001E7990"/>
    <w:rsid w:val="001F0259"/>
    <w:rsid w:val="001F74F2"/>
    <w:rsid w:val="00201C58"/>
    <w:rsid w:val="002117DC"/>
    <w:rsid w:val="00215500"/>
    <w:rsid w:val="00221D65"/>
    <w:rsid w:val="00226E8D"/>
    <w:rsid w:val="00234B09"/>
    <w:rsid w:val="00246BB9"/>
    <w:rsid w:val="00254330"/>
    <w:rsid w:val="0026683B"/>
    <w:rsid w:val="00287B75"/>
    <w:rsid w:val="00290454"/>
    <w:rsid w:val="002A1975"/>
    <w:rsid w:val="002A7C31"/>
    <w:rsid w:val="002B7858"/>
    <w:rsid w:val="002C5BBC"/>
    <w:rsid w:val="002C78DC"/>
    <w:rsid w:val="002C7EC1"/>
    <w:rsid w:val="002D1E02"/>
    <w:rsid w:val="002E5631"/>
    <w:rsid w:val="00301326"/>
    <w:rsid w:val="00304BE7"/>
    <w:rsid w:val="00304EAE"/>
    <w:rsid w:val="00307C06"/>
    <w:rsid w:val="003174E2"/>
    <w:rsid w:val="00327F09"/>
    <w:rsid w:val="003444D5"/>
    <w:rsid w:val="00352E7B"/>
    <w:rsid w:val="00365F48"/>
    <w:rsid w:val="003A50A3"/>
    <w:rsid w:val="003D3A91"/>
    <w:rsid w:val="003D5CCA"/>
    <w:rsid w:val="003F282F"/>
    <w:rsid w:val="00421D24"/>
    <w:rsid w:val="0043674F"/>
    <w:rsid w:val="0044589B"/>
    <w:rsid w:val="00452E53"/>
    <w:rsid w:val="00455830"/>
    <w:rsid w:val="00472549"/>
    <w:rsid w:val="00475765"/>
    <w:rsid w:val="00477ACD"/>
    <w:rsid w:val="00482D72"/>
    <w:rsid w:val="004C3A73"/>
    <w:rsid w:val="004D3AAB"/>
    <w:rsid w:val="004F046C"/>
    <w:rsid w:val="004F10F0"/>
    <w:rsid w:val="004F32A8"/>
    <w:rsid w:val="004F4034"/>
    <w:rsid w:val="004F55BE"/>
    <w:rsid w:val="005024B4"/>
    <w:rsid w:val="005047BB"/>
    <w:rsid w:val="00513A8F"/>
    <w:rsid w:val="0051620D"/>
    <w:rsid w:val="00533F5A"/>
    <w:rsid w:val="00556A8E"/>
    <w:rsid w:val="00557157"/>
    <w:rsid w:val="00581E94"/>
    <w:rsid w:val="005834CE"/>
    <w:rsid w:val="005841A5"/>
    <w:rsid w:val="00593397"/>
    <w:rsid w:val="00593518"/>
    <w:rsid w:val="005A3C9A"/>
    <w:rsid w:val="005F6F46"/>
    <w:rsid w:val="0060078F"/>
    <w:rsid w:val="006043B5"/>
    <w:rsid w:val="00604F27"/>
    <w:rsid w:val="006064D6"/>
    <w:rsid w:val="00606637"/>
    <w:rsid w:val="00617E1A"/>
    <w:rsid w:val="00622C26"/>
    <w:rsid w:val="0063208F"/>
    <w:rsid w:val="00636E84"/>
    <w:rsid w:val="00637872"/>
    <w:rsid w:val="006405D1"/>
    <w:rsid w:val="006566B5"/>
    <w:rsid w:val="00660315"/>
    <w:rsid w:val="0066158C"/>
    <w:rsid w:val="00664D21"/>
    <w:rsid w:val="0066560F"/>
    <w:rsid w:val="006671AA"/>
    <w:rsid w:val="00667328"/>
    <w:rsid w:val="00667C11"/>
    <w:rsid w:val="00671605"/>
    <w:rsid w:val="006A1F39"/>
    <w:rsid w:val="006B7344"/>
    <w:rsid w:val="006C264B"/>
    <w:rsid w:val="006C48B3"/>
    <w:rsid w:val="006C589D"/>
    <w:rsid w:val="006D501C"/>
    <w:rsid w:val="006D7034"/>
    <w:rsid w:val="006D74B1"/>
    <w:rsid w:val="006E3F4E"/>
    <w:rsid w:val="006E7780"/>
    <w:rsid w:val="006F0DFF"/>
    <w:rsid w:val="00700C59"/>
    <w:rsid w:val="007042E2"/>
    <w:rsid w:val="00704958"/>
    <w:rsid w:val="007121B8"/>
    <w:rsid w:val="00734340"/>
    <w:rsid w:val="0074207B"/>
    <w:rsid w:val="007435DA"/>
    <w:rsid w:val="007453A3"/>
    <w:rsid w:val="00752A85"/>
    <w:rsid w:val="007562CA"/>
    <w:rsid w:val="00756920"/>
    <w:rsid w:val="007674A9"/>
    <w:rsid w:val="00783623"/>
    <w:rsid w:val="007839D2"/>
    <w:rsid w:val="00786AF2"/>
    <w:rsid w:val="0079325B"/>
    <w:rsid w:val="007A6B08"/>
    <w:rsid w:val="007C38EF"/>
    <w:rsid w:val="007D241D"/>
    <w:rsid w:val="007E397E"/>
    <w:rsid w:val="007E3A07"/>
    <w:rsid w:val="007E68CB"/>
    <w:rsid w:val="007F1547"/>
    <w:rsid w:val="007F3470"/>
    <w:rsid w:val="0084096D"/>
    <w:rsid w:val="00841F20"/>
    <w:rsid w:val="00856671"/>
    <w:rsid w:val="00862897"/>
    <w:rsid w:val="008871FE"/>
    <w:rsid w:val="00892A3A"/>
    <w:rsid w:val="0089624B"/>
    <w:rsid w:val="008A27A7"/>
    <w:rsid w:val="008A6B3A"/>
    <w:rsid w:val="008A7560"/>
    <w:rsid w:val="008C149B"/>
    <w:rsid w:val="008C1EF5"/>
    <w:rsid w:val="008D20F2"/>
    <w:rsid w:val="008D5637"/>
    <w:rsid w:val="008E00B6"/>
    <w:rsid w:val="008E1EA9"/>
    <w:rsid w:val="00902405"/>
    <w:rsid w:val="00911611"/>
    <w:rsid w:val="00915D85"/>
    <w:rsid w:val="00931215"/>
    <w:rsid w:val="00941108"/>
    <w:rsid w:val="0097075E"/>
    <w:rsid w:val="00971AC2"/>
    <w:rsid w:val="00993286"/>
    <w:rsid w:val="009A1E80"/>
    <w:rsid w:val="009B383B"/>
    <w:rsid w:val="009B3B94"/>
    <w:rsid w:val="009C157F"/>
    <w:rsid w:val="009D5AAE"/>
    <w:rsid w:val="009E0EC6"/>
    <w:rsid w:val="009E0FB8"/>
    <w:rsid w:val="00A017EE"/>
    <w:rsid w:val="00A2147F"/>
    <w:rsid w:val="00A21B2A"/>
    <w:rsid w:val="00A36C33"/>
    <w:rsid w:val="00A43FF9"/>
    <w:rsid w:val="00A5642D"/>
    <w:rsid w:val="00A81746"/>
    <w:rsid w:val="00AA18D3"/>
    <w:rsid w:val="00AA63BC"/>
    <w:rsid w:val="00AA7A43"/>
    <w:rsid w:val="00AC4CEB"/>
    <w:rsid w:val="00AD3F6B"/>
    <w:rsid w:val="00AE1760"/>
    <w:rsid w:val="00AE5AC9"/>
    <w:rsid w:val="00AE5FBE"/>
    <w:rsid w:val="00AF13E2"/>
    <w:rsid w:val="00B05BBC"/>
    <w:rsid w:val="00B0646B"/>
    <w:rsid w:val="00B06573"/>
    <w:rsid w:val="00B0769B"/>
    <w:rsid w:val="00B13161"/>
    <w:rsid w:val="00B229DA"/>
    <w:rsid w:val="00B31B55"/>
    <w:rsid w:val="00B63715"/>
    <w:rsid w:val="00B65996"/>
    <w:rsid w:val="00B660AD"/>
    <w:rsid w:val="00B71698"/>
    <w:rsid w:val="00B725C7"/>
    <w:rsid w:val="00B82BB8"/>
    <w:rsid w:val="00BB3DB9"/>
    <w:rsid w:val="00BB5CCE"/>
    <w:rsid w:val="00BB7133"/>
    <w:rsid w:val="00BD03A4"/>
    <w:rsid w:val="00BF112A"/>
    <w:rsid w:val="00BF305D"/>
    <w:rsid w:val="00BF62A9"/>
    <w:rsid w:val="00C0659F"/>
    <w:rsid w:val="00C107C4"/>
    <w:rsid w:val="00C17658"/>
    <w:rsid w:val="00C37E9A"/>
    <w:rsid w:val="00C42F9C"/>
    <w:rsid w:val="00C63F30"/>
    <w:rsid w:val="00CA4FBE"/>
    <w:rsid w:val="00CC25F2"/>
    <w:rsid w:val="00CC2AF5"/>
    <w:rsid w:val="00CE38E3"/>
    <w:rsid w:val="00CF325D"/>
    <w:rsid w:val="00CF6EB8"/>
    <w:rsid w:val="00D14471"/>
    <w:rsid w:val="00D3106F"/>
    <w:rsid w:val="00D35486"/>
    <w:rsid w:val="00D370A6"/>
    <w:rsid w:val="00D421B5"/>
    <w:rsid w:val="00D5794C"/>
    <w:rsid w:val="00D616F5"/>
    <w:rsid w:val="00D7385F"/>
    <w:rsid w:val="00D74DDC"/>
    <w:rsid w:val="00D76CBC"/>
    <w:rsid w:val="00DA2EB7"/>
    <w:rsid w:val="00DA4922"/>
    <w:rsid w:val="00DC48E7"/>
    <w:rsid w:val="00DC7611"/>
    <w:rsid w:val="00DD4C9D"/>
    <w:rsid w:val="00DE3918"/>
    <w:rsid w:val="00DE5A02"/>
    <w:rsid w:val="00DF4F89"/>
    <w:rsid w:val="00E30FF3"/>
    <w:rsid w:val="00E46ECF"/>
    <w:rsid w:val="00E502DD"/>
    <w:rsid w:val="00E50685"/>
    <w:rsid w:val="00E603AA"/>
    <w:rsid w:val="00E637DC"/>
    <w:rsid w:val="00E63F6C"/>
    <w:rsid w:val="00E65CF6"/>
    <w:rsid w:val="00E753B8"/>
    <w:rsid w:val="00E836F7"/>
    <w:rsid w:val="00E921D2"/>
    <w:rsid w:val="00EA3308"/>
    <w:rsid w:val="00EA37E1"/>
    <w:rsid w:val="00EB3CAD"/>
    <w:rsid w:val="00EC0A08"/>
    <w:rsid w:val="00EE4DCA"/>
    <w:rsid w:val="00EF0E17"/>
    <w:rsid w:val="00F0521F"/>
    <w:rsid w:val="00F14A7B"/>
    <w:rsid w:val="00F15123"/>
    <w:rsid w:val="00F16314"/>
    <w:rsid w:val="00F221A7"/>
    <w:rsid w:val="00F42974"/>
    <w:rsid w:val="00F43F06"/>
    <w:rsid w:val="00F519CB"/>
    <w:rsid w:val="00F61EE8"/>
    <w:rsid w:val="00F66ECB"/>
    <w:rsid w:val="00F77993"/>
    <w:rsid w:val="00F8769C"/>
    <w:rsid w:val="00F91573"/>
    <w:rsid w:val="00FB49BD"/>
    <w:rsid w:val="00FC3A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E392A8"/>
  <w15:docId w15:val="{09CCB998-26EA-45BB-81BE-9FDF81459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858"/>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4F10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4F10F0"/>
    <w:pPr>
      <w:spacing w:before="100" w:beforeAutospacing="1" w:after="100" w:afterAutospacing="1"/>
      <w:outlineLvl w:val="1"/>
    </w:pPr>
    <w:rPr>
      <w:b/>
      <w:bCs/>
      <w:sz w:val="36"/>
      <w:szCs w:val="36"/>
      <w:lang w:val="en-US" w:eastAsia="en-US"/>
    </w:rPr>
  </w:style>
  <w:style w:type="paragraph" w:styleId="Heading3">
    <w:name w:val="heading 3"/>
    <w:basedOn w:val="Normal"/>
    <w:next w:val="Normal"/>
    <w:link w:val="Heading3Char"/>
    <w:uiPriority w:val="9"/>
    <w:unhideWhenUsed/>
    <w:qFormat/>
    <w:rsid w:val="007F154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B7858"/>
    <w:pPr>
      <w:autoSpaceDE w:val="0"/>
      <w:autoSpaceDN w:val="0"/>
      <w:adjustRightInd w:val="0"/>
      <w:spacing w:after="0" w:line="240" w:lineRule="auto"/>
    </w:pPr>
    <w:rPr>
      <w:rFonts w:ascii="Myriad Pro" w:eastAsia="Times New Roman" w:hAnsi="Myriad Pro" w:cs="Myriad Pro"/>
      <w:color w:val="000000"/>
      <w:sz w:val="24"/>
      <w:szCs w:val="24"/>
      <w:lang w:val="en-GB" w:eastAsia="en-GB"/>
    </w:rPr>
  </w:style>
  <w:style w:type="paragraph" w:styleId="ListParagraph">
    <w:name w:val="List Paragraph"/>
    <w:basedOn w:val="Normal"/>
    <w:uiPriority w:val="34"/>
    <w:qFormat/>
    <w:rsid w:val="002B7858"/>
    <w:pPr>
      <w:ind w:left="720"/>
    </w:pPr>
  </w:style>
  <w:style w:type="character" w:styleId="Hyperlink">
    <w:name w:val="Hyperlink"/>
    <w:rsid w:val="002B7858"/>
    <w:rPr>
      <w:color w:val="0000FF"/>
      <w:u w:val="single"/>
    </w:rPr>
  </w:style>
  <w:style w:type="paragraph" w:styleId="BalloonText">
    <w:name w:val="Balloon Text"/>
    <w:basedOn w:val="Normal"/>
    <w:link w:val="BalloonTextChar"/>
    <w:uiPriority w:val="99"/>
    <w:semiHidden/>
    <w:unhideWhenUsed/>
    <w:rsid w:val="00B716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1698"/>
    <w:rPr>
      <w:rFonts w:ascii="Segoe UI" w:eastAsia="Times New Roman" w:hAnsi="Segoe UI" w:cs="Segoe UI"/>
      <w:sz w:val="18"/>
      <w:szCs w:val="18"/>
      <w:lang w:val="en-GB" w:eastAsia="en-GB"/>
    </w:rPr>
  </w:style>
  <w:style w:type="character" w:styleId="CommentReference">
    <w:name w:val="annotation reference"/>
    <w:basedOn w:val="DefaultParagraphFont"/>
    <w:uiPriority w:val="99"/>
    <w:semiHidden/>
    <w:unhideWhenUsed/>
    <w:rsid w:val="00704958"/>
    <w:rPr>
      <w:sz w:val="16"/>
      <w:szCs w:val="16"/>
    </w:rPr>
  </w:style>
  <w:style w:type="paragraph" w:styleId="CommentText">
    <w:name w:val="annotation text"/>
    <w:basedOn w:val="Normal"/>
    <w:link w:val="CommentTextChar"/>
    <w:uiPriority w:val="99"/>
    <w:semiHidden/>
    <w:unhideWhenUsed/>
    <w:rsid w:val="00704958"/>
    <w:rPr>
      <w:sz w:val="20"/>
      <w:szCs w:val="20"/>
    </w:rPr>
  </w:style>
  <w:style w:type="character" w:customStyle="1" w:styleId="CommentTextChar">
    <w:name w:val="Comment Text Char"/>
    <w:basedOn w:val="DefaultParagraphFont"/>
    <w:link w:val="CommentText"/>
    <w:uiPriority w:val="99"/>
    <w:semiHidden/>
    <w:rsid w:val="00704958"/>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704958"/>
    <w:rPr>
      <w:b/>
      <w:bCs/>
    </w:rPr>
  </w:style>
  <w:style w:type="character" w:customStyle="1" w:styleId="CommentSubjectChar">
    <w:name w:val="Comment Subject Char"/>
    <w:basedOn w:val="CommentTextChar"/>
    <w:link w:val="CommentSubject"/>
    <w:uiPriority w:val="99"/>
    <w:semiHidden/>
    <w:rsid w:val="00704958"/>
    <w:rPr>
      <w:rFonts w:ascii="Times New Roman" w:eastAsia="Times New Roman" w:hAnsi="Times New Roman" w:cs="Times New Roman"/>
      <w:b/>
      <w:bCs/>
      <w:sz w:val="20"/>
      <w:szCs w:val="20"/>
      <w:lang w:val="en-GB" w:eastAsia="en-GB"/>
    </w:rPr>
  </w:style>
  <w:style w:type="character" w:customStyle="1" w:styleId="Heading2Char">
    <w:name w:val="Heading 2 Char"/>
    <w:basedOn w:val="DefaultParagraphFont"/>
    <w:link w:val="Heading2"/>
    <w:uiPriority w:val="9"/>
    <w:rsid w:val="004F10F0"/>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4F10F0"/>
    <w:rPr>
      <w:rFonts w:asciiTheme="majorHAnsi" w:eastAsiaTheme="majorEastAsia" w:hAnsiTheme="majorHAnsi" w:cstheme="majorBidi"/>
      <w:b/>
      <w:bCs/>
      <w:color w:val="365F91" w:themeColor="accent1" w:themeShade="BF"/>
      <w:sz w:val="28"/>
      <w:szCs w:val="28"/>
      <w:lang w:val="en-GB" w:eastAsia="en-GB"/>
    </w:rPr>
  </w:style>
  <w:style w:type="character" w:styleId="Strong">
    <w:name w:val="Strong"/>
    <w:basedOn w:val="DefaultParagraphFont"/>
    <w:uiPriority w:val="22"/>
    <w:qFormat/>
    <w:rsid w:val="00421D24"/>
    <w:rPr>
      <w:b/>
      <w:bCs/>
    </w:rPr>
  </w:style>
  <w:style w:type="character" w:customStyle="1" w:styleId="Heading3Char">
    <w:name w:val="Heading 3 Char"/>
    <w:basedOn w:val="DefaultParagraphFont"/>
    <w:link w:val="Heading3"/>
    <w:uiPriority w:val="9"/>
    <w:rsid w:val="007F1547"/>
    <w:rPr>
      <w:rFonts w:asciiTheme="majorHAnsi" w:eastAsiaTheme="majorEastAsia" w:hAnsiTheme="majorHAnsi" w:cstheme="majorBidi"/>
      <w:b/>
      <w:bCs/>
      <w:color w:val="4F81BD" w:themeColor="accent1"/>
      <w:sz w:val="24"/>
      <w:szCs w:val="24"/>
      <w:lang w:val="en-GB" w:eastAsia="en-GB"/>
    </w:rPr>
  </w:style>
  <w:style w:type="character" w:styleId="Emphasis">
    <w:name w:val="Emphasis"/>
    <w:basedOn w:val="DefaultParagraphFont"/>
    <w:uiPriority w:val="20"/>
    <w:qFormat/>
    <w:rsid w:val="007F1547"/>
    <w:rPr>
      <w:i/>
      <w:iCs/>
    </w:rPr>
  </w:style>
  <w:style w:type="character" w:customStyle="1" w:styleId="hidden">
    <w:name w:val="hidden"/>
    <w:basedOn w:val="DefaultParagraphFont"/>
    <w:rsid w:val="007F1547"/>
  </w:style>
  <w:style w:type="paragraph" w:customStyle="1" w:styleId="Caption1">
    <w:name w:val="Caption1"/>
    <w:basedOn w:val="Normal"/>
    <w:rsid w:val="007F1547"/>
    <w:pPr>
      <w:spacing w:before="100" w:beforeAutospacing="1" w:after="100" w:afterAutospacing="1"/>
    </w:pPr>
    <w:rPr>
      <w:lang w:val="en-US" w:eastAsia="en-US"/>
    </w:rPr>
  </w:style>
  <w:style w:type="character" w:customStyle="1" w:styleId="authors">
    <w:name w:val="authors"/>
    <w:basedOn w:val="DefaultParagraphFont"/>
    <w:rsid w:val="00B05BBC"/>
  </w:style>
  <w:style w:type="character" w:customStyle="1" w:styleId="Date1">
    <w:name w:val="Date1"/>
    <w:basedOn w:val="DefaultParagraphFont"/>
    <w:rsid w:val="00B05BBC"/>
  </w:style>
  <w:style w:type="character" w:customStyle="1" w:styleId="arttitle">
    <w:name w:val="art_title"/>
    <w:basedOn w:val="DefaultParagraphFont"/>
    <w:rsid w:val="00B05BBC"/>
  </w:style>
  <w:style w:type="character" w:customStyle="1" w:styleId="serialtitle">
    <w:name w:val="serial_title"/>
    <w:basedOn w:val="DefaultParagraphFont"/>
    <w:rsid w:val="00B05BBC"/>
  </w:style>
  <w:style w:type="character" w:customStyle="1" w:styleId="volumeissue">
    <w:name w:val="volume_issue"/>
    <w:basedOn w:val="DefaultParagraphFont"/>
    <w:rsid w:val="00B05BBC"/>
  </w:style>
  <w:style w:type="character" w:customStyle="1" w:styleId="pagerange">
    <w:name w:val="page_range"/>
    <w:basedOn w:val="DefaultParagraphFont"/>
    <w:rsid w:val="00B05BBC"/>
  </w:style>
  <w:style w:type="paragraph" w:styleId="FootnoteText">
    <w:name w:val="footnote text"/>
    <w:basedOn w:val="Normal"/>
    <w:link w:val="FootnoteTextChar"/>
    <w:uiPriority w:val="99"/>
    <w:semiHidden/>
    <w:rsid w:val="009A1E80"/>
    <w:rPr>
      <w:sz w:val="20"/>
      <w:szCs w:val="20"/>
      <w:lang w:val="en-US" w:eastAsia="en-US"/>
    </w:rPr>
  </w:style>
  <w:style w:type="character" w:customStyle="1" w:styleId="FootnoteTextChar">
    <w:name w:val="Footnote Text Char"/>
    <w:basedOn w:val="DefaultParagraphFont"/>
    <w:link w:val="FootnoteText"/>
    <w:uiPriority w:val="99"/>
    <w:semiHidden/>
    <w:rsid w:val="009A1E80"/>
    <w:rPr>
      <w:rFonts w:ascii="Times New Roman" w:eastAsia="Times New Roman" w:hAnsi="Times New Roman" w:cs="Times New Roman"/>
      <w:sz w:val="20"/>
      <w:szCs w:val="20"/>
    </w:rPr>
  </w:style>
  <w:style w:type="paragraph" w:styleId="NormalWeb">
    <w:name w:val="Normal (Web)"/>
    <w:basedOn w:val="Normal"/>
    <w:uiPriority w:val="99"/>
    <w:unhideWhenUsed/>
    <w:rsid w:val="007A6B08"/>
    <w:pPr>
      <w:spacing w:before="100" w:beforeAutospacing="1" w:after="100" w:afterAutospacing="1"/>
    </w:pPr>
    <w:rPr>
      <w:lang w:val="en-US" w:eastAsia="en-US"/>
    </w:rPr>
  </w:style>
  <w:style w:type="character" w:customStyle="1" w:styleId="personname">
    <w:name w:val="person_name"/>
    <w:basedOn w:val="DefaultParagraphFont"/>
    <w:rsid w:val="007A6B08"/>
  </w:style>
  <w:style w:type="character" w:customStyle="1" w:styleId="hlfld-title">
    <w:name w:val="hlfld-title"/>
    <w:basedOn w:val="DefaultParagraphFont"/>
    <w:rsid w:val="00892A3A"/>
  </w:style>
  <w:style w:type="character" w:customStyle="1" w:styleId="hlfld-contribauthor">
    <w:name w:val="hlfld-contribauthor"/>
    <w:basedOn w:val="DefaultParagraphFont"/>
    <w:rsid w:val="00892A3A"/>
  </w:style>
  <w:style w:type="character" w:customStyle="1" w:styleId="nlmarticle-title">
    <w:name w:val="nlm_article-title"/>
    <w:basedOn w:val="DefaultParagraphFont"/>
    <w:rsid w:val="00892A3A"/>
  </w:style>
  <w:style w:type="character" w:customStyle="1" w:styleId="contribdegrees">
    <w:name w:val="contribdegrees"/>
    <w:basedOn w:val="DefaultParagraphFont"/>
    <w:rsid w:val="00892A3A"/>
  </w:style>
  <w:style w:type="character" w:customStyle="1" w:styleId="Date2">
    <w:name w:val="Date2"/>
    <w:basedOn w:val="DefaultParagraphFont"/>
    <w:rsid w:val="002E5631"/>
  </w:style>
  <w:style w:type="character" w:customStyle="1" w:styleId="doilink">
    <w:name w:val="doi_link"/>
    <w:basedOn w:val="DefaultParagraphFont"/>
    <w:rsid w:val="002E5631"/>
  </w:style>
  <w:style w:type="character" w:styleId="FollowedHyperlink">
    <w:name w:val="FollowedHyperlink"/>
    <w:basedOn w:val="DefaultParagraphFont"/>
    <w:uiPriority w:val="99"/>
    <w:semiHidden/>
    <w:unhideWhenUsed/>
    <w:rsid w:val="00D3106F"/>
    <w:rPr>
      <w:color w:val="800080" w:themeColor="followedHyperlink"/>
      <w:u w:val="single"/>
    </w:rPr>
  </w:style>
  <w:style w:type="paragraph" w:styleId="Header">
    <w:name w:val="header"/>
    <w:basedOn w:val="Normal"/>
    <w:link w:val="HeaderChar"/>
    <w:uiPriority w:val="99"/>
    <w:unhideWhenUsed/>
    <w:rsid w:val="006A1F39"/>
    <w:pPr>
      <w:tabs>
        <w:tab w:val="center" w:pos="4680"/>
        <w:tab w:val="right" w:pos="9360"/>
      </w:tabs>
    </w:pPr>
  </w:style>
  <w:style w:type="character" w:customStyle="1" w:styleId="HeaderChar">
    <w:name w:val="Header Char"/>
    <w:basedOn w:val="DefaultParagraphFont"/>
    <w:link w:val="Header"/>
    <w:uiPriority w:val="99"/>
    <w:rsid w:val="006A1F39"/>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6A1F39"/>
    <w:pPr>
      <w:tabs>
        <w:tab w:val="center" w:pos="4680"/>
        <w:tab w:val="right" w:pos="9360"/>
      </w:tabs>
    </w:pPr>
  </w:style>
  <w:style w:type="character" w:customStyle="1" w:styleId="FooterChar">
    <w:name w:val="Footer Char"/>
    <w:basedOn w:val="DefaultParagraphFont"/>
    <w:link w:val="Footer"/>
    <w:uiPriority w:val="99"/>
    <w:rsid w:val="006A1F39"/>
    <w:rPr>
      <w:rFonts w:ascii="Times New Roman" w:eastAsia="Times New Roman" w:hAnsi="Times New Roman" w:cs="Times New Roman"/>
      <w:sz w:val="24"/>
      <w:szCs w:val="24"/>
      <w:lang w:val="en-GB" w:eastAsia="en-GB"/>
    </w:rPr>
  </w:style>
  <w:style w:type="character" w:customStyle="1" w:styleId="Date3">
    <w:name w:val="Date3"/>
    <w:basedOn w:val="DefaultParagraphFont"/>
    <w:rsid w:val="00B63715"/>
  </w:style>
  <w:style w:type="character" w:customStyle="1" w:styleId="uppercase">
    <w:name w:val="uppercase"/>
    <w:basedOn w:val="DefaultParagraphFont"/>
    <w:rsid w:val="00AC4C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4528">
      <w:bodyDiv w:val="1"/>
      <w:marLeft w:val="0"/>
      <w:marRight w:val="0"/>
      <w:marTop w:val="0"/>
      <w:marBottom w:val="0"/>
      <w:divBdr>
        <w:top w:val="none" w:sz="0" w:space="0" w:color="auto"/>
        <w:left w:val="none" w:sz="0" w:space="0" w:color="auto"/>
        <w:bottom w:val="none" w:sz="0" w:space="0" w:color="auto"/>
        <w:right w:val="none" w:sz="0" w:space="0" w:color="auto"/>
      </w:divBdr>
    </w:div>
    <w:div w:id="52895946">
      <w:bodyDiv w:val="1"/>
      <w:marLeft w:val="0"/>
      <w:marRight w:val="0"/>
      <w:marTop w:val="0"/>
      <w:marBottom w:val="0"/>
      <w:divBdr>
        <w:top w:val="none" w:sz="0" w:space="0" w:color="auto"/>
        <w:left w:val="none" w:sz="0" w:space="0" w:color="auto"/>
        <w:bottom w:val="none" w:sz="0" w:space="0" w:color="auto"/>
        <w:right w:val="none" w:sz="0" w:space="0" w:color="auto"/>
      </w:divBdr>
    </w:div>
    <w:div w:id="83845544">
      <w:bodyDiv w:val="1"/>
      <w:marLeft w:val="0"/>
      <w:marRight w:val="0"/>
      <w:marTop w:val="0"/>
      <w:marBottom w:val="0"/>
      <w:divBdr>
        <w:top w:val="none" w:sz="0" w:space="0" w:color="auto"/>
        <w:left w:val="none" w:sz="0" w:space="0" w:color="auto"/>
        <w:bottom w:val="none" w:sz="0" w:space="0" w:color="auto"/>
        <w:right w:val="none" w:sz="0" w:space="0" w:color="auto"/>
      </w:divBdr>
    </w:div>
    <w:div w:id="136921475">
      <w:bodyDiv w:val="1"/>
      <w:marLeft w:val="0"/>
      <w:marRight w:val="0"/>
      <w:marTop w:val="0"/>
      <w:marBottom w:val="0"/>
      <w:divBdr>
        <w:top w:val="none" w:sz="0" w:space="0" w:color="auto"/>
        <w:left w:val="none" w:sz="0" w:space="0" w:color="auto"/>
        <w:bottom w:val="none" w:sz="0" w:space="0" w:color="auto"/>
        <w:right w:val="none" w:sz="0" w:space="0" w:color="auto"/>
      </w:divBdr>
    </w:div>
    <w:div w:id="158423487">
      <w:bodyDiv w:val="1"/>
      <w:marLeft w:val="0"/>
      <w:marRight w:val="0"/>
      <w:marTop w:val="0"/>
      <w:marBottom w:val="0"/>
      <w:divBdr>
        <w:top w:val="none" w:sz="0" w:space="0" w:color="auto"/>
        <w:left w:val="none" w:sz="0" w:space="0" w:color="auto"/>
        <w:bottom w:val="none" w:sz="0" w:space="0" w:color="auto"/>
        <w:right w:val="none" w:sz="0" w:space="0" w:color="auto"/>
      </w:divBdr>
    </w:div>
    <w:div w:id="189950363">
      <w:bodyDiv w:val="1"/>
      <w:marLeft w:val="0"/>
      <w:marRight w:val="0"/>
      <w:marTop w:val="0"/>
      <w:marBottom w:val="0"/>
      <w:divBdr>
        <w:top w:val="none" w:sz="0" w:space="0" w:color="auto"/>
        <w:left w:val="none" w:sz="0" w:space="0" w:color="auto"/>
        <w:bottom w:val="none" w:sz="0" w:space="0" w:color="auto"/>
        <w:right w:val="none" w:sz="0" w:space="0" w:color="auto"/>
      </w:divBdr>
    </w:div>
    <w:div w:id="259145170">
      <w:bodyDiv w:val="1"/>
      <w:marLeft w:val="0"/>
      <w:marRight w:val="0"/>
      <w:marTop w:val="0"/>
      <w:marBottom w:val="0"/>
      <w:divBdr>
        <w:top w:val="none" w:sz="0" w:space="0" w:color="auto"/>
        <w:left w:val="none" w:sz="0" w:space="0" w:color="auto"/>
        <w:bottom w:val="none" w:sz="0" w:space="0" w:color="auto"/>
        <w:right w:val="none" w:sz="0" w:space="0" w:color="auto"/>
      </w:divBdr>
    </w:div>
    <w:div w:id="259145794">
      <w:bodyDiv w:val="1"/>
      <w:marLeft w:val="0"/>
      <w:marRight w:val="0"/>
      <w:marTop w:val="0"/>
      <w:marBottom w:val="0"/>
      <w:divBdr>
        <w:top w:val="none" w:sz="0" w:space="0" w:color="auto"/>
        <w:left w:val="none" w:sz="0" w:space="0" w:color="auto"/>
        <w:bottom w:val="none" w:sz="0" w:space="0" w:color="auto"/>
        <w:right w:val="none" w:sz="0" w:space="0" w:color="auto"/>
      </w:divBdr>
      <w:divsChild>
        <w:div w:id="630280982">
          <w:marLeft w:val="0"/>
          <w:marRight w:val="0"/>
          <w:marTop w:val="0"/>
          <w:marBottom w:val="0"/>
          <w:divBdr>
            <w:top w:val="none" w:sz="0" w:space="0" w:color="auto"/>
            <w:left w:val="none" w:sz="0" w:space="0" w:color="auto"/>
            <w:bottom w:val="none" w:sz="0" w:space="0" w:color="auto"/>
            <w:right w:val="none" w:sz="0" w:space="0" w:color="auto"/>
          </w:divBdr>
        </w:div>
        <w:div w:id="1777752048">
          <w:marLeft w:val="0"/>
          <w:marRight w:val="0"/>
          <w:marTop w:val="0"/>
          <w:marBottom w:val="0"/>
          <w:divBdr>
            <w:top w:val="none" w:sz="0" w:space="0" w:color="auto"/>
            <w:left w:val="none" w:sz="0" w:space="0" w:color="auto"/>
            <w:bottom w:val="none" w:sz="0" w:space="0" w:color="auto"/>
            <w:right w:val="none" w:sz="0" w:space="0" w:color="auto"/>
          </w:divBdr>
        </w:div>
      </w:divsChild>
    </w:div>
    <w:div w:id="328338687">
      <w:bodyDiv w:val="1"/>
      <w:marLeft w:val="0"/>
      <w:marRight w:val="0"/>
      <w:marTop w:val="0"/>
      <w:marBottom w:val="0"/>
      <w:divBdr>
        <w:top w:val="none" w:sz="0" w:space="0" w:color="auto"/>
        <w:left w:val="none" w:sz="0" w:space="0" w:color="auto"/>
        <w:bottom w:val="none" w:sz="0" w:space="0" w:color="auto"/>
        <w:right w:val="none" w:sz="0" w:space="0" w:color="auto"/>
      </w:divBdr>
    </w:div>
    <w:div w:id="359548830">
      <w:bodyDiv w:val="1"/>
      <w:marLeft w:val="0"/>
      <w:marRight w:val="0"/>
      <w:marTop w:val="0"/>
      <w:marBottom w:val="0"/>
      <w:divBdr>
        <w:top w:val="none" w:sz="0" w:space="0" w:color="auto"/>
        <w:left w:val="none" w:sz="0" w:space="0" w:color="auto"/>
        <w:bottom w:val="none" w:sz="0" w:space="0" w:color="auto"/>
        <w:right w:val="none" w:sz="0" w:space="0" w:color="auto"/>
      </w:divBdr>
      <w:divsChild>
        <w:div w:id="657075504">
          <w:marLeft w:val="0"/>
          <w:marRight w:val="0"/>
          <w:marTop w:val="0"/>
          <w:marBottom w:val="0"/>
          <w:divBdr>
            <w:top w:val="none" w:sz="0" w:space="0" w:color="auto"/>
            <w:left w:val="none" w:sz="0" w:space="0" w:color="auto"/>
            <w:bottom w:val="none" w:sz="0" w:space="0" w:color="auto"/>
            <w:right w:val="none" w:sz="0" w:space="0" w:color="auto"/>
          </w:divBdr>
        </w:div>
        <w:div w:id="1113401454">
          <w:marLeft w:val="0"/>
          <w:marRight w:val="0"/>
          <w:marTop w:val="0"/>
          <w:marBottom w:val="0"/>
          <w:divBdr>
            <w:top w:val="none" w:sz="0" w:space="0" w:color="auto"/>
            <w:left w:val="none" w:sz="0" w:space="0" w:color="auto"/>
            <w:bottom w:val="none" w:sz="0" w:space="0" w:color="auto"/>
            <w:right w:val="none" w:sz="0" w:space="0" w:color="auto"/>
          </w:divBdr>
        </w:div>
      </w:divsChild>
    </w:div>
    <w:div w:id="370031767">
      <w:bodyDiv w:val="1"/>
      <w:marLeft w:val="0"/>
      <w:marRight w:val="0"/>
      <w:marTop w:val="0"/>
      <w:marBottom w:val="0"/>
      <w:divBdr>
        <w:top w:val="none" w:sz="0" w:space="0" w:color="auto"/>
        <w:left w:val="none" w:sz="0" w:space="0" w:color="auto"/>
        <w:bottom w:val="none" w:sz="0" w:space="0" w:color="auto"/>
        <w:right w:val="none" w:sz="0" w:space="0" w:color="auto"/>
      </w:divBdr>
    </w:div>
    <w:div w:id="378171317">
      <w:bodyDiv w:val="1"/>
      <w:marLeft w:val="0"/>
      <w:marRight w:val="0"/>
      <w:marTop w:val="0"/>
      <w:marBottom w:val="0"/>
      <w:divBdr>
        <w:top w:val="none" w:sz="0" w:space="0" w:color="auto"/>
        <w:left w:val="none" w:sz="0" w:space="0" w:color="auto"/>
        <w:bottom w:val="none" w:sz="0" w:space="0" w:color="auto"/>
        <w:right w:val="none" w:sz="0" w:space="0" w:color="auto"/>
      </w:divBdr>
    </w:div>
    <w:div w:id="574976092">
      <w:bodyDiv w:val="1"/>
      <w:marLeft w:val="0"/>
      <w:marRight w:val="0"/>
      <w:marTop w:val="0"/>
      <w:marBottom w:val="0"/>
      <w:divBdr>
        <w:top w:val="none" w:sz="0" w:space="0" w:color="auto"/>
        <w:left w:val="none" w:sz="0" w:space="0" w:color="auto"/>
        <w:bottom w:val="none" w:sz="0" w:space="0" w:color="auto"/>
        <w:right w:val="none" w:sz="0" w:space="0" w:color="auto"/>
      </w:divBdr>
    </w:div>
    <w:div w:id="576944168">
      <w:bodyDiv w:val="1"/>
      <w:marLeft w:val="0"/>
      <w:marRight w:val="0"/>
      <w:marTop w:val="0"/>
      <w:marBottom w:val="0"/>
      <w:divBdr>
        <w:top w:val="none" w:sz="0" w:space="0" w:color="auto"/>
        <w:left w:val="none" w:sz="0" w:space="0" w:color="auto"/>
        <w:bottom w:val="none" w:sz="0" w:space="0" w:color="auto"/>
        <w:right w:val="none" w:sz="0" w:space="0" w:color="auto"/>
      </w:divBdr>
    </w:div>
    <w:div w:id="597642912">
      <w:bodyDiv w:val="1"/>
      <w:marLeft w:val="0"/>
      <w:marRight w:val="0"/>
      <w:marTop w:val="0"/>
      <w:marBottom w:val="0"/>
      <w:divBdr>
        <w:top w:val="none" w:sz="0" w:space="0" w:color="auto"/>
        <w:left w:val="none" w:sz="0" w:space="0" w:color="auto"/>
        <w:bottom w:val="none" w:sz="0" w:space="0" w:color="auto"/>
        <w:right w:val="none" w:sz="0" w:space="0" w:color="auto"/>
      </w:divBdr>
    </w:div>
    <w:div w:id="607199262">
      <w:bodyDiv w:val="1"/>
      <w:marLeft w:val="0"/>
      <w:marRight w:val="0"/>
      <w:marTop w:val="0"/>
      <w:marBottom w:val="0"/>
      <w:divBdr>
        <w:top w:val="none" w:sz="0" w:space="0" w:color="auto"/>
        <w:left w:val="none" w:sz="0" w:space="0" w:color="auto"/>
        <w:bottom w:val="none" w:sz="0" w:space="0" w:color="auto"/>
        <w:right w:val="none" w:sz="0" w:space="0" w:color="auto"/>
      </w:divBdr>
      <w:divsChild>
        <w:div w:id="58524019">
          <w:marLeft w:val="0"/>
          <w:marRight w:val="0"/>
          <w:marTop w:val="0"/>
          <w:marBottom w:val="0"/>
          <w:divBdr>
            <w:top w:val="none" w:sz="0" w:space="0" w:color="auto"/>
            <w:left w:val="none" w:sz="0" w:space="0" w:color="auto"/>
            <w:bottom w:val="none" w:sz="0" w:space="0" w:color="auto"/>
            <w:right w:val="none" w:sz="0" w:space="0" w:color="auto"/>
          </w:divBdr>
        </w:div>
        <w:div w:id="350842205">
          <w:marLeft w:val="0"/>
          <w:marRight w:val="0"/>
          <w:marTop w:val="0"/>
          <w:marBottom w:val="0"/>
          <w:divBdr>
            <w:top w:val="none" w:sz="0" w:space="0" w:color="auto"/>
            <w:left w:val="none" w:sz="0" w:space="0" w:color="auto"/>
            <w:bottom w:val="none" w:sz="0" w:space="0" w:color="auto"/>
            <w:right w:val="none" w:sz="0" w:space="0" w:color="auto"/>
          </w:divBdr>
        </w:div>
        <w:div w:id="755251381">
          <w:marLeft w:val="0"/>
          <w:marRight w:val="0"/>
          <w:marTop w:val="0"/>
          <w:marBottom w:val="0"/>
          <w:divBdr>
            <w:top w:val="none" w:sz="0" w:space="0" w:color="auto"/>
            <w:left w:val="none" w:sz="0" w:space="0" w:color="auto"/>
            <w:bottom w:val="none" w:sz="0" w:space="0" w:color="auto"/>
            <w:right w:val="none" w:sz="0" w:space="0" w:color="auto"/>
          </w:divBdr>
        </w:div>
        <w:div w:id="1080373701">
          <w:marLeft w:val="0"/>
          <w:marRight w:val="0"/>
          <w:marTop w:val="0"/>
          <w:marBottom w:val="0"/>
          <w:divBdr>
            <w:top w:val="none" w:sz="0" w:space="0" w:color="auto"/>
            <w:left w:val="none" w:sz="0" w:space="0" w:color="auto"/>
            <w:bottom w:val="none" w:sz="0" w:space="0" w:color="auto"/>
            <w:right w:val="none" w:sz="0" w:space="0" w:color="auto"/>
          </w:divBdr>
          <w:divsChild>
            <w:div w:id="1133645013">
              <w:marLeft w:val="0"/>
              <w:marRight w:val="0"/>
              <w:marTop w:val="0"/>
              <w:marBottom w:val="0"/>
              <w:divBdr>
                <w:top w:val="none" w:sz="0" w:space="0" w:color="auto"/>
                <w:left w:val="none" w:sz="0" w:space="0" w:color="auto"/>
                <w:bottom w:val="none" w:sz="0" w:space="0" w:color="auto"/>
                <w:right w:val="none" w:sz="0" w:space="0" w:color="auto"/>
              </w:divBdr>
              <w:divsChild>
                <w:div w:id="1449472163">
                  <w:marLeft w:val="0"/>
                  <w:marRight w:val="0"/>
                  <w:marTop w:val="0"/>
                  <w:marBottom w:val="0"/>
                  <w:divBdr>
                    <w:top w:val="none" w:sz="0" w:space="0" w:color="auto"/>
                    <w:left w:val="none" w:sz="0" w:space="0" w:color="auto"/>
                    <w:bottom w:val="none" w:sz="0" w:space="0" w:color="auto"/>
                    <w:right w:val="none" w:sz="0" w:space="0" w:color="auto"/>
                  </w:divBdr>
                </w:div>
                <w:div w:id="1971201415">
                  <w:marLeft w:val="0"/>
                  <w:marRight w:val="0"/>
                  <w:marTop w:val="0"/>
                  <w:marBottom w:val="0"/>
                  <w:divBdr>
                    <w:top w:val="none" w:sz="0" w:space="0" w:color="auto"/>
                    <w:left w:val="none" w:sz="0" w:space="0" w:color="auto"/>
                    <w:bottom w:val="none" w:sz="0" w:space="0" w:color="auto"/>
                    <w:right w:val="none" w:sz="0" w:space="0" w:color="auto"/>
                  </w:divBdr>
                </w:div>
              </w:divsChild>
            </w:div>
            <w:div w:id="1150056448">
              <w:marLeft w:val="0"/>
              <w:marRight w:val="0"/>
              <w:marTop w:val="0"/>
              <w:marBottom w:val="0"/>
              <w:divBdr>
                <w:top w:val="none" w:sz="0" w:space="0" w:color="auto"/>
                <w:left w:val="none" w:sz="0" w:space="0" w:color="auto"/>
                <w:bottom w:val="none" w:sz="0" w:space="0" w:color="auto"/>
                <w:right w:val="none" w:sz="0" w:space="0" w:color="auto"/>
              </w:divBdr>
              <w:divsChild>
                <w:div w:id="1167599424">
                  <w:marLeft w:val="0"/>
                  <w:marRight w:val="0"/>
                  <w:marTop w:val="0"/>
                  <w:marBottom w:val="0"/>
                  <w:divBdr>
                    <w:top w:val="none" w:sz="0" w:space="0" w:color="auto"/>
                    <w:left w:val="none" w:sz="0" w:space="0" w:color="auto"/>
                    <w:bottom w:val="none" w:sz="0" w:space="0" w:color="auto"/>
                    <w:right w:val="none" w:sz="0" w:space="0" w:color="auto"/>
                  </w:divBdr>
                </w:div>
                <w:div w:id="1366491558">
                  <w:marLeft w:val="0"/>
                  <w:marRight w:val="0"/>
                  <w:marTop w:val="0"/>
                  <w:marBottom w:val="0"/>
                  <w:divBdr>
                    <w:top w:val="none" w:sz="0" w:space="0" w:color="auto"/>
                    <w:left w:val="none" w:sz="0" w:space="0" w:color="auto"/>
                    <w:bottom w:val="none" w:sz="0" w:space="0" w:color="auto"/>
                    <w:right w:val="none" w:sz="0" w:space="0" w:color="auto"/>
                  </w:divBdr>
                </w:div>
              </w:divsChild>
            </w:div>
            <w:div w:id="1196625476">
              <w:marLeft w:val="0"/>
              <w:marRight w:val="0"/>
              <w:marTop w:val="0"/>
              <w:marBottom w:val="0"/>
              <w:divBdr>
                <w:top w:val="none" w:sz="0" w:space="0" w:color="auto"/>
                <w:left w:val="none" w:sz="0" w:space="0" w:color="auto"/>
                <w:bottom w:val="none" w:sz="0" w:space="0" w:color="auto"/>
                <w:right w:val="none" w:sz="0" w:space="0" w:color="auto"/>
              </w:divBdr>
              <w:divsChild>
                <w:div w:id="1392578543">
                  <w:marLeft w:val="0"/>
                  <w:marRight w:val="0"/>
                  <w:marTop w:val="0"/>
                  <w:marBottom w:val="0"/>
                  <w:divBdr>
                    <w:top w:val="none" w:sz="0" w:space="0" w:color="auto"/>
                    <w:left w:val="none" w:sz="0" w:space="0" w:color="auto"/>
                    <w:bottom w:val="none" w:sz="0" w:space="0" w:color="auto"/>
                    <w:right w:val="none" w:sz="0" w:space="0" w:color="auto"/>
                  </w:divBdr>
                </w:div>
                <w:div w:id="145151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929854">
          <w:marLeft w:val="0"/>
          <w:marRight w:val="0"/>
          <w:marTop w:val="0"/>
          <w:marBottom w:val="0"/>
          <w:divBdr>
            <w:top w:val="none" w:sz="0" w:space="0" w:color="auto"/>
            <w:left w:val="none" w:sz="0" w:space="0" w:color="auto"/>
            <w:bottom w:val="none" w:sz="0" w:space="0" w:color="auto"/>
            <w:right w:val="none" w:sz="0" w:space="0" w:color="auto"/>
          </w:divBdr>
        </w:div>
      </w:divsChild>
    </w:div>
    <w:div w:id="702511527">
      <w:bodyDiv w:val="1"/>
      <w:marLeft w:val="0"/>
      <w:marRight w:val="0"/>
      <w:marTop w:val="0"/>
      <w:marBottom w:val="0"/>
      <w:divBdr>
        <w:top w:val="none" w:sz="0" w:space="0" w:color="auto"/>
        <w:left w:val="none" w:sz="0" w:space="0" w:color="auto"/>
        <w:bottom w:val="none" w:sz="0" w:space="0" w:color="auto"/>
        <w:right w:val="none" w:sz="0" w:space="0" w:color="auto"/>
      </w:divBdr>
    </w:div>
    <w:div w:id="708378875">
      <w:bodyDiv w:val="1"/>
      <w:marLeft w:val="0"/>
      <w:marRight w:val="0"/>
      <w:marTop w:val="0"/>
      <w:marBottom w:val="0"/>
      <w:divBdr>
        <w:top w:val="none" w:sz="0" w:space="0" w:color="auto"/>
        <w:left w:val="none" w:sz="0" w:space="0" w:color="auto"/>
        <w:bottom w:val="none" w:sz="0" w:space="0" w:color="auto"/>
        <w:right w:val="none" w:sz="0" w:space="0" w:color="auto"/>
      </w:divBdr>
    </w:div>
    <w:div w:id="731974838">
      <w:bodyDiv w:val="1"/>
      <w:marLeft w:val="0"/>
      <w:marRight w:val="0"/>
      <w:marTop w:val="0"/>
      <w:marBottom w:val="0"/>
      <w:divBdr>
        <w:top w:val="none" w:sz="0" w:space="0" w:color="auto"/>
        <w:left w:val="none" w:sz="0" w:space="0" w:color="auto"/>
        <w:bottom w:val="none" w:sz="0" w:space="0" w:color="auto"/>
        <w:right w:val="none" w:sz="0" w:space="0" w:color="auto"/>
      </w:divBdr>
    </w:div>
    <w:div w:id="778766334">
      <w:bodyDiv w:val="1"/>
      <w:marLeft w:val="0"/>
      <w:marRight w:val="0"/>
      <w:marTop w:val="0"/>
      <w:marBottom w:val="0"/>
      <w:divBdr>
        <w:top w:val="none" w:sz="0" w:space="0" w:color="auto"/>
        <w:left w:val="none" w:sz="0" w:space="0" w:color="auto"/>
        <w:bottom w:val="none" w:sz="0" w:space="0" w:color="auto"/>
        <w:right w:val="none" w:sz="0" w:space="0" w:color="auto"/>
      </w:divBdr>
    </w:div>
    <w:div w:id="827017500">
      <w:bodyDiv w:val="1"/>
      <w:marLeft w:val="0"/>
      <w:marRight w:val="0"/>
      <w:marTop w:val="0"/>
      <w:marBottom w:val="0"/>
      <w:divBdr>
        <w:top w:val="none" w:sz="0" w:space="0" w:color="auto"/>
        <w:left w:val="none" w:sz="0" w:space="0" w:color="auto"/>
        <w:bottom w:val="none" w:sz="0" w:space="0" w:color="auto"/>
        <w:right w:val="none" w:sz="0" w:space="0" w:color="auto"/>
      </w:divBdr>
    </w:div>
    <w:div w:id="842354081">
      <w:bodyDiv w:val="1"/>
      <w:marLeft w:val="0"/>
      <w:marRight w:val="0"/>
      <w:marTop w:val="0"/>
      <w:marBottom w:val="0"/>
      <w:divBdr>
        <w:top w:val="none" w:sz="0" w:space="0" w:color="auto"/>
        <w:left w:val="none" w:sz="0" w:space="0" w:color="auto"/>
        <w:bottom w:val="none" w:sz="0" w:space="0" w:color="auto"/>
        <w:right w:val="none" w:sz="0" w:space="0" w:color="auto"/>
      </w:divBdr>
    </w:div>
    <w:div w:id="874004773">
      <w:bodyDiv w:val="1"/>
      <w:marLeft w:val="0"/>
      <w:marRight w:val="0"/>
      <w:marTop w:val="0"/>
      <w:marBottom w:val="0"/>
      <w:divBdr>
        <w:top w:val="none" w:sz="0" w:space="0" w:color="auto"/>
        <w:left w:val="none" w:sz="0" w:space="0" w:color="auto"/>
        <w:bottom w:val="none" w:sz="0" w:space="0" w:color="auto"/>
        <w:right w:val="none" w:sz="0" w:space="0" w:color="auto"/>
      </w:divBdr>
    </w:div>
    <w:div w:id="893783770">
      <w:bodyDiv w:val="1"/>
      <w:marLeft w:val="0"/>
      <w:marRight w:val="0"/>
      <w:marTop w:val="0"/>
      <w:marBottom w:val="0"/>
      <w:divBdr>
        <w:top w:val="none" w:sz="0" w:space="0" w:color="auto"/>
        <w:left w:val="none" w:sz="0" w:space="0" w:color="auto"/>
        <w:bottom w:val="none" w:sz="0" w:space="0" w:color="auto"/>
        <w:right w:val="none" w:sz="0" w:space="0" w:color="auto"/>
      </w:divBdr>
    </w:div>
    <w:div w:id="936986838">
      <w:bodyDiv w:val="1"/>
      <w:marLeft w:val="0"/>
      <w:marRight w:val="0"/>
      <w:marTop w:val="0"/>
      <w:marBottom w:val="0"/>
      <w:divBdr>
        <w:top w:val="none" w:sz="0" w:space="0" w:color="auto"/>
        <w:left w:val="none" w:sz="0" w:space="0" w:color="auto"/>
        <w:bottom w:val="none" w:sz="0" w:space="0" w:color="auto"/>
        <w:right w:val="none" w:sz="0" w:space="0" w:color="auto"/>
      </w:divBdr>
      <w:divsChild>
        <w:div w:id="1540166125">
          <w:marLeft w:val="-1350"/>
          <w:marRight w:val="0"/>
          <w:marTop w:val="0"/>
          <w:marBottom w:val="0"/>
          <w:divBdr>
            <w:top w:val="none" w:sz="0" w:space="0" w:color="auto"/>
            <w:left w:val="none" w:sz="0" w:space="0" w:color="auto"/>
            <w:bottom w:val="none" w:sz="0" w:space="0" w:color="auto"/>
            <w:right w:val="none" w:sz="0" w:space="0" w:color="auto"/>
          </w:divBdr>
        </w:div>
      </w:divsChild>
    </w:div>
    <w:div w:id="1064795635">
      <w:bodyDiv w:val="1"/>
      <w:marLeft w:val="0"/>
      <w:marRight w:val="0"/>
      <w:marTop w:val="0"/>
      <w:marBottom w:val="0"/>
      <w:divBdr>
        <w:top w:val="none" w:sz="0" w:space="0" w:color="auto"/>
        <w:left w:val="none" w:sz="0" w:space="0" w:color="auto"/>
        <w:bottom w:val="none" w:sz="0" w:space="0" w:color="auto"/>
        <w:right w:val="none" w:sz="0" w:space="0" w:color="auto"/>
      </w:divBdr>
    </w:div>
    <w:div w:id="1081099207">
      <w:bodyDiv w:val="1"/>
      <w:marLeft w:val="0"/>
      <w:marRight w:val="0"/>
      <w:marTop w:val="0"/>
      <w:marBottom w:val="0"/>
      <w:divBdr>
        <w:top w:val="none" w:sz="0" w:space="0" w:color="auto"/>
        <w:left w:val="none" w:sz="0" w:space="0" w:color="auto"/>
        <w:bottom w:val="none" w:sz="0" w:space="0" w:color="auto"/>
        <w:right w:val="none" w:sz="0" w:space="0" w:color="auto"/>
      </w:divBdr>
    </w:div>
    <w:div w:id="1106972042">
      <w:bodyDiv w:val="1"/>
      <w:marLeft w:val="0"/>
      <w:marRight w:val="0"/>
      <w:marTop w:val="0"/>
      <w:marBottom w:val="0"/>
      <w:divBdr>
        <w:top w:val="none" w:sz="0" w:space="0" w:color="auto"/>
        <w:left w:val="none" w:sz="0" w:space="0" w:color="auto"/>
        <w:bottom w:val="none" w:sz="0" w:space="0" w:color="auto"/>
        <w:right w:val="none" w:sz="0" w:space="0" w:color="auto"/>
      </w:divBdr>
    </w:div>
    <w:div w:id="1115367255">
      <w:bodyDiv w:val="1"/>
      <w:marLeft w:val="0"/>
      <w:marRight w:val="0"/>
      <w:marTop w:val="0"/>
      <w:marBottom w:val="0"/>
      <w:divBdr>
        <w:top w:val="none" w:sz="0" w:space="0" w:color="auto"/>
        <w:left w:val="none" w:sz="0" w:space="0" w:color="auto"/>
        <w:bottom w:val="none" w:sz="0" w:space="0" w:color="auto"/>
        <w:right w:val="none" w:sz="0" w:space="0" w:color="auto"/>
      </w:divBdr>
    </w:div>
    <w:div w:id="1167987202">
      <w:bodyDiv w:val="1"/>
      <w:marLeft w:val="0"/>
      <w:marRight w:val="0"/>
      <w:marTop w:val="0"/>
      <w:marBottom w:val="0"/>
      <w:divBdr>
        <w:top w:val="none" w:sz="0" w:space="0" w:color="auto"/>
        <w:left w:val="none" w:sz="0" w:space="0" w:color="auto"/>
        <w:bottom w:val="none" w:sz="0" w:space="0" w:color="auto"/>
        <w:right w:val="none" w:sz="0" w:space="0" w:color="auto"/>
      </w:divBdr>
    </w:div>
    <w:div w:id="1237516550">
      <w:bodyDiv w:val="1"/>
      <w:marLeft w:val="0"/>
      <w:marRight w:val="0"/>
      <w:marTop w:val="0"/>
      <w:marBottom w:val="0"/>
      <w:divBdr>
        <w:top w:val="none" w:sz="0" w:space="0" w:color="auto"/>
        <w:left w:val="none" w:sz="0" w:space="0" w:color="auto"/>
        <w:bottom w:val="none" w:sz="0" w:space="0" w:color="auto"/>
        <w:right w:val="none" w:sz="0" w:space="0" w:color="auto"/>
      </w:divBdr>
    </w:div>
    <w:div w:id="1292588709">
      <w:bodyDiv w:val="1"/>
      <w:marLeft w:val="0"/>
      <w:marRight w:val="0"/>
      <w:marTop w:val="0"/>
      <w:marBottom w:val="0"/>
      <w:divBdr>
        <w:top w:val="none" w:sz="0" w:space="0" w:color="auto"/>
        <w:left w:val="none" w:sz="0" w:space="0" w:color="auto"/>
        <w:bottom w:val="none" w:sz="0" w:space="0" w:color="auto"/>
        <w:right w:val="none" w:sz="0" w:space="0" w:color="auto"/>
      </w:divBdr>
    </w:div>
    <w:div w:id="1295450283">
      <w:bodyDiv w:val="1"/>
      <w:marLeft w:val="0"/>
      <w:marRight w:val="0"/>
      <w:marTop w:val="0"/>
      <w:marBottom w:val="0"/>
      <w:divBdr>
        <w:top w:val="none" w:sz="0" w:space="0" w:color="auto"/>
        <w:left w:val="none" w:sz="0" w:space="0" w:color="auto"/>
        <w:bottom w:val="none" w:sz="0" w:space="0" w:color="auto"/>
        <w:right w:val="none" w:sz="0" w:space="0" w:color="auto"/>
      </w:divBdr>
    </w:div>
    <w:div w:id="1302806404">
      <w:bodyDiv w:val="1"/>
      <w:marLeft w:val="0"/>
      <w:marRight w:val="0"/>
      <w:marTop w:val="0"/>
      <w:marBottom w:val="0"/>
      <w:divBdr>
        <w:top w:val="none" w:sz="0" w:space="0" w:color="auto"/>
        <w:left w:val="none" w:sz="0" w:space="0" w:color="auto"/>
        <w:bottom w:val="none" w:sz="0" w:space="0" w:color="auto"/>
        <w:right w:val="none" w:sz="0" w:space="0" w:color="auto"/>
      </w:divBdr>
    </w:div>
    <w:div w:id="1330908662">
      <w:bodyDiv w:val="1"/>
      <w:marLeft w:val="0"/>
      <w:marRight w:val="0"/>
      <w:marTop w:val="0"/>
      <w:marBottom w:val="0"/>
      <w:divBdr>
        <w:top w:val="none" w:sz="0" w:space="0" w:color="auto"/>
        <w:left w:val="none" w:sz="0" w:space="0" w:color="auto"/>
        <w:bottom w:val="none" w:sz="0" w:space="0" w:color="auto"/>
        <w:right w:val="none" w:sz="0" w:space="0" w:color="auto"/>
      </w:divBdr>
    </w:div>
    <w:div w:id="1347751590">
      <w:bodyDiv w:val="1"/>
      <w:marLeft w:val="0"/>
      <w:marRight w:val="0"/>
      <w:marTop w:val="0"/>
      <w:marBottom w:val="0"/>
      <w:divBdr>
        <w:top w:val="none" w:sz="0" w:space="0" w:color="auto"/>
        <w:left w:val="none" w:sz="0" w:space="0" w:color="auto"/>
        <w:bottom w:val="none" w:sz="0" w:space="0" w:color="auto"/>
        <w:right w:val="none" w:sz="0" w:space="0" w:color="auto"/>
      </w:divBdr>
    </w:div>
    <w:div w:id="1362317654">
      <w:bodyDiv w:val="1"/>
      <w:marLeft w:val="0"/>
      <w:marRight w:val="0"/>
      <w:marTop w:val="0"/>
      <w:marBottom w:val="0"/>
      <w:divBdr>
        <w:top w:val="none" w:sz="0" w:space="0" w:color="auto"/>
        <w:left w:val="none" w:sz="0" w:space="0" w:color="auto"/>
        <w:bottom w:val="none" w:sz="0" w:space="0" w:color="auto"/>
        <w:right w:val="none" w:sz="0" w:space="0" w:color="auto"/>
      </w:divBdr>
    </w:div>
    <w:div w:id="1387528204">
      <w:bodyDiv w:val="1"/>
      <w:marLeft w:val="0"/>
      <w:marRight w:val="0"/>
      <w:marTop w:val="0"/>
      <w:marBottom w:val="0"/>
      <w:divBdr>
        <w:top w:val="none" w:sz="0" w:space="0" w:color="auto"/>
        <w:left w:val="none" w:sz="0" w:space="0" w:color="auto"/>
        <w:bottom w:val="none" w:sz="0" w:space="0" w:color="auto"/>
        <w:right w:val="none" w:sz="0" w:space="0" w:color="auto"/>
      </w:divBdr>
    </w:div>
    <w:div w:id="1390416126">
      <w:bodyDiv w:val="1"/>
      <w:marLeft w:val="0"/>
      <w:marRight w:val="0"/>
      <w:marTop w:val="0"/>
      <w:marBottom w:val="0"/>
      <w:divBdr>
        <w:top w:val="none" w:sz="0" w:space="0" w:color="auto"/>
        <w:left w:val="none" w:sz="0" w:space="0" w:color="auto"/>
        <w:bottom w:val="none" w:sz="0" w:space="0" w:color="auto"/>
        <w:right w:val="none" w:sz="0" w:space="0" w:color="auto"/>
      </w:divBdr>
    </w:div>
    <w:div w:id="1405906631">
      <w:bodyDiv w:val="1"/>
      <w:marLeft w:val="0"/>
      <w:marRight w:val="0"/>
      <w:marTop w:val="0"/>
      <w:marBottom w:val="0"/>
      <w:divBdr>
        <w:top w:val="none" w:sz="0" w:space="0" w:color="auto"/>
        <w:left w:val="none" w:sz="0" w:space="0" w:color="auto"/>
        <w:bottom w:val="none" w:sz="0" w:space="0" w:color="auto"/>
        <w:right w:val="none" w:sz="0" w:space="0" w:color="auto"/>
      </w:divBdr>
    </w:div>
    <w:div w:id="1405950575">
      <w:bodyDiv w:val="1"/>
      <w:marLeft w:val="0"/>
      <w:marRight w:val="0"/>
      <w:marTop w:val="0"/>
      <w:marBottom w:val="0"/>
      <w:divBdr>
        <w:top w:val="none" w:sz="0" w:space="0" w:color="auto"/>
        <w:left w:val="none" w:sz="0" w:space="0" w:color="auto"/>
        <w:bottom w:val="none" w:sz="0" w:space="0" w:color="auto"/>
        <w:right w:val="none" w:sz="0" w:space="0" w:color="auto"/>
      </w:divBdr>
    </w:div>
    <w:div w:id="1476028961">
      <w:bodyDiv w:val="1"/>
      <w:marLeft w:val="0"/>
      <w:marRight w:val="0"/>
      <w:marTop w:val="0"/>
      <w:marBottom w:val="0"/>
      <w:divBdr>
        <w:top w:val="none" w:sz="0" w:space="0" w:color="auto"/>
        <w:left w:val="none" w:sz="0" w:space="0" w:color="auto"/>
        <w:bottom w:val="none" w:sz="0" w:space="0" w:color="auto"/>
        <w:right w:val="none" w:sz="0" w:space="0" w:color="auto"/>
      </w:divBdr>
    </w:div>
    <w:div w:id="1505053896">
      <w:bodyDiv w:val="1"/>
      <w:marLeft w:val="0"/>
      <w:marRight w:val="0"/>
      <w:marTop w:val="0"/>
      <w:marBottom w:val="0"/>
      <w:divBdr>
        <w:top w:val="none" w:sz="0" w:space="0" w:color="auto"/>
        <w:left w:val="none" w:sz="0" w:space="0" w:color="auto"/>
        <w:bottom w:val="none" w:sz="0" w:space="0" w:color="auto"/>
        <w:right w:val="none" w:sz="0" w:space="0" w:color="auto"/>
      </w:divBdr>
    </w:div>
    <w:div w:id="1515073204">
      <w:bodyDiv w:val="1"/>
      <w:marLeft w:val="0"/>
      <w:marRight w:val="0"/>
      <w:marTop w:val="0"/>
      <w:marBottom w:val="0"/>
      <w:divBdr>
        <w:top w:val="none" w:sz="0" w:space="0" w:color="auto"/>
        <w:left w:val="none" w:sz="0" w:space="0" w:color="auto"/>
        <w:bottom w:val="none" w:sz="0" w:space="0" w:color="auto"/>
        <w:right w:val="none" w:sz="0" w:space="0" w:color="auto"/>
      </w:divBdr>
    </w:div>
    <w:div w:id="1519075776">
      <w:bodyDiv w:val="1"/>
      <w:marLeft w:val="0"/>
      <w:marRight w:val="0"/>
      <w:marTop w:val="0"/>
      <w:marBottom w:val="0"/>
      <w:divBdr>
        <w:top w:val="none" w:sz="0" w:space="0" w:color="auto"/>
        <w:left w:val="none" w:sz="0" w:space="0" w:color="auto"/>
        <w:bottom w:val="none" w:sz="0" w:space="0" w:color="auto"/>
        <w:right w:val="none" w:sz="0" w:space="0" w:color="auto"/>
      </w:divBdr>
    </w:div>
    <w:div w:id="1558735061">
      <w:bodyDiv w:val="1"/>
      <w:marLeft w:val="0"/>
      <w:marRight w:val="0"/>
      <w:marTop w:val="0"/>
      <w:marBottom w:val="0"/>
      <w:divBdr>
        <w:top w:val="none" w:sz="0" w:space="0" w:color="auto"/>
        <w:left w:val="none" w:sz="0" w:space="0" w:color="auto"/>
        <w:bottom w:val="none" w:sz="0" w:space="0" w:color="auto"/>
        <w:right w:val="none" w:sz="0" w:space="0" w:color="auto"/>
      </w:divBdr>
    </w:div>
    <w:div w:id="1581720858">
      <w:bodyDiv w:val="1"/>
      <w:marLeft w:val="0"/>
      <w:marRight w:val="0"/>
      <w:marTop w:val="0"/>
      <w:marBottom w:val="0"/>
      <w:divBdr>
        <w:top w:val="none" w:sz="0" w:space="0" w:color="auto"/>
        <w:left w:val="none" w:sz="0" w:space="0" w:color="auto"/>
        <w:bottom w:val="none" w:sz="0" w:space="0" w:color="auto"/>
        <w:right w:val="none" w:sz="0" w:space="0" w:color="auto"/>
      </w:divBdr>
    </w:div>
    <w:div w:id="1583102018">
      <w:bodyDiv w:val="1"/>
      <w:marLeft w:val="0"/>
      <w:marRight w:val="0"/>
      <w:marTop w:val="0"/>
      <w:marBottom w:val="0"/>
      <w:divBdr>
        <w:top w:val="none" w:sz="0" w:space="0" w:color="auto"/>
        <w:left w:val="none" w:sz="0" w:space="0" w:color="auto"/>
        <w:bottom w:val="none" w:sz="0" w:space="0" w:color="auto"/>
        <w:right w:val="none" w:sz="0" w:space="0" w:color="auto"/>
      </w:divBdr>
    </w:div>
    <w:div w:id="1583224874">
      <w:bodyDiv w:val="1"/>
      <w:marLeft w:val="0"/>
      <w:marRight w:val="0"/>
      <w:marTop w:val="0"/>
      <w:marBottom w:val="0"/>
      <w:divBdr>
        <w:top w:val="none" w:sz="0" w:space="0" w:color="auto"/>
        <w:left w:val="none" w:sz="0" w:space="0" w:color="auto"/>
        <w:bottom w:val="none" w:sz="0" w:space="0" w:color="auto"/>
        <w:right w:val="none" w:sz="0" w:space="0" w:color="auto"/>
      </w:divBdr>
    </w:div>
    <w:div w:id="1587417231">
      <w:bodyDiv w:val="1"/>
      <w:marLeft w:val="0"/>
      <w:marRight w:val="0"/>
      <w:marTop w:val="0"/>
      <w:marBottom w:val="0"/>
      <w:divBdr>
        <w:top w:val="none" w:sz="0" w:space="0" w:color="auto"/>
        <w:left w:val="none" w:sz="0" w:space="0" w:color="auto"/>
        <w:bottom w:val="none" w:sz="0" w:space="0" w:color="auto"/>
        <w:right w:val="none" w:sz="0" w:space="0" w:color="auto"/>
      </w:divBdr>
    </w:div>
    <w:div w:id="1596789937">
      <w:bodyDiv w:val="1"/>
      <w:marLeft w:val="0"/>
      <w:marRight w:val="0"/>
      <w:marTop w:val="0"/>
      <w:marBottom w:val="0"/>
      <w:divBdr>
        <w:top w:val="none" w:sz="0" w:space="0" w:color="auto"/>
        <w:left w:val="none" w:sz="0" w:space="0" w:color="auto"/>
        <w:bottom w:val="none" w:sz="0" w:space="0" w:color="auto"/>
        <w:right w:val="none" w:sz="0" w:space="0" w:color="auto"/>
      </w:divBdr>
    </w:div>
    <w:div w:id="1676609173">
      <w:bodyDiv w:val="1"/>
      <w:marLeft w:val="0"/>
      <w:marRight w:val="0"/>
      <w:marTop w:val="0"/>
      <w:marBottom w:val="0"/>
      <w:divBdr>
        <w:top w:val="none" w:sz="0" w:space="0" w:color="auto"/>
        <w:left w:val="none" w:sz="0" w:space="0" w:color="auto"/>
        <w:bottom w:val="none" w:sz="0" w:space="0" w:color="auto"/>
        <w:right w:val="none" w:sz="0" w:space="0" w:color="auto"/>
      </w:divBdr>
    </w:div>
    <w:div w:id="1698577325">
      <w:bodyDiv w:val="1"/>
      <w:marLeft w:val="0"/>
      <w:marRight w:val="0"/>
      <w:marTop w:val="0"/>
      <w:marBottom w:val="0"/>
      <w:divBdr>
        <w:top w:val="none" w:sz="0" w:space="0" w:color="auto"/>
        <w:left w:val="none" w:sz="0" w:space="0" w:color="auto"/>
        <w:bottom w:val="none" w:sz="0" w:space="0" w:color="auto"/>
        <w:right w:val="none" w:sz="0" w:space="0" w:color="auto"/>
      </w:divBdr>
    </w:div>
    <w:div w:id="1726173403">
      <w:bodyDiv w:val="1"/>
      <w:marLeft w:val="0"/>
      <w:marRight w:val="0"/>
      <w:marTop w:val="0"/>
      <w:marBottom w:val="0"/>
      <w:divBdr>
        <w:top w:val="none" w:sz="0" w:space="0" w:color="auto"/>
        <w:left w:val="none" w:sz="0" w:space="0" w:color="auto"/>
        <w:bottom w:val="none" w:sz="0" w:space="0" w:color="auto"/>
        <w:right w:val="none" w:sz="0" w:space="0" w:color="auto"/>
      </w:divBdr>
    </w:div>
    <w:div w:id="1741949116">
      <w:bodyDiv w:val="1"/>
      <w:marLeft w:val="0"/>
      <w:marRight w:val="0"/>
      <w:marTop w:val="0"/>
      <w:marBottom w:val="0"/>
      <w:divBdr>
        <w:top w:val="none" w:sz="0" w:space="0" w:color="auto"/>
        <w:left w:val="none" w:sz="0" w:space="0" w:color="auto"/>
        <w:bottom w:val="none" w:sz="0" w:space="0" w:color="auto"/>
        <w:right w:val="none" w:sz="0" w:space="0" w:color="auto"/>
      </w:divBdr>
    </w:div>
    <w:div w:id="1743067325">
      <w:bodyDiv w:val="1"/>
      <w:marLeft w:val="0"/>
      <w:marRight w:val="0"/>
      <w:marTop w:val="0"/>
      <w:marBottom w:val="0"/>
      <w:divBdr>
        <w:top w:val="none" w:sz="0" w:space="0" w:color="auto"/>
        <w:left w:val="none" w:sz="0" w:space="0" w:color="auto"/>
        <w:bottom w:val="none" w:sz="0" w:space="0" w:color="auto"/>
        <w:right w:val="none" w:sz="0" w:space="0" w:color="auto"/>
      </w:divBdr>
    </w:div>
    <w:div w:id="1781415123">
      <w:bodyDiv w:val="1"/>
      <w:marLeft w:val="0"/>
      <w:marRight w:val="0"/>
      <w:marTop w:val="0"/>
      <w:marBottom w:val="0"/>
      <w:divBdr>
        <w:top w:val="none" w:sz="0" w:space="0" w:color="auto"/>
        <w:left w:val="none" w:sz="0" w:space="0" w:color="auto"/>
        <w:bottom w:val="none" w:sz="0" w:space="0" w:color="auto"/>
        <w:right w:val="none" w:sz="0" w:space="0" w:color="auto"/>
      </w:divBdr>
    </w:div>
    <w:div w:id="1797940687">
      <w:bodyDiv w:val="1"/>
      <w:marLeft w:val="0"/>
      <w:marRight w:val="0"/>
      <w:marTop w:val="0"/>
      <w:marBottom w:val="0"/>
      <w:divBdr>
        <w:top w:val="none" w:sz="0" w:space="0" w:color="auto"/>
        <w:left w:val="none" w:sz="0" w:space="0" w:color="auto"/>
        <w:bottom w:val="none" w:sz="0" w:space="0" w:color="auto"/>
        <w:right w:val="none" w:sz="0" w:space="0" w:color="auto"/>
      </w:divBdr>
    </w:div>
    <w:div w:id="1806728823">
      <w:bodyDiv w:val="1"/>
      <w:marLeft w:val="0"/>
      <w:marRight w:val="0"/>
      <w:marTop w:val="0"/>
      <w:marBottom w:val="0"/>
      <w:divBdr>
        <w:top w:val="none" w:sz="0" w:space="0" w:color="auto"/>
        <w:left w:val="none" w:sz="0" w:space="0" w:color="auto"/>
        <w:bottom w:val="none" w:sz="0" w:space="0" w:color="auto"/>
        <w:right w:val="none" w:sz="0" w:space="0" w:color="auto"/>
      </w:divBdr>
    </w:div>
    <w:div w:id="1807965750">
      <w:bodyDiv w:val="1"/>
      <w:marLeft w:val="0"/>
      <w:marRight w:val="0"/>
      <w:marTop w:val="0"/>
      <w:marBottom w:val="0"/>
      <w:divBdr>
        <w:top w:val="none" w:sz="0" w:space="0" w:color="auto"/>
        <w:left w:val="none" w:sz="0" w:space="0" w:color="auto"/>
        <w:bottom w:val="none" w:sz="0" w:space="0" w:color="auto"/>
        <w:right w:val="none" w:sz="0" w:space="0" w:color="auto"/>
      </w:divBdr>
    </w:div>
    <w:div w:id="1880048742">
      <w:bodyDiv w:val="1"/>
      <w:marLeft w:val="0"/>
      <w:marRight w:val="0"/>
      <w:marTop w:val="0"/>
      <w:marBottom w:val="0"/>
      <w:divBdr>
        <w:top w:val="none" w:sz="0" w:space="0" w:color="auto"/>
        <w:left w:val="none" w:sz="0" w:space="0" w:color="auto"/>
        <w:bottom w:val="none" w:sz="0" w:space="0" w:color="auto"/>
        <w:right w:val="none" w:sz="0" w:space="0" w:color="auto"/>
      </w:divBdr>
    </w:div>
    <w:div w:id="1904370522">
      <w:bodyDiv w:val="1"/>
      <w:marLeft w:val="0"/>
      <w:marRight w:val="0"/>
      <w:marTop w:val="0"/>
      <w:marBottom w:val="0"/>
      <w:divBdr>
        <w:top w:val="none" w:sz="0" w:space="0" w:color="auto"/>
        <w:left w:val="none" w:sz="0" w:space="0" w:color="auto"/>
        <w:bottom w:val="none" w:sz="0" w:space="0" w:color="auto"/>
        <w:right w:val="none" w:sz="0" w:space="0" w:color="auto"/>
      </w:divBdr>
    </w:div>
    <w:div w:id="1918514319">
      <w:bodyDiv w:val="1"/>
      <w:marLeft w:val="0"/>
      <w:marRight w:val="0"/>
      <w:marTop w:val="0"/>
      <w:marBottom w:val="0"/>
      <w:divBdr>
        <w:top w:val="none" w:sz="0" w:space="0" w:color="auto"/>
        <w:left w:val="none" w:sz="0" w:space="0" w:color="auto"/>
        <w:bottom w:val="none" w:sz="0" w:space="0" w:color="auto"/>
        <w:right w:val="none" w:sz="0" w:space="0" w:color="auto"/>
      </w:divBdr>
    </w:div>
    <w:div w:id="1937714392">
      <w:bodyDiv w:val="1"/>
      <w:marLeft w:val="0"/>
      <w:marRight w:val="0"/>
      <w:marTop w:val="0"/>
      <w:marBottom w:val="0"/>
      <w:divBdr>
        <w:top w:val="none" w:sz="0" w:space="0" w:color="auto"/>
        <w:left w:val="none" w:sz="0" w:space="0" w:color="auto"/>
        <w:bottom w:val="none" w:sz="0" w:space="0" w:color="auto"/>
        <w:right w:val="none" w:sz="0" w:space="0" w:color="auto"/>
      </w:divBdr>
    </w:div>
    <w:div w:id="1950625274">
      <w:bodyDiv w:val="1"/>
      <w:marLeft w:val="0"/>
      <w:marRight w:val="0"/>
      <w:marTop w:val="0"/>
      <w:marBottom w:val="0"/>
      <w:divBdr>
        <w:top w:val="none" w:sz="0" w:space="0" w:color="auto"/>
        <w:left w:val="none" w:sz="0" w:space="0" w:color="auto"/>
        <w:bottom w:val="none" w:sz="0" w:space="0" w:color="auto"/>
        <w:right w:val="none" w:sz="0" w:space="0" w:color="auto"/>
      </w:divBdr>
    </w:div>
    <w:div w:id="1959992401">
      <w:bodyDiv w:val="1"/>
      <w:marLeft w:val="0"/>
      <w:marRight w:val="0"/>
      <w:marTop w:val="0"/>
      <w:marBottom w:val="0"/>
      <w:divBdr>
        <w:top w:val="none" w:sz="0" w:space="0" w:color="auto"/>
        <w:left w:val="none" w:sz="0" w:space="0" w:color="auto"/>
        <w:bottom w:val="none" w:sz="0" w:space="0" w:color="auto"/>
        <w:right w:val="none" w:sz="0" w:space="0" w:color="auto"/>
      </w:divBdr>
    </w:div>
    <w:div w:id="213275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__doLinkPostBack('','ss~~AR%20%22ZENDELOVSKI%2C%20Goran%22%7C%7Csl~~rl','');" TargetMode="External"/><Relationship Id="rId18" Type="http://schemas.openxmlformats.org/officeDocument/2006/relationships/hyperlink" Target="http://www.europeanleadershipnetwork.org/medialibrary/2017/06/12/6c4740de/170608%20ELN%20Issues%20Brief%20-%20Defence%20Spending.pdf" TargetMode="External"/><Relationship Id="rId26" Type="http://schemas.openxmlformats.org/officeDocument/2006/relationships/hyperlink" Target="https://www.tandfonline.com/toc/cgsj20/current" TargetMode="External"/><Relationship Id="rId39" Type="http://schemas.openxmlformats.org/officeDocument/2006/relationships/hyperlink" Target="https://www.tandfonline.com/toc/rjpp20/25/8" TargetMode="External"/><Relationship Id="rId21" Type="http://schemas.openxmlformats.org/officeDocument/2006/relationships/hyperlink" Target="https://www.tandfonline.com/author/Steindler%2C+Chiara" TargetMode="External"/><Relationship Id="rId34" Type="http://schemas.openxmlformats.org/officeDocument/2006/relationships/hyperlink" Target="https://www.tandfonline.com/toc/rpcb20/6/3" TargetMode="External"/><Relationship Id="rId42" Type="http://schemas.openxmlformats.org/officeDocument/2006/relationships/hyperlink" Target="https://www.tandfonline.com/toc/feus20/27/2" TargetMode="External"/><Relationship Id="rId47" Type="http://schemas.openxmlformats.org/officeDocument/2006/relationships/hyperlink" Target="https://pm.gc.ca/en/news/backgrounders/2021/06/15/canada-european-union-summit-joint-statement" TargetMode="External"/><Relationship Id="rId50" Type="http://schemas.openxmlformats.org/officeDocument/2006/relationships/hyperlink" Target="http://www.carleton.ca/csas" TargetMode="External"/><Relationship Id="rId55" Type="http://schemas.openxmlformats.org/officeDocument/2006/relationships/hyperlink" Target="http://carleton.ca/covid19" TargetMode="External"/><Relationship Id="rId63" Type="http://schemas.openxmlformats.org/officeDocument/2006/relationships/hyperlink" Target="https://carleton.ca/equity/sexual-assault-support-services" TargetMode="External"/><Relationship Id="rId7" Type="http://schemas.openxmlformats.org/officeDocument/2006/relationships/hyperlink" Target="mailto:l.ratti@aur.edu" TargetMode="External"/><Relationship Id="rId2" Type="http://schemas.openxmlformats.org/officeDocument/2006/relationships/styles" Target="styles.xml"/><Relationship Id="rId16" Type="http://schemas.openxmlformats.org/officeDocument/2006/relationships/hyperlink" Target="https://www.europarl.europa.eu/RegData/etudes/BRIE/2020/659269/EPRS_BRI(2020)659269_EN.pdf" TargetMode="External"/><Relationship Id="rId29" Type="http://schemas.openxmlformats.org/officeDocument/2006/relationships/hyperlink" Target="https://www.tandfonline.com/author/Bergmann%2C+Julia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ai.it/sites/default/files/iaip2101.pdf" TargetMode="External"/><Relationship Id="rId24" Type="http://schemas.openxmlformats.org/officeDocument/2006/relationships/hyperlink" Target="https://www.tandfonline.com/author/Pohl%2C+Benjamin" TargetMode="External"/><Relationship Id="rId32" Type="http://schemas.openxmlformats.org/officeDocument/2006/relationships/hyperlink" Target="https://www.tandfonline.com/author/Kirchner%2C+Emil" TargetMode="External"/><Relationship Id="rId37" Type="http://schemas.openxmlformats.org/officeDocument/2006/relationships/hyperlink" Target="https://www.tandfonline.com/toc/tsur20/53/3" TargetMode="External"/><Relationship Id="rId40" Type="http://schemas.openxmlformats.org/officeDocument/2006/relationships/hyperlink" Target="https://www.tandfonline.com/toc/geui20/40/5" TargetMode="External"/><Relationship Id="rId45" Type="http://schemas.openxmlformats.org/officeDocument/2006/relationships/hyperlink" Target="http://web.a.ebscohost.com.proxy.library.carleton.ca/ehost/viewarticle/render?data=dGJyMPPp44rp2%2fdV0%2bnjisfk5Ie46bZQtq2xT7ek63nn5Kx95uXxjL6rrUm0pbBIr66eTLiptVKxrp5oy5zyit%2fk8Xnh6ueH7N%2fiVauorlCzrbFItKuuPurX7H%2b72%2bw%2b4ti7jPHepIzf3btZzJzfhrunr1C2rLFKsqmkfu3o63nys%2bSN6uLyffbq&amp;vid=18&amp;sid=86960873-273c-4eb7-bd87-d852a61a4a27@sessionmgr4010" TargetMode="External"/><Relationship Id="rId53" Type="http://schemas.openxmlformats.org/officeDocument/2006/relationships/hyperlink" Target="https://carleton.ca/covid19/screening/" TargetMode="External"/><Relationship Id="rId58" Type="http://schemas.openxmlformats.org/officeDocument/2006/relationships/hyperlink" Target="mailto:covidinfo@carleton.ca" TargetMode="External"/><Relationship Id="rId66"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cer.eu/sites/default/files/insight_IB_CMM_LS_KG_belarus_12.11.21.pdf" TargetMode="External"/><Relationship Id="rId23" Type="http://schemas.openxmlformats.org/officeDocument/2006/relationships/hyperlink" Target="https://www.tandfonline.com/author/Huff%2C+Ariella" TargetMode="External"/><Relationship Id="rId28" Type="http://schemas.openxmlformats.org/officeDocument/2006/relationships/hyperlink" Target="https://www.tandfonline.com/toc/fcsp20/34/2" TargetMode="External"/><Relationship Id="rId36" Type="http://schemas.openxmlformats.org/officeDocument/2006/relationships/hyperlink" Target="https://www.tandfonline.com/author/Pohl%2C+Benjamin" TargetMode="External"/><Relationship Id="rId49" Type="http://schemas.openxmlformats.org/officeDocument/2006/relationships/hyperlink" Target="https://www.kas.de/c/document_library/get_file?uuid=3e4a8021-c8c3-0064-581e-3def9dd112b8&amp;groupId=252038" TargetMode="External"/><Relationship Id="rId57" Type="http://schemas.openxmlformats.org/officeDocument/2006/relationships/hyperlink" Target="https://carleton.ca/covid19/faq/" TargetMode="External"/><Relationship Id="rId61" Type="http://schemas.openxmlformats.org/officeDocument/2006/relationships/hyperlink" Target="https://carleton.ca/equity/accommodation/religious-observances/" TargetMode="External"/><Relationship Id="rId10" Type="http://schemas.openxmlformats.org/officeDocument/2006/relationships/hyperlink" Target="https://eeas.europa.eu/top_stories/pdf/eugs_review_web.pdf" TargetMode="External"/><Relationship Id="rId19" Type="http://schemas.openxmlformats.org/officeDocument/2006/relationships/hyperlink" Target="https://www.tandfonline.com/author/Schmitt%2C+Olivier" TargetMode="External"/><Relationship Id="rId31" Type="http://schemas.openxmlformats.org/officeDocument/2006/relationships/hyperlink" Target="https://www.tandfonline.com/author/McDonagh%2C+Kenneth" TargetMode="External"/><Relationship Id="rId44" Type="http://schemas.openxmlformats.org/officeDocument/2006/relationships/hyperlink" Target="javascript:__doLinkPostBack('','mdb~~tsh%7C%7Cjdb~~tshjnh%7C%7Css~~JN%20%22European%20Security%22%7C%7Csl~~jh','');" TargetMode="External"/><Relationship Id="rId52" Type="http://schemas.openxmlformats.org/officeDocument/2006/relationships/hyperlink" Target="http://carleton.ca/studentaffairs/academic-integrity/" TargetMode="External"/><Relationship Id="rId60" Type="http://schemas.openxmlformats.org/officeDocument/2006/relationships/hyperlink" Target="https://carleton.ca/equity/accommodation/pregnancy-accommodation-form/" TargetMode="External"/><Relationship Id="rId6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nb.info/1233679198/34" TargetMode="External"/><Relationship Id="rId14" Type="http://schemas.openxmlformats.org/officeDocument/2006/relationships/hyperlink" Target="javascript:__doLinkPostBack('','mdb~~tsh%7C%7Cjdb~~tshjnh%7C%7Css~~JN%20%22Security%20Dialogues%22%7C%7Csl~~jh','');" TargetMode="External"/><Relationship Id="rId22" Type="http://schemas.openxmlformats.org/officeDocument/2006/relationships/hyperlink" Target="https://www.tandfonline.com/toc/feus20/24/3" TargetMode="External"/><Relationship Id="rId27" Type="http://schemas.openxmlformats.org/officeDocument/2006/relationships/hyperlink" Target="https://www.tandfonline.com/author/Ringsmose%2C+Jens" TargetMode="External"/><Relationship Id="rId30" Type="http://schemas.openxmlformats.org/officeDocument/2006/relationships/hyperlink" Target="https://www.tandfonline.com/author/Deiana%2C+Maria-Adriana" TargetMode="External"/><Relationship Id="rId35" Type="http://schemas.openxmlformats.org/officeDocument/2006/relationships/hyperlink" Target="https://www.europarl.europa.eu/RegData/etudes/IDAN/2020/603481/EXPO_IDA(2020)603481_EN.pdf" TargetMode="External"/><Relationship Id="rId43" Type="http://schemas.openxmlformats.org/officeDocument/2006/relationships/hyperlink" Target="https://www.tandfonline.com/author/Marsh%2C+Steve" TargetMode="External"/><Relationship Id="rId48" Type="http://schemas.openxmlformats.org/officeDocument/2006/relationships/hyperlink" Target="https://halshs.archives-ouvertes.fr/halshs-03323014/document" TargetMode="External"/><Relationship Id="rId56" Type="http://schemas.openxmlformats.org/officeDocument/2006/relationships/hyperlink" Target="https://carleton.ca/covid19/" TargetMode="External"/><Relationship Id="rId64" Type="http://schemas.openxmlformats.org/officeDocument/2006/relationships/hyperlink" Target="https://carleton.ca/senate/wp-content/uploads/Accommodation-for-Student-Activities-1.pdf" TargetMode="External"/><Relationship Id="rId8" Type="http://schemas.openxmlformats.org/officeDocument/2006/relationships/hyperlink" Target="https://www.iai.it/sites/default/files/9788893681780.pdf" TargetMode="External"/><Relationship Id="rId51" Type="http://schemas.openxmlformats.org/officeDocument/2006/relationships/hyperlink" Target="http://www.carleton.ca/pmc" TargetMode="External"/><Relationship Id="rId3" Type="http://schemas.openxmlformats.org/officeDocument/2006/relationships/settings" Target="settings.xml"/><Relationship Id="rId12" Type="http://schemas.openxmlformats.org/officeDocument/2006/relationships/hyperlink" Target="https://europa.eu/globalstrategy/en/european-security-strategy-secure-europe-better-world" TargetMode="External"/><Relationship Id="rId17" Type="http://schemas.openxmlformats.org/officeDocument/2006/relationships/hyperlink" Target="https://www.egmontinstitute.be/content/uploads/2018/11/NeD150.pdf" TargetMode="External"/><Relationship Id="rId25" Type="http://schemas.openxmlformats.org/officeDocument/2006/relationships/hyperlink" Target="https://www.tandfonline.com/toc/fcsp20/current" TargetMode="External"/><Relationship Id="rId33" Type="http://schemas.openxmlformats.org/officeDocument/2006/relationships/hyperlink" Target="https://www.tandfonline.com/toc/cjsb20/20/6" TargetMode="External"/><Relationship Id="rId38" Type="http://schemas.openxmlformats.org/officeDocument/2006/relationships/hyperlink" Target="https://www.iss.europa.eu/sites/default/files/EUISSFiles/Brief%209__Civilian%20CSDP.pdf" TargetMode="External"/><Relationship Id="rId46" Type="http://schemas.openxmlformats.org/officeDocument/2006/relationships/hyperlink" Target="https://www.international.gc.ca/world-monde/international_relations-relations_internationales/can-eu_spa-aps_can-ue.aspx?lang=eng" TargetMode="External"/><Relationship Id="rId59" Type="http://schemas.openxmlformats.org/officeDocument/2006/relationships/hyperlink" Target="https://carleton.ca/studentaffairs/student-rights-and-responsibilities/" TargetMode="External"/><Relationship Id="rId67" Type="http://schemas.openxmlformats.org/officeDocument/2006/relationships/theme" Target="theme/theme1.xml"/><Relationship Id="rId20" Type="http://schemas.openxmlformats.org/officeDocument/2006/relationships/hyperlink" Target="https://www.tandfonline.com/toc/feus20/current" TargetMode="External"/><Relationship Id="rId41" Type="http://schemas.openxmlformats.org/officeDocument/2006/relationships/hyperlink" Target="https://www.tandfonline.com/toc/feus20/current" TargetMode="External"/><Relationship Id="rId54" Type="http://schemas.openxmlformats.org/officeDocument/2006/relationships/hyperlink" Target="https://carleton.ca/covid19/covid-19-symptom-reporting/" TargetMode="External"/><Relationship Id="rId62" Type="http://schemas.openxmlformats.org/officeDocument/2006/relationships/hyperlink" Target="mailto:pmc@carleton.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9152</Words>
  <Characters>52170</Characters>
  <Application>Microsoft Office Word</Application>
  <DocSecurity>0</DocSecurity>
  <Lines>434</Lines>
  <Paragraphs>122</Paragraphs>
  <ScaleCrop>false</ScaleCrop>
  <HeadingPairs>
    <vt:vector size="6" baseType="variant">
      <vt:variant>
        <vt:lpstr>Title</vt:lpstr>
      </vt:variant>
      <vt:variant>
        <vt:i4>1</vt:i4>
      </vt:variant>
      <vt:variant>
        <vt:lpstr>Headings</vt:lpstr>
      </vt:variant>
      <vt:variant>
        <vt:i4>2</vt:i4>
      </vt:variant>
      <vt:variant>
        <vt:lpstr>Titel</vt:lpstr>
      </vt:variant>
      <vt:variant>
        <vt:i4>1</vt:i4>
      </vt:variant>
    </vt:vector>
  </HeadingPairs>
  <TitlesOfParts>
    <vt:vector size="4" baseType="lpstr">
      <vt:lpstr/>
      <vt:lpstr>Journal of Common Market Studies, 49, no. 1, 2010</vt:lpstr>
      <vt:lpstr>        Pernille Rieker and Krinstian Lundby  Gjerde,  ‘The EU, Russia and the potential</vt:lpstr>
      <vt:lpstr/>
    </vt:vector>
  </TitlesOfParts>
  <Company>Carleton University</Company>
  <LinksUpToDate>false</LinksUpToDate>
  <CharactersWithSpaces>61200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Debardeleben</dc:creator>
  <cp:lastModifiedBy>Precious Oluwasanya</cp:lastModifiedBy>
  <cp:revision>2</cp:revision>
  <cp:lastPrinted>2018-04-30T11:02:00Z</cp:lastPrinted>
  <dcterms:created xsi:type="dcterms:W3CDTF">2021-12-17T19:55:00Z</dcterms:created>
  <dcterms:modified xsi:type="dcterms:W3CDTF">2021-12-17T19:55:00Z</dcterms:modified>
</cp:coreProperties>
</file>