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2622" w14:textId="64733CA4" w:rsidR="0070069B" w:rsidRPr="00C21E9E" w:rsidRDefault="0070069B">
      <w:pPr>
        <w:tabs>
          <w:tab w:val="right" w:pos="9356"/>
        </w:tabs>
        <w:rPr>
          <w:b/>
          <w:lang w:val="en-US"/>
        </w:rPr>
      </w:pPr>
      <w:r w:rsidRPr="00C21E9E">
        <w:rPr>
          <w:b/>
          <w:lang w:val="en-US"/>
        </w:rPr>
        <w:t>Carleton University</w:t>
      </w:r>
      <w:r w:rsidRPr="00C21E9E">
        <w:rPr>
          <w:b/>
          <w:lang w:val="en-US"/>
        </w:rPr>
        <w:tab/>
      </w:r>
      <w:r w:rsidR="00C14889">
        <w:rPr>
          <w:b/>
          <w:lang w:val="en-US"/>
        </w:rPr>
        <w:t>Late</w:t>
      </w:r>
      <w:r w:rsidR="001468BF">
        <w:rPr>
          <w:b/>
          <w:lang w:val="en-US"/>
        </w:rPr>
        <w:t xml:space="preserve"> </w:t>
      </w:r>
      <w:r w:rsidR="001318D4">
        <w:rPr>
          <w:b/>
          <w:lang w:val="en-US"/>
        </w:rPr>
        <w:t>Summer</w:t>
      </w:r>
      <w:r w:rsidR="00212A15">
        <w:rPr>
          <w:b/>
          <w:lang w:val="en-US"/>
        </w:rPr>
        <w:t xml:space="preserve"> 20</w:t>
      </w:r>
      <w:r w:rsidR="00B36E2A">
        <w:rPr>
          <w:b/>
          <w:lang w:val="en-US"/>
        </w:rPr>
        <w:t>2</w:t>
      </w:r>
      <w:r w:rsidR="003D7A86">
        <w:rPr>
          <w:b/>
          <w:lang w:val="en-US"/>
        </w:rPr>
        <w:t>2</w:t>
      </w:r>
    </w:p>
    <w:p w14:paraId="1E8EA285" w14:textId="2239D613" w:rsidR="00AE3AB5" w:rsidRDefault="001318D4">
      <w:pPr>
        <w:rPr>
          <w:b/>
          <w:lang w:val="en-US"/>
        </w:rPr>
      </w:pPr>
      <w:r>
        <w:rPr>
          <w:b/>
          <w:lang w:val="en-US"/>
        </w:rPr>
        <w:t>Institute of European, Russian and Eurasian Studies</w:t>
      </w:r>
    </w:p>
    <w:p w14:paraId="60FD9CAF" w14:textId="77777777" w:rsidR="0070069B" w:rsidRPr="00C21E9E" w:rsidRDefault="0070069B">
      <w:pPr>
        <w:rPr>
          <w:b/>
          <w:lang w:val="en-US"/>
        </w:rPr>
      </w:pPr>
      <w:r w:rsidRPr="00C21E9E">
        <w:rPr>
          <w:b/>
          <w:lang w:val="en-US"/>
        </w:rPr>
        <w:t>Department of Political Science</w:t>
      </w:r>
      <w:r w:rsidRPr="00C21E9E">
        <w:rPr>
          <w:b/>
          <w:lang w:val="en-US"/>
        </w:rPr>
        <w:br/>
      </w:r>
    </w:p>
    <w:p w14:paraId="7C70D3A4" w14:textId="77777777" w:rsidR="0070069B" w:rsidRPr="00DF52B0" w:rsidRDefault="001318D4">
      <w:pPr>
        <w:jc w:val="center"/>
        <w:rPr>
          <w:b/>
          <w:sz w:val="26"/>
          <w:szCs w:val="26"/>
          <w:lang w:val="en-US"/>
        </w:rPr>
      </w:pPr>
      <w:r>
        <w:rPr>
          <w:b/>
          <w:sz w:val="26"/>
          <w:szCs w:val="26"/>
          <w:lang w:val="en-US"/>
        </w:rPr>
        <w:t>EURR 5108 / PSCI 5103</w:t>
      </w:r>
    </w:p>
    <w:p w14:paraId="0F743444" w14:textId="72948091" w:rsidR="0070069B" w:rsidRPr="00993480" w:rsidRDefault="00A123B5">
      <w:pPr>
        <w:jc w:val="center"/>
        <w:rPr>
          <w:b/>
          <w:sz w:val="26"/>
          <w:szCs w:val="26"/>
          <w:lang w:val="en-CA"/>
        </w:rPr>
      </w:pPr>
      <w:r w:rsidRPr="00993480">
        <w:rPr>
          <w:b/>
          <w:sz w:val="26"/>
          <w:szCs w:val="26"/>
          <w:lang w:val="en-CA"/>
        </w:rPr>
        <w:t>Canada-</w:t>
      </w:r>
      <w:r w:rsidR="001318D4" w:rsidRPr="00993480">
        <w:rPr>
          <w:b/>
          <w:sz w:val="26"/>
          <w:szCs w:val="26"/>
          <w:lang w:val="en-CA"/>
        </w:rPr>
        <w:t>EU Relations: Summer Module</w:t>
      </w:r>
    </w:p>
    <w:p w14:paraId="46152AD8" w14:textId="54E5762E" w:rsidR="00AF4610" w:rsidRPr="003D7A86" w:rsidRDefault="003D7A86">
      <w:pPr>
        <w:jc w:val="center"/>
        <w:rPr>
          <w:b/>
          <w:sz w:val="26"/>
          <w:szCs w:val="26"/>
          <w:lang w:val="en-CA"/>
        </w:rPr>
      </w:pPr>
      <w:r w:rsidRPr="003D7A86">
        <w:rPr>
          <w:b/>
          <w:sz w:val="26"/>
          <w:szCs w:val="26"/>
          <w:lang w:val="en-CA"/>
        </w:rPr>
        <w:t>Seminar meetings: 3</w:t>
      </w:r>
      <w:r>
        <w:rPr>
          <w:b/>
          <w:sz w:val="26"/>
          <w:szCs w:val="26"/>
          <w:lang w:val="en-CA"/>
        </w:rPr>
        <w:t>228 Richcraft Hall</w:t>
      </w:r>
    </w:p>
    <w:p w14:paraId="25476004" w14:textId="4A8E0E8D" w:rsidR="00CE5C02" w:rsidRPr="003D7A86" w:rsidRDefault="00CE5C02" w:rsidP="003436DC">
      <w:pPr>
        <w:rPr>
          <w:b/>
          <w:lang w:val="en-CA"/>
        </w:rPr>
      </w:pPr>
    </w:p>
    <w:p w14:paraId="3E3B529E" w14:textId="77777777" w:rsidR="0070069B" w:rsidRPr="00C21E9E" w:rsidRDefault="0070069B">
      <w:pPr>
        <w:tabs>
          <w:tab w:val="left" w:pos="1701"/>
          <w:tab w:val="left" w:pos="6521"/>
        </w:tabs>
        <w:rPr>
          <w:lang w:val="en-US"/>
        </w:rPr>
      </w:pPr>
      <w:r w:rsidRPr="00C21E9E">
        <w:rPr>
          <w:lang w:val="en-US"/>
        </w:rPr>
        <w:t xml:space="preserve">Instructor: </w:t>
      </w:r>
      <w:r w:rsidRPr="00C21E9E">
        <w:rPr>
          <w:b/>
          <w:lang w:val="en-US"/>
        </w:rPr>
        <w:tab/>
      </w:r>
      <w:r w:rsidRPr="00C21E9E">
        <w:rPr>
          <w:lang w:val="en-US"/>
        </w:rPr>
        <w:t>Achim Hurrelmann</w:t>
      </w:r>
    </w:p>
    <w:p w14:paraId="76FFBC13" w14:textId="03607C62" w:rsidR="00BB40BF" w:rsidRPr="00BB40BF" w:rsidRDefault="0070069B">
      <w:pPr>
        <w:tabs>
          <w:tab w:val="left" w:pos="1701"/>
          <w:tab w:val="left" w:pos="6521"/>
        </w:tabs>
        <w:rPr>
          <w:lang w:val="en-CA"/>
        </w:rPr>
      </w:pPr>
      <w:r w:rsidRPr="00C21E9E">
        <w:rPr>
          <w:lang w:val="en-US"/>
        </w:rPr>
        <w:t>Office Hours:</w:t>
      </w:r>
      <w:r w:rsidRPr="00C21E9E">
        <w:rPr>
          <w:lang w:val="en-US"/>
        </w:rPr>
        <w:tab/>
      </w:r>
      <w:r w:rsidR="00C14889" w:rsidRPr="00C04FDD">
        <w:rPr>
          <w:lang w:val="en-US"/>
        </w:rPr>
        <w:t xml:space="preserve">Mondays, </w:t>
      </w:r>
      <w:r w:rsidR="003D7A86">
        <w:rPr>
          <w:lang w:val="en-CA"/>
        </w:rPr>
        <w:t>1</w:t>
      </w:r>
      <w:r w:rsidR="00C14889" w:rsidRPr="00C04FDD">
        <w:rPr>
          <w:lang w:val="en-CA"/>
        </w:rPr>
        <w:t>:00-</w:t>
      </w:r>
      <w:r w:rsidR="003D7A86">
        <w:rPr>
          <w:lang w:val="en-CA"/>
        </w:rPr>
        <w:t>3</w:t>
      </w:r>
      <w:r w:rsidR="00C14889" w:rsidRPr="00C04FDD">
        <w:rPr>
          <w:lang w:val="en-CA"/>
        </w:rPr>
        <w:t>:00pm</w:t>
      </w:r>
      <w:r w:rsidR="00DE3172">
        <w:rPr>
          <w:lang w:val="en-CA"/>
        </w:rPr>
        <w:t xml:space="preserve"> </w:t>
      </w:r>
      <w:r w:rsidR="00C14889" w:rsidRPr="00C04FDD">
        <w:rPr>
          <w:lang w:val="en-CA"/>
        </w:rPr>
        <w:t>(</w:t>
      </w:r>
      <w:r w:rsidR="00DE3172">
        <w:rPr>
          <w:lang w:val="en-CA"/>
        </w:rPr>
        <w:t>Zoom, access via Brightspace</w:t>
      </w:r>
      <w:r w:rsidR="00C14889" w:rsidRPr="00C04FDD">
        <w:rPr>
          <w:lang w:val="en-CA"/>
        </w:rPr>
        <w:t>)</w:t>
      </w:r>
      <w:r w:rsidR="00BB40BF">
        <w:rPr>
          <w:lang w:val="en-CA"/>
        </w:rPr>
        <w:t xml:space="preserve"> </w:t>
      </w:r>
    </w:p>
    <w:p w14:paraId="287EE99C" w14:textId="77777777" w:rsidR="0070069B" w:rsidRDefault="0070069B">
      <w:pPr>
        <w:tabs>
          <w:tab w:val="left" w:pos="1701"/>
          <w:tab w:val="left" w:pos="6521"/>
        </w:tabs>
        <w:rPr>
          <w:lang w:val="en-GB"/>
        </w:rPr>
      </w:pPr>
      <w:r w:rsidRPr="00C21E9E">
        <w:rPr>
          <w:lang w:val="en-GB"/>
        </w:rPr>
        <w:t xml:space="preserve">Email: </w:t>
      </w:r>
      <w:r w:rsidRPr="00C21E9E">
        <w:rPr>
          <w:lang w:val="en-GB"/>
        </w:rPr>
        <w:tab/>
      </w:r>
      <w:hyperlink r:id="rId8" w:history="1">
        <w:r w:rsidR="00606E83" w:rsidRPr="00520478">
          <w:rPr>
            <w:rStyle w:val="Hyperlink"/>
            <w:lang w:val="en-GB"/>
          </w:rPr>
          <w:t>achim.hurrelmann@carleton.ca</w:t>
        </w:r>
      </w:hyperlink>
    </w:p>
    <w:p w14:paraId="27D4CB6F" w14:textId="77777777" w:rsidR="00E53B9B" w:rsidRDefault="00E53B9B">
      <w:pPr>
        <w:tabs>
          <w:tab w:val="left" w:pos="1701"/>
          <w:tab w:val="left" w:pos="6521"/>
        </w:tabs>
        <w:rPr>
          <w:lang w:val="en-GB"/>
        </w:rPr>
      </w:pPr>
      <w:r>
        <w:rPr>
          <w:lang w:val="en-GB"/>
        </w:rPr>
        <w:t>Twitter:</w:t>
      </w:r>
      <w:r>
        <w:rPr>
          <w:lang w:val="en-GB"/>
        </w:rPr>
        <w:tab/>
        <w:t>@achimhurrelmann</w:t>
      </w:r>
    </w:p>
    <w:p w14:paraId="2501E709" w14:textId="77777777" w:rsidR="00964D45" w:rsidRPr="00C21E9E" w:rsidRDefault="00964D45">
      <w:pPr>
        <w:tabs>
          <w:tab w:val="left" w:pos="1701"/>
          <w:tab w:val="left" w:pos="6521"/>
        </w:tabs>
        <w:rPr>
          <w:lang w:val="en-GB"/>
        </w:rPr>
      </w:pPr>
    </w:p>
    <w:p w14:paraId="5508FAD1" w14:textId="5A64014B" w:rsidR="0070069B" w:rsidRDefault="003D7A86" w:rsidP="00964D45">
      <w:pPr>
        <w:ind w:left="-90"/>
        <w:rPr>
          <w:b/>
          <w:lang w:val="en-US"/>
        </w:rPr>
      </w:pPr>
      <w:r>
        <w:rPr>
          <w:b/>
          <w:noProof/>
          <w:lang w:val="en-CA" w:eastAsia="en-CA"/>
        </w:rPr>
        <mc:AlternateContent>
          <mc:Choice Requires="wps">
            <w:drawing>
              <wp:inline distT="0" distB="0" distL="0" distR="0" wp14:anchorId="4992804D" wp14:editId="53A1EC57">
                <wp:extent cx="5980430" cy="1003267"/>
                <wp:effectExtent l="0" t="0" r="20320" b="2603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003267"/>
                        </a:xfrm>
                        <a:prstGeom prst="rect">
                          <a:avLst/>
                        </a:prstGeom>
                        <a:solidFill>
                          <a:srgbClr val="FFFFFF"/>
                        </a:solidFill>
                        <a:ln w="9525">
                          <a:solidFill>
                            <a:srgbClr val="000000"/>
                          </a:solidFill>
                          <a:miter lim="800000"/>
                          <a:headEnd/>
                          <a:tailEnd/>
                        </a:ln>
                      </wps:spPr>
                      <wps:txbx>
                        <w:txbxContent>
                          <w:p w14:paraId="00FBE3EF" w14:textId="2084BF38" w:rsidR="00920A45" w:rsidRPr="001318D4" w:rsidRDefault="00920A45" w:rsidP="003D7A86">
                            <w:pPr>
                              <w:rPr>
                                <w:b/>
                                <w:lang w:val="en-US"/>
                              </w:rPr>
                            </w:pPr>
                            <w:r w:rsidRPr="00160695">
                              <w:rPr>
                                <w:b/>
                                <w:u w:val="single"/>
                                <w:lang w:val="en-US"/>
                              </w:rPr>
                              <w:t>Please note:</w:t>
                            </w:r>
                            <w:r>
                              <w:rPr>
                                <w:b/>
                                <w:lang w:val="en-US"/>
                              </w:rPr>
                              <w:t xml:space="preserve"> </w:t>
                            </w:r>
                            <w:r w:rsidRPr="001318D4">
                              <w:rPr>
                                <w:b/>
                                <w:lang w:val="en-US"/>
                              </w:rPr>
                              <w:t>This is a blended course consisting of a</w:t>
                            </w:r>
                            <w:r>
                              <w:rPr>
                                <w:b/>
                                <w:lang w:val="en-US"/>
                              </w:rPr>
                              <w:t>n</w:t>
                            </w:r>
                            <w:r w:rsidRPr="001318D4">
                              <w:rPr>
                                <w:b/>
                                <w:lang w:val="en-US"/>
                              </w:rPr>
                              <w:t xml:space="preserve"> </w:t>
                            </w:r>
                            <w:r>
                              <w:rPr>
                                <w:b/>
                                <w:u w:val="single"/>
                                <w:lang w:val="en-US"/>
                              </w:rPr>
                              <w:t>asynchronous o</w:t>
                            </w:r>
                            <w:r w:rsidRPr="006833FF">
                              <w:rPr>
                                <w:b/>
                                <w:u w:val="single"/>
                                <w:lang w:val="en-US"/>
                              </w:rPr>
                              <w:t>nline section</w:t>
                            </w:r>
                            <w:r w:rsidRPr="001318D4">
                              <w:rPr>
                                <w:b/>
                                <w:lang w:val="en-US"/>
                              </w:rPr>
                              <w:t xml:space="preserve"> th</w:t>
                            </w:r>
                            <w:r>
                              <w:rPr>
                                <w:b/>
                                <w:lang w:val="en-US"/>
                              </w:rPr>
                              <w:t>at must be completed between July 4 and August 1</w:t>
                            </w:r>
                            <w:r w:rsidRPr="001318D4">
                              <w:rPr>
                                <w:b/>
                                <w:lang w:val="en-US"/>
                              </w:rPr>
                              <w:t>, 20</w:t>
                            </w:r>
                            <w:r>
                              <w:rPr>
                                <w:b/>
                                <w:lang w:val="en-US"/>
                              </w:rPr>
                              <w:t>22</w:t>
                            </w:r>
                            <w:r w:rsidRPr="001318D4">
                              <w:rPr>
                                <w:b/>
                                <w:lang w:val="en-US"/>
                              </w:rPr>
                              <w:t xml:space="preserve">, as well as </w:t>
                            </w:r>
                            <w:r w:rsidRPr="00990C7A">
                              <w:rPr>
                                <w:b/>
                                <w:u w:val="single"/>
                                <w:lang w:val="en-US"/>
                              </w:rPr>
                              <w:t>in-person daily</w:t>
                            </w:r>
                            <w:r w:rsidRPr="006833FF">
                              <w:rPr>
                                <w:b/>
                                <w:u w:val="single"/>
                                <w:lang w:val="en-US"/>
                              </w:rPr>
                              <w:t xml:space="preserve"> seminar sessions</w:t>
                            </w:r>
                            <w:r w:rsidRPr="001318D4">
                              <w:rPr>
                                <w:b/>
                                <w:lang w:val="en-US"/>
                              </w:rPr>
                              <w:t xml:space="preserve"> held </w:t>
                            </w:r>
                            <w:r>
                              <w:rPr>
                                <w:b/>
                                <w:lang w:val="en-US"/>
                              </w:rPr>
                              <w:t>August 2-5</w:t>
                            </w:r>
                            <w:r w:rsidRPr="001318D4">
                              <w:rPr>
                                <w:b/>
                                <w:lang w:val="en-US"/>
                              </w:rPr>
                              <w:t>, 20</w:t>
                            </w:r>
                            <w:r>
                              <w:rPr>
                                <w:b/>
                                <w:lang w:val="en-US"/>
                              </w:rPr>
                              <w:t>22</w:t>
                            </w:r>
                            <w:r w:rsidRPr="001318D4">
                              <w:rPr>
                                <w:b/>
                                <w:lang w:val="en-US"/>
                              </w:rPr>
                              <w:t xml:space="preserve">. </w:t>
                            </w:r>
                            <w:r>
                              <w:rPr>
                                <w:b/>
                                <w:lang w:val="en-US"/>
                              </w:rPr>
                              <w:t>Both parts of the course are mandatory; students who have not completed the online section and the associated assignments will not be admitted into the seminar sessions.</w:t>
                            </w:r>
                          </w:p>
                        </w:txbxContent>
                      </wps:txbx>
                      <wps:bodyPr rot="0" vert="horz" wrap="square" lIns="91440" tIns="45720" rIns="91440" bIns="45720" anchor="t" anchorCtr="0" upright="1">
                        <a:noAutofit/>
                      </wps:bodyPr>
                    </wps:wsp>
                  </a:graphicData>
                </a:graphic>
              </wp:inline>
            </w:drawing>
          </mc:Choice>
          <mc:Fallback>
            <w:pict>
              <v:shapetype w14:anchorId="4992804D" id="_x0000_t202" coordsize="21600,21600" o:spt="202" path="m,l,21600r21600,l21600,xe">
                <v:stroke joinstyle="miter"/>
                <v:path gradientshapeok="t" o:connecttype="rect"/>
              </v:shapetype>
              <v:shape id="Text Box 4" o:spid="_x0000_s1026" type="#_x0000_t202" style="width:470.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">
                <v:textbox>
                  <w:txbxContent>
                    <w:p w14:paraId="00FBE3EF" w14:textId="2084BF38" w:rsidR="00920A45" w:rsidRPr="001318D4" w:rsidRDefault="00920A45" w:rsidP="003D7A86">
                      <w:pPr>
                        <w:rPr>
                          <w:b/>
                          <w:lang w:val="en-US"/>
                        </w:rPr>
                      </w:pPr>
                      <w:r w:rsidRPr="00160695">
                        <w:rPr>
                          <w:b/>
                          <w:u w:val="single"/>
                          <w:lang w:val="en-US"/>
                        </w:rPr>
                        <w:t>Please note:</w:t>
                      </w:r>
                      <w:r>
                        <w:rPr>
                          <w:b/>
                          <w:lang w:val="en-US"/>
                        </w:rPr>
                        <w:t xml:space="preserve"> </w:t>
                      </w:r>
                      <w:r w:rsidRPr="001318D4">
                        <w:rPr>
                          <w:b/>
                          <w:lang w:val="en-US"/>
                        </w:rPr>
                        <w:t>This is a blended course consisting of a</w:t>
                      </w:r>
                      <w:r>
                        <w:rPr>
                          <w:b/>
                          <w:lang w:val="en-US"/>
                        </w:rPr>
                        <w:t>n</w:t>
                      </w:r>
                      <w:r w:rsidRPr="001318D4">
                        <w:rPr>
                          <w:b/>
                          <w:lang w:val="en-US"/>
                        </w:rPr>
                        <w:t xml:space="preserve"> </w:t>
                      </w:r>
                      <w:r>
                        <w:rPr>
                          <w:b/>
                          <w:u w:val="single"/>
                          <w:lang w:val="en-US"/>
                        </w:rPr>
                        <w:t>asynchronous o</w:t>
                      </w:r>
                      <w:r w:rsidRPr="006833FF">
                        <w:rPr>
                          <w:b/>
                          <w:u w:val="single"/>
                          <w:lang w:val="en-US"/>
                        </w:rPr>
                        <w:t>nline section</w:t>
                      </w:r>
                      <w:r w:rsidRPr="001318D4">
                        <w:rPr>
                          <w:b/>
                          <w:lang w:val="en-US"/>
                        </w:rPr>
                        <w:t xml:space="preserve"> th</w:t>
                      </w:r>
                      <w:r>
                        <w:rPr>
                          <w:b/>
                          <w:lang w:val="en-US"/>
                        </w:rPr>
                        <w:t>at must be completed between July 4 and August 1</w:t>
                      </w:r>
                      <w:r w:rsidRPr="001318D4">
                        <w:rPr>
                          <w:b/>
                          <w:lang w:val="en-US"/>
                        </w:rPr>
                        <w:t>, 20</w:t>
                      </w:r>
                      <w:r>
                        <w:rPr>
                          <w:b/>
                          <w:lang w:val="en-US"/>
                        </w:rPr>
                        <w:t>22</w:t>
                      </w:r>
                      <w:r w:rsidRPr="001318D4">
                        <w:rPr>
                          <w:b/>
                          <w:lang w:val="en-US"/>
                        </w:rPr>
                        <w:t xml:space="preserve">, as well as </w:t>
                      </w:r>
                      <w:r w:rsidRPr="00990C7A">
                        <w:rPr>
                          <w:b/>
                          <w:u w:val="single"/>
                          <w:lang w:val="en-US"/>
                        </w:rPr>
                        <w:t>in-person daily</w:t>
                      </w:r>
                      <w:r w:rsidRPr="006833FF">
                        <w:rPr>
                          <w:b/>
                          <w:u w:val="single"/>
                          <w:lang w:val="en-US"/>
                        </w:rPr>
                        <w:t xml:space="preserve"> seminar sessions</w:t>
                      </w:r>
                      <w:r w:rsidRPr="001318D4">
                        <w:rPr>
                          <w:b/>
                          <w:lang w:val="en-US"/>
                        </w:rPr>
                        <w:t xml:space="preserve"> held </w:t>
                      </w:r>
                      <w:r>
                        <w:rPr>
                          <w:b/>
                          <w:lang w:val="en-US"/>
                        </w:rPr>
                        <w:t>August 2-5</w:t>
                      </w:r>
                      <w:r w:rsidRPr="001318D4">
                        <w:rPr>
                          <w:b/>
                          <w:lang w:val="en-US"/>
                        </w:rPr>
                        <w:t>, 20</w:t>
                      </w:r>
                      <w:r>
                        <w:rPr>
                          <w:b/>
                          <w:lang w:val="en-US"/>
                        </w:rPr>
                        <w:t>22</w:t>
                      </w:r>
                      <w:r w:rsidRPr="001318D4">
                        <w:rPr>
                          <w:b/>
                          <w:lang w:val="en-US"/>
                        </w:rPr>
                        <w:t xml:space="preserve">. </w:t>
                      </w:r>
                      <w:r>
                        <w:rPr>
                          <w:b/>
                          <w:lang w:val="en-US"/>
                        </w:rPr>
                        <w:t>Both parts of the course are mandatory; students who have not completed the online section and the associated assignments will not be admitted into the seminar sessions.</w:t>
                      </w:r>
                    </w:p>
                  </w:txbxContent>
                </v:textbox>
                <w10:anchorlock/>
              </v:shape>
            </w:pict>
          </mc:Fallback>
        </mc:AlternateContent>
      </w:r>
    </w:p>
    <w:p w14:paraId="548B06C1" w14:textId="77777777" w:rsidR="00964D45" w:rsidRDefault="00964D45" w:rsidP="0000157E">
      <w:pPr>
        <w:rPr>
          <w:b/>
          <w:lang w:val="en-US"/>
        </w:rPr>
      </w:pPr>
    </w:p>
    <w:p w14:paraId="748F0A5A" w14:textId="77777777" w:rsidR="0070069B" w:rsidRPr="00C21E9E" w:rsidRDefault="0070069B">
      <w:pPr>
        <w:spacing w:before="30" w:after="30"/>
        <w:rPr>
          <w:b/>
          <w:lang w:val="en-US"/>
        </w:rPr>
      </w:pPr>
      <w:r w:rsidRPr="00C21E9E">
        <w:rPr>
          <w:b/>
          <w:lang w:val="en-US"/>
        </w:rPr>
        <w:t>Course description:</w:t>
      </w:r>
    </w:p>
    <w:p w14:paraId="2E8D22A5" w14:textId="3B1B5F45" w:rsidR="0070069B" w:rsidRDefault="00C205F6" w:rsidP="00A123B5">
      <w:pPr>
        <w:rPr>
          <w:lang w:val="en-US"/>
        </w:rPr>
      </w:pPr>
      <w:r>
        <w:rPr>
          <w:lang w:val="en-US"/>
        </w:rPr>
        <w:t xml:space="preserve">This </w:t>
      </w:r>
      <w:r w:rsidR="001318D4" w:rsidRPr="001318D4">
        <w:rPr>
          <w:lang w:val="en-US"/>
        </w:rPr>
        <w:t xml:space="preserve">course examines the relations between </w:t>
      </w:r>
      <w:r w:rsidR="00C53956">
        <w:rPr>
          <w:lang w:val="en-US"/>
        </w:rPr>
        <w:t xml:space="preserve">Canada and </w:t>
      </w:r>
      <w:r w:rsidR="001318D4" w:rsidRPr="001318D4">
        <w:rPr>
          <w:lang w:val="en-US"/>
        </w:rPr>
        <w:t>the EU, with attention to policy issues affecting the relationship and common policy challenges. After introductory sessions o</w:t>
      </w:r>
      <w:r w:rsidR="00FA262D">
        <w:rPr>
          <w:lang w:val="en-US"/>
        </w:rPr>
        <w:t>n external policy making in Canada and the EU</w:t>
      </w:r>
      <w:r w:rsidR="000D1333">
        <w:rPr>
          <w:lang w:val="en-US"/>
        </w:rPr>
        <w:t>,</w:t>
      </w:r>
      <w:r w:rsidR="001318D4" w:rsidRPr="001318D4">
        <w:rPr>
          <w:lang w:val="en-US"/>
        </w:rPr>
        <w:t xml:space="preserve"> it will examine various aspects of the </w:t>
      </w:r>
      <w:r w:rsidR="00C470D0">
        <w:rPr>
          <w:lang w:val="en-US"/>
        </w:rPr>
        <w:t xml:space="preserve">bilateral </w:t>
      </w:r>
      <w:r w:rsidR="001318D4" w:rsidRPr="001318D4">
        <w:rPr>
          <w:lang w:val="en-US"/>
        </w:rPr>
        <w:t>relationship, including trade, security,</w:t>
      </w:r>
      <w:r w:rsidR="00FA262D">
        <w:rPr>
          <w:lang w:val="en-US"/>
        </w:rPr>
        <w:t xml:space="preserve"> </w:t>
      </w:r>
      <w:r w:rsidR="00177124">
        <w:rPr>
          <w:lang w:val="en-US"/>
        </w:rPr>
        <w:t xml:space="preserve">and policy cooperation on issues such as climate change </w:t>
      </w:r>
      <w:r w:rsidR="00FA262D">
        <w:rPr>
          <w:lang w:val="en-US"/>
        </w:rPr>
        <w:t>and energy</w:t>
      </w:r>
      <w:r w:rsidR="001318D4" w:rsidRPr="001318D4">
        <w:rPr>
          <w:lang w:val="en-US"/>
        </w:rPr>
        <w:t xml:space="preserve">. </w:t>
      </w:r>
      <w:proofErr w:type="gramStart"/>
      <w:r w:rsidR="001318D4" w:rsidRPr="001318D4">
        <w:rPr>
          <w:lang w:val="en-US"/>
        </w:rPr>
        <w:t>Particular emphasis</w:t>
      </w:r>
      <w:proofErr w:type="gramEnd"/>
      <w:r w:rsidR="001318D4" w:rsidRPr="001318D4">
        <w:rPr>
          <w:lang w:val="en-US"/>
        </w:rPr>
        <w:t xml:space="preserve"> will be placed on </w:t>
      </w:r>
      <w:r w:rsidR="00A123B5">
        <w:rPr>
          <w:lang w:val="en-US"/>
        </w:rPr>
        <w:t>r</w:t>
      </w:r>
      <w:r w:rsidR="001318D4" w:rsidRPr="001318D4">
        <w:rPr>
          <w:lang w:val="en-US"/>
        </w:rPr>
        <w:t xml:space="preserve">ecent </w:t>
      </w:r>
      <w:r w:rsidR="001468BF">
        <w:rPr>
          <w:lang w:val="en-US"/>
        </w:rPr>
        <w:t xml:space="preserve">developments and debates in </w:t>
      </w:r>
      <w:r w:rsidR="001318D4" w:rsidRPr="001318D4">
        <w:rPr>
          <w:lang w:val="en-US"/>
        </w:rPr>
        <w:t>Canada</w:t>
      </w:r>
      <w:r w:rsidR="001468BF">
        <w:rPr>
          <w:lang w:val="en-US"/>
        </w:rPr>
        <w:t>-EU</w:t>
      </w:r>
      <w:r w:rsidR="001318D4" w:rsidRPr="001318D4">
        <w:rPr>
          <w:lang w:val="en-US"/>
        </w:rPr>
        <w:t xml:space="preserve"> relations, such as the </w:t>
      </w:r>
      <w:r w:rsidR="0007635D">
        <w:rPr>
          <w:lang w:val="en-US"/>
        </w:rPr>
        <w:t xml:space="preserve">provisional entry into force </w:t>
      </w:r>
      <w:r w:rsidR="001468BF">
        <w:rPr>
          <w:lang w:val="en-US"/>
        </w:rPr>
        <w:t>and implementation</w:t>
      </w:r>
      <w:r w:rsidR="001318D4" w:rsidRPr="001318D4">
        <w:rPr>
          <w:lang w:val="en-US"/>
        </w:rPr>
        <w:t xml:space="preserve"> of the Comprehensive Economic and Trade Agreement (CETA)</w:t>
      </w:r>
      <w:r w:rsidR="00FA262D">
        <w:rPr>
          <w:lang w:val="en-US"/>
        </w:rPr>
        <w:t xml:space="preserve"> and Strategic Partnership Agreement (SPA)</w:t>
      </w:r>
      <w:r w:rsidR="00A123B5">
        <w:rPr>
          <w:lang w:val="en-US"/>
        </w:rPr>
        <w:t xml:space="preserve">, </w:t>
      </w:r>
      <w:r w:rsidR="00CB2AC5">
        <w:rPr>
          <w:lang w:val="en-US"/>
        </w:rPr>
        <w:t>the UK’s withdrawal from the EU</w:t>
      </w:r>
      <w:r w:rsidR="00DA792D">
        <w:rPr>
          <w:lang w:val="en-US"/>
        </w:rPr>
        <w:t>,</w:t>
      </w:r>
      <w:r w:rsidR="00C470D0">
        <w:rPr>
          <w:lang w:val="en-US"/>
        </w:rPr>
        <w:t xml:space="preserve"> </w:t>
      </w:r>
      <w:r w:rsidR="00177124">
        <w:rPr>
          <w:lang w:val="en-US"/>
        </w:rPr>
        <w:t xml:space="preserve">as well as the impact of </w:t>
      </w:r>
      <w:r w:rsidR="00C470D0">
        <w:rPr>
          <w:lang w:val="en-US"/>
        </w:rPr>
        <w:t xml:space="preserve">COVID-19 </w:t>
      </w:r>
      <w:r w:rsidR="00177124">
        <w:rPr>
          <w:lang w:val="en-US"/>
        </w:rPr>
        <w:t>and Russia’s invasion of Ukraine</w:t>
      </w:r>
      <w:r w:rsidR="001318D4" w:rsidRPr="001318D4">
        <w:rPr>
          <w:lang w:val="en-US"/>
        </w:rPr>
        <w:t xml:space="preserve">. Guest speakers from </w:t>
      </w:r>
      <w:r w:rsidR="001318D4">
        <w:rPr>
          <w:lang w:val="en-US"/>
        </w:rPr>
        <w:t>Global Affairs Canada</w:t>
      </w:r>
      <w:r w:rsidR="001318D4" w:rsidRPr="001318D4">
        <w:rPr>
          <w:lang w:val="en-US"/>
        </w:rPr>
        <w:t xml:space="preserve"> </w:t>
      </w:r>
      <w:r w:rsidR="00E51B17">
        <w:rPr>
          <w:lang w:val="en-US"/>
        </w:rPr>
        <w:t xml:space="preserve">and </w:t>
      </w:r>
      <w:r w:rsidR="001318D4" w:rsidRPr="001318D4">
        <w:rPr>
          <w:lang w:val="en-US"/>
        </w:rPr>
        <w:t>the EU Delegation to Canada</w:t>
      </w:r>
      <w:r w:rsidR="00FA262D">
        <w:rPr>
          <w:lang w:val="en-US"/>
        </w:rPr>
        <w:t xml:space="preserve"> </w:t>
      </w:r>
      <w:r w:rsidR="001318D4" w:rsidRPr="001318D4">
        <w:rPr>
          <w:lang w:val="en-US"/>
        </w:rPr>
        <w:t>will be brought into the seminar.</w:t>
      </w:r>
    </w:p>
    <w:p w14:paraId="7776E8D5" w14:textId="77777777" w:rsidR="00A123B5" w:rsidRPr="00A123B5" w:rsidRDefault="00A123B5" w:rsidP="00A123B5">
      <w:pPr>
        <w:rPr>
          <w:sz w:val="12"/>
          <w:szCs w:val="12"/>
          <w:lang w:val="en-US"/>
        </w:rPr>
      </w:pPr>
    </w:p>
    <w:p w14:paraId="27CF2BDE" w14:textId="30F435DC" w:rsidR="00A123B5" w:rsidRDefault="00A123B5" w:rsidP="00A123B5">
      <w:pPr>
        <w:rPr>
          <w:lang w:val="en-US"/>
        </w:rPr>
      </w:pPr>
      <w:r>
        <w:rPr>
          <w:lang w:val="en-US"/>
        </w:rPr>
        <w:t xml:space="preserve">At the end of the course, students will be familiar with </w:t>
      </w:r>
      <w:r w:rsidRPr="00A123B5">
        <w:rPr>
          <w:lang w:val="en-US"/>
        </w:rPr>
        <w:t xml:space="preserve">the </w:t>
      </w:r>
      <w:r w:rsidR="0007635D">
        <w:rPr>
          <w:lang w:val="en-US"/>
        </w:rPr>
        <w:t xml:space="preserve">main scholarly </w:t>
      </w:r>
      <w:r w:rsidRPr="00A123B5">
        <w:rPr>
          <w:lang w:val="en-US"/>
        </w:rPr>
        <w:t xml:space="preserve">debates about </w:t>
      </w:r>
      <w:r w:rsidR="00FA262D">
        <w:rPr>
          <w:lang w:val="en-US"/>
        </w:rPr>
        <w:t>external</w:t>
      </w:r>
      <w:r>
        <w:rPr>
          <w:lang w:val="en-US"/>
        </w:rPr>
        <w:t xml:space="preserve"> policy making in Canada and the EU</w:t>
      </w:r>
      <w:r w:rsidRPr="00A123B5">
        <w:rPr>
          <w:lang w:val="en-US"/>
        </w:rPr>
        <w:t xml:space="preserve">. </w:t>
      </w:r>
      <w:r>
        <w:rPr>
          <w:lang w:val="en-US"/>
        </w:rPr>
        <w:t xml:space="preserve">They will also be able to navigate practical aspects of conducting bilateral relations between both </w:t>
      </w:r>
      <w:r w:rsidR="001468BF">
        <w:rPr>
          <w:lang w:val="en-US"/>
        </w:rPr>
        <w:t>polities</w:t>
      </w:r>
      <w:r>
        <w:rPr>
          <w:lang w:val="en-US"/>
        </w:rPr>
        <w:t>. Assignments will practice both academic reflection about these issues and policy-oriented writing styles.</w:t>
      </w:r>
    </w:p>
    <w:p w14:paraId="51D29A1F" w14:textId="77777777" w:rsidR="00160695" w:rsidRPr="00C21E9E" w:rsidRDefault="00160695">
      <w:pPr>
        <w:spacing w:before="30" w:after="30"/>
        <w:rPr>
          <w:sz w:val="12"/>
          <w:lang w:val="en-US"/>
        </w:rPr>
      </w:pPr>
    </w:p>
    <w:p w14:paraId="176F7320" w14:textId="77777777" w:rsidR="0070069B" w:rsidRPr="00C21E9E" w:rsidRDefault="00160695">
      <w:pPr>
        <w:spacing w:before="30" w:after="30"/>
        <w:rPr>
          <w:b/>
          <w:lang w:val="en-US"/>
        </w:rPr>
      </w:pPr>
      <w:r>
        <w:rPr>
          <w:b/>
          <w:lang w:val="en-US"/>
        </w:rPr>
        <w:t>Required readings</w:t>
      </w:r>
      <w:r w:rsidR="0070069B" w:rsidRPr="00C21E9E">
        <w:rPr>
          <w:b/>
          <w:lang w:val="en-US"/>
        </w:rPr>
        <w:t>:</w:t>
      </w:r>
    </w:p>
    <w:p w14:paraId="29A060A1" w14:textId="578F0F40" w:rsidR="001318D4" w:rsidRDefault="00A25CF8" w:rsidP="001318D4">
      <w:pPr>
        <w:rPr>
          <w:lang w:val="en-US"/>
        </w:rPr>
      </w:pPr>
      <w:r>
        <w:rPr>
          <w:lang w:val="en-US"/>
        </w:rPr>
        <w:t xml:space="preserve">Both sections of the course </w:t>
      </w:r>
      <w:r w:rsidR="00AF4610">
        <w:rPr>
          <w:lang w:val="en-US"/>
        </w:rPr>
        <w:t xml:space="preserve">(asynchronous and synchronous) </w:t>
      </w:r>
      <w:r w:rsidR="00160695">
        <w:rPr>
          <w:lang w:val="en-US"/>
        </w:rPr>
        <w:t xml:space="preserve">will </w:t>
      </w:r>
      <w:r w:rsidR="001318D4">
        <w:rPr>
          <w:lang w:val="en-US"/>
        </w:rPr>
        <w:t xml:space="preserve">be based on the detailed discussion of core readings. All required texts are </w:t>
      </w:r>
      <w:r w:rsidR="00AF4610">
        <w:rPr>
          <w:lang w:val="en-US"/>
        </w:rPr>
        <w:t xml:space="preserve">available as electronic class reserves </w:t>
      </w:r>
      <w:r w:rsidR="00DA792D">
        <w:rPr>
          <w:lang w:val="en-US"/>
        </w:rPr>
        <w:t>o</w:t>
      </w:r>
      <w:r w:rsidR="00C205F6">
        <w:rPr>
          <w:lang w:val="en-US"/>
        </w:rPr>
        <w:t xml:space="preserve">n the </w:t>
      </w:r>
      <w:r w:rsidR="00DA792D">
        <w:rPr>
          <w:lang w:val="en-US"/>
        </w:rPr>
        <w:t xml:space="preserve">ARES system of the </w:t>
      </w:r>
      <w:proofErr w:type="spellStart"/>
      <w:r w:rsidR="00DA792D">
        <w:rPr>
          <w:lang w:val="en-US"/>
        </w:rPr>
        <w:t>MacOdrum</w:t>
      </w:r>
      <w:proofErr w:type="spellEnd"/>
      <w:r w:rsidR="00DA792D">
        <w:rPr>
          <w:lang w:val="en-US"/>
        </w:rPr>
        <w:t xml:space="preserve"> Library (accessible on Brightspace)</w:t>
      </w:r>
      <w:r w:rsidR="001318D4">
        <w:rPr>
          <w:lang w:val="en-US"/>
        </w:rPr>
        <w:t xml:space="preserve">. </w:t>
      </w:r>
      <w:r w:rsidR="00160695">
        <w:rPr>
          <w:lang w:val="en-US"/>
        </w:rPr>
        <w:t>The</w:t>
      </w:r>
      <w:r w:rsidR="001318D4">
        <w:rPr>
          <w:lang w:val="en-US"/>
        </w:rPr>
        <w:t xml:space="preserve"> course is designed for students who already possess a working knowledge of the EU’s political system and decision-making processes</w:t>
      </w:r>
      <w:r w:rsidR="00F334D1">
        <w:rPr>
          <w:lang w:val="en-US"/>
        </w:rPr>
        <w:t xml:space="preserve">, as well as </w:t>
      </w:r>
      <w:r w:rsidR="00FA262D">
        <w:rPr>
          <w:lang w:val="en-US"/>
        </w:rPr>
        <w:t>a basic</w:t>
      </w:r>
      <w:r w:rsidR="00F334D1">
        <w:rPr>
          <w:lang w:val="en-US"/>
        </w:rPr>
        <w:t xml:space="preserve"> understanding of Canadian foreign policy making</w:t>
      </w:r>
      <w:r w:rsidR="001318D4">
        <w:rPr>
          <w:lang w:val="en-US"/>
        </w:rPr>
        <w:t xml:space="preserve">. Students without this kind of knowledge are advised to obtain a general textbook on </w:t>
      </w:r>
      <w:r w:rsidR="00F334D1">
        <w:rPr>
          <w:lang w:val="en-US"/>
        </w:rPr>
        <w:t>the issue in question</w:t>
      </w:r>
      <w:r w:rsidR="001318D4">
        <w:rPr>
          <w:lang w:val="en-US"/>
        </w:rPr>
        <w:t xml:space="preserve"> as source of reference. </w:t>
      </w:r>
      <w:r w:rsidR="00160695">
        <w:rPr>
          <w:lang w:val="en-US"/>
        </w:rPr>
        <w:t>The following title</w:t>
      </w:r>
      <w:r w:rsidR="00F334D1">
        <w:rPr>
          <w:lang w:val="en-US"/>
        </w:rPr>
        <w:t>s</w:t>
      </w:r>
      <w:r w:rsidR="00160695">
        <w:rPr>
          <w:lang w:val="en-US"/>
        </w:rPr>
        <w:t xml:space="preserve"> </w:t>
      </w:r>
      <w:r w:rsidR="00F334D1">
        <w:rPr>
          <w:lang w:val="en-US"/>
        </w:rPr>
        <w:t>are</w:t>
      </w:r>
      <w:r w:rsidR="00160695">
        <w:rPr>
          <w:lang w:val="en-US"/>
        </w:rPr>
        <w:t xml:space="preserve"> recommended: </w:t>
      </w:r>
    </w:p>
    <w:p w14:paraId="36CF4F97" w14:textId="77777777" w:rsidR="00BE03E3" w:rsidRPr="00DA792D" w:rsidRDefault="00BE03E3" w:rsidP="001318D4">
      <w:pPr>
        <w:rPr>
          <w:sz w:val="12"/>
          <w:szCs w:val="12"/>
          <w:lang w:val="en-US"/>
        </w:rPr>
      </w:pPr>
    </w:p>
    <w:p w14:paraId="08A7B757" w14:textId="23C31310" w:rsidR="007E6EEC" w:rsidRPr="009F5BCE" w:rsidRDefault="007E6EEC" w:rsidP="007E6EEC">
      <w:pPr>
        <w:numPr>
          <w:ilvl w:val="0"/>
          <w:numId w:val="2"/>
        </w:numPr>
        <w:spacing w:before="30" w:after="30"/>
        <w:rPr>
          <w:lang w:val="en-US"/>
        </w:rPr>
      </w:pPr>
      <w:r>
        <w:rPr>
          <w:lang w:val="en-GB"/>
        </w:rPr>
        <w:t xml:space="preserve">Nossal, </w:t>
      </w:r>
      <w:r w:rsidR="00B61ABF">
        <w:rPr>
          <w:lang w:val="en-GB"/>
        </w:rPr>
        <w:t xml:space="preserve">K. R., </w:t>
      </w:r>
      <w:r>
        <w:rPr>
          <w:lang w:val="en-GB"/>
        </w:rPr>
        <w:t>Roussel</w:t>
      </w:r>
      <w:r w:rsidR="00B61ABF">
        <w:rPr>
          <w:lang w:val="en-GB"/>
        </w:rPr>
        <w:t xml:space="preserve">, S. and </w:t>
      </w:r>
      <w:r>
        <w:rPr>
          <w:lang w:val="en-GB"/>
        </w:rPr>
        <w:t>Paquin</w:t>
      </w:r>
      <w:r w:rsidR="00B61ABF">
        <w:rPr>
          <w:lang w:val="en-GB"/>
        </w:rPr>
        <w:t>, S.</w:t>
      </w:r>
      <w:r>
        <w:rPr>
          <w:lang w:val="en-GB"/>
        </w:rPr>
        <w:t xml:space="preserve"> (201</w:t>
      </w:r>
      <w:r w:rsidR="0001078F">
        <w:rPr>
          <w:lang w:val="en-GB"/>
        </w:rPr>
        <w:t>5</w:t>
      </w:r>
      <w:r>
        <w:rPr>
          <w:lang w:val="en-GB"/>
        </w:rPr>
        <w:t xml:space="preserve">), </w:t>
      </w:r>
      <w:r w:rsidR="00A157AB">
        <w:rPr>
          <w:i/>
          <w:lang w:val="en-GB"/>
        </w:rPr>
        <w:t>The Politics of Canadian Foreign Policy</w:t>
      </w:r>
      <w:r w:rsidR="00A157AB" w:rsidRPr="00A157AB">
        <w:rPr>
          <w:lang w:val="en-GB"/>
        </w:rPr>
        <w:t>, 4</w:t>
      </w:r>
      <w:r w:rsidR="00A157AB" w:rsidRPr="00A157AB">
        <w:rPr>
          <w:vertAlign w:val="superscript"/>
          <w:lang w:val="en-GB"/>
        </w:rPr>
        <w:t>th</w:t>
      </w:r>
      <w:r w:rsidR="00A157AB" w:rsidRPr="00A157AB">
        <w:rPr>
          <w:lang w:val="en-GB"/>
        </w:rPr>
        <w:t xml:space="preserve"> edition</w:t>
      </w:r>
      <w:r w:rsidR="00A157AB">
        <w:rPr>
          <w:i/>
          <w:lang w:val="en-GB"/>
        </w:rPr>
        <w:t xml:space="preserve"> </w:t>
      </w:r>
      <w:r>
        <w:rPr>
          <w:lang w:val="en-GB"/>
        </w:rPr>
        <w:t>(</w:t>
      </w:r>
      <w:r w:rsidR="00A157AB">
        <w:rPr>
          <w:lang w:val="en-GB"/>
        </w:rPr>
        <w:t>Montreal: McGill-Queen’s University Press</w:t>
      </w:r>
      <w:r>
        <w:rPr>
          <w:lang w:val="en-GB"/>
        </w:rPr>
        <w:t xml:space="preserve">). </w:t>
      </w:r>
    </w:p>
    <w:p w14:paraId="25313696" w14:textId="178F3239" w:rsidR="0070069B" w:rsidRPr="00F334D1" w:rsidRDefault="00C84082" w:rsidP="00E51B17">
      <w:pPr>
        <w:numPr>
          <w:ilvl w:val="0"/>
          <w:numId w:val="2"/>
        </w:numPr>
        <w:spacing w:before="30" w:after="30"/>
        <w:rPr>
          <w:lang w:val="en-US"/>
        </w:rPr>
      </w:pPr>
      <w:r>
        <w:rPr>
          <w:lang w:val="en-GB"/>
        </w:rPr>
        <w:lastRenderedPageBreak/>
        <w:t>Brunet-Jailly, E., Hurrelmann, A. and Verdun, A.</w:t>
      </w:r>
      <w:r w:rsidR="00F26047">
        <w:rPr>
          <w:lang w:val="en-GB"/>
        </w:rPr>
        <w:t>, eds.</w:t>
      </w:r>
      <w:r w:rsidR="00B61ABF">
        <w:rPr>
          <w:lang w:val="en-GB"/>
        </w:rPr>
        <w:t xml:space="preserve"> </w:t>
      </w:r>
      <w:r w:rsidR="00E51B17">
        <w:rPr>
          <w:lang w:val="en-GB"/>
        </w:rPr>
        <w:t>(</w:t>
      </w:r>
      <w:r w:rsidR="0070069B" w:rsidRPr="00C21E9E">
        <w:rPr>
          <w:lang w:val="en-GB"/>
        </w:rPr>
        <w:t>20</w:t>
      </w:r>
      <w:r w:rsidR="00E51B17">
        <w:rPr>
          <w:lang w:val="en-GB"/>
        </w:rPr>
        <w:t>1</w:t>
      </w:r>
      <w:r>
        <w:rPr>
          <w:lang w:val="en-GB"/>
        </w:rPr>
        <w:t>8</w:t>
      </w:r>
      <w:r w:rsidR="0070069B" w:rsidRPr="00C21E9E">
        <w:rPr>
          <w:lang w:val="en-GB"/>
        </w:rPr>
        <w:t xml:space="preserve">), </w:t>
      </w:r>
      <w:r>
        <w:rPr>
          <w:i/>
          <w:lang w:val="en-GB"/>
        </w:rPr>
        <w:t>European Union Governance and Policy Making: A Canadian Perspective</w:t>
      </w:r>
      <w:r w:rsidR="0070069B" w:rsidRPr="00C21E9E">
        <w:rPr>
          <w:lang w:val="en-GB"/>
        </w:rPr>
        <w:t xml:space="preserve"> (</w:t>
      </w:r>
      <w:r>
        <w:rPr>
          <w:lang w:val="en-GB"/>
        </w:rPr>
        <w:t>Toronto</w:t>
      </w:r>
      <w:r w:rsidR="00E51B17">
        <w:rPr>
          <w:lang w:val="en-GB"/>
        </w:rPr>
        <w:t xml:space="preserve">: University </w:t>
      </w:r>
      <w:r>
        <w:rPr>
          <w:lang w:val="en-GB"/>
        </w:rPr>
        <w:t xml:space="preserve">of Toronto </w:t>
      </w:r>
      <w:r w:rsidR="00E51B17">
        <w:rPr>
          <w:lang w:val="en-GB"/>
        </w:rPr>
        <w:t>Press</w:t>
      </w:r>
      <w:r w:rsidR="0070069B" w:rsidRPr="00C21E9E">
        <w:rPr>
          <w:lang w:val="en-GB"/>
        </w:rPr>
        <w:t>).</w:t>
      </w:r>
    </w:p>
    <w:p w14:paraId="6C07D1E3" w14:textId="77777777" w:rsidR="00F334D1" w:rsidRPr="00F334D1" w:rsidRDefault="00F334D1">
      <w:pPr>
        <w:spacing w:before="30" w:after="30"/>
        <w:rPr>
          <w:b/>
          <w:sz w:val="12"/>
          <w:szCs w:val="12"/>
          <w:lang w:val="en-US"/>
        </w:rPr>
      </w:pPr>
    </w:p>
    <w:p w14:paraId="030BD08E" w14:textId="77777777" w:rsidR="0070069B" w:rsidRPr="00C21E9E" w:rsidRDefault="00A723F3">
      <w:pPr>
        <w:spacing w:before="30" w:after="30"/>
        <w:rPr>
          <w:b/>
          <w:lang w:val="en-US"/>
        </w:rPr>
      </w:pPr>
      <w:r>
        <w:rPr>
          <w:b/>
          <w:lang w:val="en-US"/>
        </w:rPr>
        <w:t>E</w:t>
      </w:r>
      <w:r w:rsidR="0070069B" w:rsidRPr="00C21E9E">
        <w:rPr>
          <w:b/>
          <w:lang w:val="en-US"/>
        </w:rPr>
        <w:t>valuation:</w:t>
      </w:r>
    </w:p>
    <w:p w14:paraId="774C7807" w14:textId="26DB4F04" w:rsidR="002C7EC6" w:rsidRPr="00E260FA" w:rsidRDefault="00D32E94" w:rsidP="00F42BED">
      <w:pPr>
        <w:numPr>
          <w:ilvl w:val="0"/>
          <w:numId w:val="1"/>
        </w:numPr>
        <w:rPr>
          <w:lang w:val="en-US"/>
        </w:rPr>
      </w:pPr>
      <w:r>
        <w:rPr>
          <w:lang w:val="en-US"/>
        </w:rPr>
        <w:t>T</w:t>
      </w:r>
      <w:r w:rsidR="00E260FA">
        <w:rPr>
          <w:lang w:val="en-US"/>
        </w:rPr>
        <w:t>wo</w:t>
      </w:r>
      <w:r>
        <w:rPr>
          <w:lang w:val="en-US"/>
        </w:rPr>
        <w:t xml:space="preserve"> online quizzes (</w:t>
      </w:r>
      <w:r w:rsidR="00F312D9">
        <w:rPr>
          <w:lang w:val="en-US"/>
        </w:rPr>
        <w:t>10</w:t>
      </w:r>
      <w:r>
        <w:rPr>
          <w:lang w:val="en-US"/>
        </w:rPr>
        <w:t>% each)</w:t>
      </w:r>
      <w:r>
        <w:rPr>
          <w:lang w:val="en-US"/>
        </w:rPr>
        <w:tab/>
      </w:r>
      <w:r>
        <w:rPr>
          <w:lang w:val="en-US"/>
        </w:rPr>
        <w:tab/>
      </w:r>
      <w:r w:rsidR="002C7EC6">
        <w:rPr>
          <w:lang w:val="en-US"/>
        </w:rPr>
        <w:tab/>
      </w:r>
      <w:r w:rsidR="00E260FA">
        <w:rPr>
          <w:lang w:val="en-US"/>
        </w:rPr>
        <w:t>2</w:t>
      </w:r>
      <w:r w:rsidR="00F312D9">
        <w:rPr>
          <w:lang w:val="en-US"/>
        </w:rPr>
        <w:t>0</w:t>
      </w:r>
      <w:r w:rsidR="002C7EC6">
        <w:rPr>
          <w:lang w:val="en-US"/>
        </w:rPr>
        <w:t>%</w:t>
      </w:r>
      <w:r>
        <w:rPr>
          <w:lang w:val="en-US"/>
        </w:rPr>
        <w:tab/>
      </w:r>
      <w:r w:rsidR="00705301">
        <w:rPr>
          <w:b/>
          <w:lang w:val="en-US"/>
        </w:rPr>
        <w:t xml:space="preserve">(Due </w:t>
      </w:r>
      <w:r w:rsidR="00C14889">
        <w:rPr>
          <w:b/>
          <w:lang w:val="en-US"/>
        </w:rPr>
        <w:t xml:space="preserve">July </w:t>
      </w:r>
      <w:r w:rsidR="00C470D0">
        <w:rPr>
          <w:b/>
          <w:lang w:val="en-US"/>
        </w:rPr>
        <w:t>1</w:t>
      </w:r>
      <w:r w:rsidR="00DA01B5">
        <w:rPr>
          <w:b/>
          <w:lang w:val="en-US"/>
        </w:rPr>
        <w:t>1</w:t>
      </w:r>
      <w:r w:rsidR="00E260FA">
        <w:rPr>
          <w:b/>
          <w:lang w:val="en-US"/>
        </w:rPr>
        <w:t xml:space="preserve"> and </w:t>
      </w:r>
      <w:r w:rsidR="00C14889">
        <w:rPr>
          <w:b/>
          <w:lang w:val="en-US"/>
        </w:rPr>
        <w:t>1</w:t>
      </w:r>
      <w:r w:rsidR="00DA01B5">
        <w:rPr>
          <w:b/>
          <w:lang w:val="en-US"/>
        </w:rPr>
        <w:t>8</w:t>
      </w:r>
      <w:r w:rsidR="00E260FA">
        <w:rPr>
          <w:b/>
          <w:lang w:val="en-US"/>
        </w:rPr>
        <w:t>, 20</w:t>
      </w:r>
      <w:r w:rsidR="00C4110C">
        <w:rPr>
          <w:b/>
          <w:lang w:val="en-US"/>
        </w:rPr>
        <w:t>2</w:t>
      </w:r>
      <w:r w:rsidR="00DA01B5">
        <w:rPr>
          <w:b/>
          <w:lang w:val="en-US"/>
        </w:rPr>
        <w:t>2</w:t>
      </w:r>
      <w:r w:rsidRPr="00D32E94">
        <w:rPr>
          <w:b/>
          <w:lang w:val="en-US"/>
        </w:rPr>
        <w:t>)</w:t>
      </w:r>
    </w:p>
    <w:p w14:paraId="4BA59756" w14:textId="7D59D70F" w:rsidR="00E260FA" w:rsidRPr="00E260FA" w:rsidRDefault="00E260FA" w:rsidP="00F42BED">
      <w:pPr>
        <w:numPr>
          <w:ilvl w:val="0"/>
          <w:numId w:val="1"/>
        </w:numPr>
        <w:rPr>
          <w:lang w:val="en-US"/>
        </w:rPr>
      </w:pPr>
      <w:r w:rsidRPr="00E260FA">
        <w:rPr>
          <w:lang w:val="en-US"/>
        </w:rPr>
        <w:t>Participation in online d</w:t>
      </w:r>
      <w:r w:rsidR="003741DE">
        <w:rPr>
          <w:lang w:val="en-US"/>
        </w:rPr>
        <w:t>ebate</w:t>
      </w:r>
      <w:r w:rsidR="003741DE">
        <w:rPr>
          <w:lang w:val="en-US"/>
        </w:rPr>
        <w:tab/>
      </w:r>
      <w:r w:rsidRPr="00E260FA">
        <w:rPr>
          <w:lang w:val="en-US"/>
        </w:rPr>
        <w:tab/>
      </w:r>
      <w:r>
        <w:rPr>
          <w:lang w:val="en-US"/>
        </w:rPr>
        <w:tab/>
      </w:r>
      <w:r w:rsidR="003741DE">
        <w:rPr>
          <w:lang w:val="en-US"/>
        </w:rPr>
        <w:t>20</w:t>
      </w:r>
      <w:r w:rsidRPr="00E260FA">
        <w:rPr>
          <w:lang w:val="en-US"/>
        </w:rPr>
        <w:t>%</w:t>
      </w:r>
      <w:r w:rsidRPr="00E260FA">
        <w:rPr>
          <w:lang w:val="en-US"/>
        </w:rPr>
        <w:tab/>
      </w:r>
      <w:r w:rsidRPr="00E260FA">
        <w:rPr>
          <w:b/>
          <w:lang w:val="en-US"/>
        </w:rPr>
        <w:t>(</w:t>
      </w:r>
      <w:r w:rsidR="00C14889">
        <w:rPr>
          <w:b/>
          <w:lang w:val="en-US"/>
        </w:rPr>
        <w:t>July 1</w:t>
      </w:r>
      <w:r w:rsidR="00DA01B5">
        <w:rPr>
          <w:b/>
          <w:lang w:val="en-US"/>
        </w:rPr>
        <w:t>8</w:t>
      </w:r>
      <w:r w:rsidR="00AF66C3">
        <w:rPr>
          <w:b/>
          <w:lang w:val="en-US"/>
        </w:rPr>
        <w:t>-</w:t>
      </w:r>
      <w:r w:rsidR="008F4ACF">
        <w:rPr>
          <w:b/>
          <w:lang w:val="en-US"/>
        </w:rPr>
        <w:t>2</w:t>
      </w:r>
      <w:r w:rsidR="00DA01B5">
        <w:rPr>
          <w:b/>
          <w:lang w:val="en-US"/>
        </w:rPr>
        <w:t>5</w:t>
      </w:r>
      <w:r w:rsidR="002215AA">
        <w:rPr>
          <w:b/>
          <w:lang w:val="en-US"/>
        </w:rPr>
        <w:t>, 20</w:t>
      </w:r>
      <w:r w:rsidR="00BB40BF">
        <w:rPr>
          <w:b/>
          <w:lang w:val="en-US"/>
        </w:rPr>
        <w:t>2</w:t>
      </w:r>
      <w:r w:rsidR="00DA01B5">
        <w:rPr>
          <w:b/>
          <w:lang w:val="en-US"/>
        </w:rPr>
        <w:t>2</w:t>
      </w:r>
      <w:r w:rsidRPr="00E260FA">
        <w:rPr>
          <w:b/>
          <w:lang w:val="en-US"/>
        </w:rPr>
        <w:t>)</w:t>
      </w:r>
    </w:p>
    <w:p w14:paraId="2AAB934A" w14:textId="7BBADF8D" w:rsidR="0070069B" w:rsidRDefault="00D32E94" w:rsidP="00F42BED">
      <w:pPr>
        <w:numPr>
          <w:ilvl w:val="0"/>
          <w:numId w:val="1"/>
        </w:numPr>
        <w:rPr>
          <w:b/>
          <w:lang w:val="en-US"/>
        </w:rPr>
      </w:pPr>
      <w:r>
        <w:rPr>
          <w:lang w:val="en-US"/>
        </w:rPr>
        <w:t xml:space="preserve">Policy brief </w:t>
      </w:r>
      <w:r w:rsidR="00541A86">
        <w:rPr>
          <w:lang w:val="en-US"/>
        </w:rPr>
        <w:t>or discussion paper</w:t>
      </w:r>
      <w:r w:rsidR="00541A86">
        <w:rPr>
          <w:lang w:val="en-US"/>
        </w:rPr>
        <w:tab/>
      </w:r>
      <w:r w:rsidR="00541A86">
        <w:rPr>
          <w:lang w:val="en-US"/>
        </w:rPr>
        <w:tab/>
      </w:r>
      <w:r>
        <w:rPr>
          <w:lang w:val="en-US"/>
        </w:rPr>
        <w:tab/>
        <w:t>2</w:t>
      </w:r>
      <w:r w:rsidR="003741DE">
        <w:rPr>
          <w:lang w:val="en-US"/>
        </w:rPr>
        <w:t>0</w:t>
      </w:r>
      <w:r w:rsidR="0070069B" w:rsidRPr="000F12E1">
        <w:rPr>
          <w:lang w:val="en-US"/>
        </w:rPr>
        <w:t>%</w:t>
      </w:r>
      <w:r w:rsidR="0070069B" w:rsidRPr="000F12E1">
        <w:rPr>
          <w:lang w:val="en-US"/>
        </w:rPr>
        <w:tab/>
      </w:r>
      <w:r w:rsidR="0070069B" w:rsidRPr="00477171">
        <w:rPr>
          <w:b/>
          <w:lang w:val="en-US"/>
        </w:rPr>
        <w:t>(</w:t>
      </w:r>
      <w:r w:rsidR="007B1C55" w:rsidRPr="00477171">
        <w:rPr>
          <w:b/>
          <w:lang w:val="en-US"/>
        </w:rPr>
        <w:t>D</w:t>
      </w:r>
      <w:r w:rsidR="00ED05E7" w:rsidRPr="00477171">
        <w:rPr>
          <w:b/>
          <w:lang w:val="en-US"/>
        </w:rPr>
        <w:t xml:space="preserve">ue </w:t>
      </w:r>
      <w:r w:rsidR="00C470D0">
        <w:rPr>
          <w:b/>
          <w:lang w:val="en-US"/>
        </w:rPr>
        <w:t>Aug</w:t>
      </w:r>
      <w:r w:rsidR="00B20622">
        <w:rPr>
          <w:b/>
          <w:lang w:val="en-US"/>
        </w:rPr>
        <w:t>ust</w:t>
      </w:r>
      <w:r w:rsidR="00C470D0">
        <w:rPr>
          <w:b/>
          <w:lang w:val="en-US"/>
        </w:rPr>
        <w:t xml:space="preserve"> </w:t>
      </w:r>
      <w:r w:rsidR="00DA01B5">
        <w:rPr>
          <w:b/>
          <w:lang w:val="en-US"/>
        </w:rPr>
        <w:t>1</w:t>
      </w:r>
      <w:r w:rsidR="002215AA">
        <w:rPr>
          <w:b/>
          <w:lang w:val="en-US"/>
        </w:rPr>
        <w:t>, 20</w:t>
      </w:r>
      <w:r w:rsidR="00C4110C">
        <w:rPr>
          <w:b/>
          <w:lang w:val="en-US"/>
        </w:rPr>
        <w:t>2</w:t>
      </w:r>
      <w:r w:rsidR="00DA01B5">
        <w:rPr>
          <w:b/>
          <w:lang w:val="en-US"/>
        </w:rPr>
        <w:t>2</w:t>
      </w:r>
      <w:r w:rsidR="0070069B" w:rsidRPr="000F12E1">
        <w:rPr>
          <w:b/>
          <w:lang w:val="en-US"/>
        </w:rPr>
        <w:t>)</w:t>
      </w:r>
    </w:p>
    <w:p w14:paraId="133E3795" w14:textId="10020B3E" w:rsidR="00D32E94" w:rsidRPr="00D32E94" w:rsidRDefault="00D32E94" w:rsidP="00F42BED">
      <w:pPr>
        <w:numPr>
          <w:ilvl w:val="0"/>
          <w:numId w:val="1"/>
        </w:numPr>
        <w:rPr>
          <w:lang w:val="en-US"/>
        </w:rPr>
      </w:pPr>
      <w:r w:rsidRPr="00D32E94">
        <w:rPr>
          <w:lang w:val="en-US"/>
        </w:rPr>
        <w:t xml:space="preserve">Participation in </w:t>
      </w:r>
      <w:r w:rsidR="00A25CF8">
        <w:rPr>
          <w:lang w:val="en-US"/>
        </w:rPr>
        <w:t>online</w:t>
      </w:r>
      <w:r w:rsidRPr="00D32E94">
        <w:rPr>
          <w:lang w:val="en-US"/>
        </w:rPr>
        <w:t xml:space="preserve"> </w:t>
      </w:r>
      <w:r w:rsidR="00A25CF8">
        <w:rPr>
          <w:lang w:val="en-US"/>
        </w:rPr>
        <w:t>seminars</w:t>
      </w:r>
      <w:r w:rsidRPr="00D32E94">
        <w:rPr>
          <w:lang w:val="en-US"/>
        </w:rPr>
        <w:tab/>
      </w:r>
      <w:r w:rsidRPr="00D32E94">
        <w:rPr>
          <w:lang w:val="en-US"/>
        </w:rPr>
        <w:tab/>
      </w:r>
      <w:r>
        <w:rPr>
          <w:lang w:val="en-US"/>
        </w:rPr>
        <w:tab/>
        <w:t>20%</w:t>
      </w:r>
      <w:r w:rsidR="00DA792D">
        <w:rPr>
          <w:lang w:val="en-US"/>
        </w:rPr>
        <w:t xml:space="preserve"> </w:t>
      </w:r>
      <w:r w:rsidR="00DA792D">
        <w:rPr>
          <w:lang w:val="en-US"/>
        </w:rPr>
        <w:tab/>
      </w:r>
      <w:r w:rsidR="00DA792D" w:rsidRPr="00DA792D">
        <w:rPr>
          <w:b/>
          <w:bCs/>
          <w:lang w:val="en-US"/>
        </w:rPr>
        <w:t xml:space="preserve">(August </w:t>
      </w:r>
      <w:r w:rsidR="00DA01B5">
        <w:rPr>
          <w:b/>
          <w:bCs/>
          <w:lang w:val="en-US"/>
        </w:rPr>
        <w:t>2</w:t>
      </w:r>
      <w:r w:rsidR="00DA792D" w:rsidRPr="00DA792D">
        <w:rPr>
          <w:b/>
          <w:bCs/>
          <w:lang w:val="en-US"/>
        </w:rPr>
        <w:t>-</w:t>
      </w:r>
      <w:r w:rsidR="00DA01B5">
        <w:rPr>
          <w:b/>
          <w:bCs/>
          <w:lang w:val="en-US"/>
        </w:rPr>
        <w:t>5</w:t>
      </w:r>
      <w:r w:rsidR="00DA792D" w:rsidRPr="00DA792D">
        <w:rPr>
          <w:b/>
          <w:bCs/>
          <w:lang w:val="en-US"/>
        </w:rPr>
        <w:t>, 202</w:t>
      </w:r>
      <w:r w:rsidR="00DA01B5">
        <w:rPr>
          <w:b/>
          <w:bCs/>
          <w:lang w:val="en-US"/>
        </w:rPr>
        <w:t>2</w:t>
      </w:r>
      <w:r w:rsidR="00DA792D" w:rsidRPr="00DA792D">
        <w:rPr>
          <w:b/>
          <w:bCs/>
          <w:lang w:val="en-US"/>
        </w:rPr>
        <w:t>)</w:t>
      </w:r>
    </w:p>
    <w:p w14:paraId="54E6FD5C" w14:textId="7D94A4E3" w:rsidR="007B1C55" w:rsidRPr="00364CC2" w:rsidRDefault="007B1C55" w:rsidP="00F42BED">
      <w:pPr>
        <w:numPr>
          <w:ilvl w:val="0"/>
          <w:numId w:val="1"/>
        </w:numPr>
        <w:rPr>
          <w:lang w:val="en-US"/>
        </w:rPr>
      </w:pPr>
      <w:r w:rsidRPr="000F12E1">
        <w:rPr>
          <w:lang w:val="en-US"/>
        </w:rPr>
        <w:t xml:space="preserve">Final </w:t>
      </w:r>
      <w:r w:rsidR="00D32E94">
        <w:rPr>
          <w:lang w:val="en-US"/>
        </w:rPr>
        <w:t>paper</w:t>
      </w:r>
      <w:r w:rsidR="00D32E94">
        <w:rPr>
          <w:lang w:val="en-US"/>
        </w:rPr>
        <w:tab/>
      </w:r>
      <w:r w:rsidR="00F312D9">
        <w:rPr>
          <w:lang w:val="en-US"/>
        </w:rPr>
        <w:tab/>
      </w:r>
      <w:r w:rsidR="002C7EC6" w:rsidRPr="000F12E1">
        <w:rPr>
          <w:lang w:val="en-US"/>
        </w:rPr>
        <w:tab/>
      </w:r>
      <w:r w:rsidR="002C7EC6" w:rsidRPr="000F12E1">
        <w:rPr>
          <w:lang w:val="en-US"/>
        </w:rPr>
        <w:tab/>
      </w:r>
      <w:r w:rsidR="003A559A" w:rsidRPr="000F12E1">
        <w:rPr>
          <w:lang w:val="en-US"/>
        </w:rPr>
        <w:tab/>
      </w:r>
      <w:r w:rsidR="00D32E94">
        <w:rPr>
          <w:lang w:val="en-US"/>
        </w:rPr>
        <w:t>2</w:t>
      </w:r>
      <w:r w:rsidR="003741DE">
        <w:rPr>
          <w:lang w:val="en-US"/>
        </w:rPr>
        <w:t>0</w:t>
      </w:r>
      <w:r w:rsidRPr="000F12E1">
        <w:rPr>
          <w:lang w:val="en-US"/>
        </w:rPr>
        <w:t>%</w:t>
      </w:r>
      <w:r w:rsidRPr="000F12E1">
        <w:rPr>
          <w:lang w:val="en-US"/>
        </w:rPr>
        <w:tab/>
      </w:r>
      <w:r w:rsidRPr="000F12E1">
        <w:rPr>
          <w:b/>
          <w:lang w:val="en-US"/>
        </w:rPr>
        <w:t>(</w:t>
      </w:r>
      <w:r w:rsidR="00D32E94">
        <w:rPr>
          <w:b/>
          <w:lang w:val="en-US"/>
        </w:rPr>
        <w:t xml:space="preserve">Due </w:t>
      </w:r>
      <w:r w:rsidR="00C14889">
        <w:rPr>
          <w:b/>
          <w:lang w:val="en-US"/>
        </w:rPr>
        <w:t>August 1</w:t>
      </w:r>
      <w:r w:rsidR="00C470D0">
        <w:rPr>
          <w:b/>
          <w:lang w:val="en-US"/>
        </w:rPr>
        <w:t>6</w:t>
      </w:r>
      <w:r w:rsidR="00D32E94">
        <w:rPr>
          <w:b/>
          <w:lang w:val="en-US"/>
        </w:rPr>
        <w:t>, 20</w:t>
      </w:r>
      <w:r w:rsidR="00C4110C">
        <w:rPr>
          <w:b/>
          <w:lang w:val="en-US"/>
        </w:rPr>
        <w:t>2</w:t>
      </w:r>
      <w:r w:rsidR="00DA01B5">
        <w:rPr>
          <w:b/>
          <w:lang w:val="en-US"/>
        </w:rPr>
        <w:t>2</w:t>
      </w:r>
      <w:r w:rsidRPr="00364CC2">
        <w:rPr>
          <w:b/>
          <w:lang w:val="en-US"/>
        </w:rPr>
        <w:t>)</w:t>
      </w:r>
    </w:p>
    <w:p w14:paraId="3C928F09" w14:textId="77777777" w:rsidR="0070069B" w:rsidRPr="00364CC2" w:rsidRDefault="0070069B" w:rsidP="002B4F5B">
      <w:pPr>
        <w:spacing w:before="30" w:after="30"/>
        <w:rPr>
          <w:sz w:val="12"/>
          <w:szCs w:val="12"/>
          <w:lang w:val="en-US"/>
        </w:rPr>
      </w:pPr>
    </w:p>
    <w:p w14:paraId="5D86133A" w14:textId="30615C2E" w:rsidR="002B4F5B" w:rsidRPr="00364CC2" w:rsidRDefault="00D32E94" w:rsidP="002B4F5B">
      <w:pPr>
        <w:rPr>
          <w:lang w:val="en-US"/>
        </w:rPr>
      </w:pPr>
      <w:r>
        <w:rPr>
          <w:b/>
          <w:i/>
          <w:lang w:val="en-US"/>
        </w:rPr>
        <w:t>Online quizzes</w:t>
      </w:r>
      <w:r w:rsidR="0070069B" w:rsidRPr="00364CC2">
        <w:rPr>
          <w:b/>
          <w:i/>
          <w:lang w:val="en-US"/>
        </w:rPr>
        <w:t>:</w:t>
      </w:r>
      <w:r w:rsidR="0070069B" w:rsidRPr="00364CC2">
        <w:rPr>
          <w:lang w:val="en-US"/>
        </w:rPr>
        <w:t xml:space="preserve"> </w:t>
      </w:r>
      <w:r w:rsidR="00E260FA">
        <w:rPr>
          <w:lang w:val="en-US"/>
        </w:rPr>
        <w:t>T</w:t>
      </w:r>
      <w:r>
        <w:rPr>
          <w:lang w:val="en-US"/>
        </w:rPr>
        <w:t xml:space="preserve">he first </w:t>
      </w:r>
      <w:r w:rsidR="00E260FA">
        <w:rPr>
          <w:lang w:val="en-US"/>
        </w:rPr>
        <w:t>two</w:t>
      </w:r>
      <w:r>
        <w:rPr>
          <w:lang w:val="en-US"/>
        </w:rPr>
        <w:t xml:space="preserve"> online</w:t>
      </w:r>
      <w:r w:rsidR="00E81906">
        <w:rPr>
          <w:lang w:val="en-US"/>
        </w:rPr>
        <w:t xml:space="preserve"> modules will be concluded by </w:t>
      </w:r>
      <w:r w:rsidR="00C53956">
        <w:rPr>
          <w:lang w:val="en-US"/>
        </w:rPr>
        <w:t>online quiz</w:t>
      </w:r>
      <w:r w:rsidR="00E81906">
        <w:rPr>
          <w:lang w:val="en-US"/>
        </w:rPr>
        <w:t>zes</w:t>
      </w:r>
      <w:r w:rsidR="00DA792D">
        <w:rPr>
          <w:lang w:val="en-US"/>
        </w:rPr>
        <w:t xml:space="preserve">, which </w:t>
      </w:r>
      <w:proofErr w:type="gramStart"/>
      <w:r w:rsidR="00DA792D">
        <w:rPr>
          <w:lang w:val="en-US"/>
        </w:rPr>
        <w:t>have</w:t>
      </w:r>
      <w:r w:rsidR="00C53956">
        <w:rPr>
          <w:lang w:val="en-US"/>
        </w:rPr>
        <w:t xml:space="preserve"> to</w:t>
      </w:r>
      <w:proofErr w:type="gramEnd"/>
      <w:r w:rsidR="00C53956">
        <w:rPr>
          <w:lang w:val="en-US"/>
        </w:rPr>
        <w:t xml:space="preserve"> be completed on</w:t>
      </w:r>
      <w:r w:rsidR="00B20622">
        <w:rPr>
          <w:lang w:val="en-US"/>
        </w:rPr>
        <w:t xml:space="preserve"> Brightspace</w:t>
      </w:r>
      <w:r w:rsidR="00C53956">
        <w:rPr>
          <w:lang w:val="en-US"/>
        </w:rPr>
        <w:t xml:space="preserve">. </w:t>
      </w:r>
      <w:r w:rsidR="00E260FA">
        <w:rPr>
          <w:lang w:val="en-US"/>
        </w:rPr>
        <w:t>Each quiz</w:t>
      </w:r>
      <w:r w:rsidR="00C53956">
        <w:rPr>
          <w:lang w:val="en-US"/>
        </w:rPr>
        <w:t xml:space="preserve"> will consist of </w:t>
      </w:r>
      <w:r w:rsidR="00E81906">
        <w:rPr>
          <w:lang w:val="en-US"/>
        </w:rPr>
        <w:t>five</w:t>
      </w:r>
      <w:r w:rsidR="00C205F6">
        <w:rPr>
          <w:lang w:val="en-US"/>
        </w:rPr>
        <w:t xml:space="preserve"> short-</w:t>
      </w:r>
      <w:r w:rsidR="00C53956">
        <w:rPr>
          <w:lang w:val="en-US"/>
        </w:rPr>
        <w:t xml:space="preserve">answer questions relating to the material discussed in the respective module. </w:t>
      </w:r>
      <w:r w:rsidR="00083098">
        <w:rPr>
          <w:lang w:val="en-US"/>
        </w:rPr>
        <w:t>The</w:t>
      </w:r>
      <w:r w:rsidR="00FA262D">
        <w:rPr>
          <w:lang w:val="en-US"/>
        </w:rPr>
        <w:t xml:space="preserve"> quizzes </w:t>
      </w:r>
      <w:proofErr w:type="gramStart"/>
      <w:r w:rsidR="00083098">
        <w:rPr>
          <w:lang w:val="en-US"/>
        </w:rPr>
        <w:t>have to</w:t>
      </w:r>
      <w:proofErr w:type="gramEnd"/>
      <w:r w:rsidR="00083098">
        <w:rPr>
          <w:lang w:val="en-US"/>
        </w:rPr>
        <w:t xml:space="preserve"> be completed by </w:t>
      </w:r>
      <w:r w:rsidR="00C14889">
        <w:rPr>
          <w:lang w:val="en-US"/>
        </w:rPr>
        <w:t xml:space="preserve">July </w:t>
      </w:r>
      <w:r w:rsidR="00B20622">
        <w:rPr>
          <w:lang w:val="en-US"/>
        </w:rPr>
        <w:t>1</w:t>
      </w:r>
      <w:r w:rsidR="00DA01B5">
        <w:rPr>
          <w:lang w:val="en-US"/>
        </w:rPr>
        <w:t>1</w:t>
      </w:r>
      <w:r w:rsidR="00E260FA">
        <w:rPr>
          <w:lang w:val="en-US"/>
        </w:rPr>
        <w:t xml:space="preserve"> and </w:t>
      </w:r>
      <w:r w:rsidR="00C14889">
        <w:rPr>
          <w:lang w:val="en-US"/>
        </w:rPr>
        <w:t>July 1</w:t>
      </w:r>
      <w:r w:rsidR="00DA01B5">
        <w:rPr>
          <w:lang w:val="en-US"/>
        </w:rPr>
        <w:t>8</w:t>
      </w:r>
      <w:r w:rsidR="00C205F6">
        <w:rPr>
          <w:lang w:val="en-US"/>
        </w:rPr>
        <w:t>, respectively</w:t>
      </w:r>
      <w:r w:rsidR="00083098">
        <w:rPr>
          <w:lang w:val="en-US"/>
        </w:rPr>
        <w:t xml:space="preserve">. </w:t>
      </w:r>
      <w:r w:rsidR="00E260FA">
        <w:rPr>
          <w:lang w:val="en-US"/>
        </w:rPr>
        <w:t>Students can complete the quizzes at a time of their convenience before the applicab</w:t>
      </w:r>
      <w:r w:rsidR="00E81906">
        <w:rPr>
          <w:lang w:val="en-US"/>
        </w:rPr>
        <w:t xml:space="preserve">le deadline; they will have </w:t>
      </w:r>
      <w:r w:rsidR="00C84082">
        <w:rPr>
          <w:lang w:val="en-US"/>
        </w:rPr>
        <w:t>two</w:t>
      </w:r>
      <w:r w:rsidR="00E81906">
        <w:rPr>
          <w:lang w:val="en-US"/>
        </w:rPr>
        <w:t xml:space="preserve"> </w:t>
      </w:r>
      <w:r w:rsidR="00E260FA">
        <w:rPr>
          <w:lang w:val="en-US"/>
        </w:rPr>
        <w:t>hour</w:t>
      </w:r>
      <w:r w:rsidR="00E81906">
        <w:rPr>
          <w:lang w:val="en-US"/>
        </w:rPr>
        <w:t>s</w:t>
      </w:r>
      <w:r w:rsidR="00E260FA">
        <w:rPr>
          <w:lang w:val="en-US"/>
        </w:rPr>
        <w:t xml:space="preserve"> (</w:t>
      </w:r>
      <w:r w:rsidR="00C84082">
        <w:rPr>
          <w:lang w:val="en-US"/>
        </w:rPr>
        <w:t>120</w:t>
      </w:r>
      <w:r w:rsidR="00E260FA">
        <w:rPr>
          <w:lang w:val="en-US"/>
        </w:rPr>
        <w:t xml:space="preserve"> minutes) to complete each quiz. </w:t>
      </w:r>
    </w:p>
    <w:p w14:paraId="7B9C726E" w14:textId="77777777" w:rsidR="002135F5" w:rsidRPr="00364CC2" w:rsidRDefault="002135F5" w:rsidP="002B4F5B">
      <w:pPr>
        <w:rPr>
          <w:sz w:val="12"/>
          <w:szCs w:val="12"/>
          <w:lang w:val="en-US"/>
        </w:rPr>
      </w:pPr>
    </w:p>
    <w:p w14:paraId="3BDEE869" w14:textId="5B33E4BB" w:rsidR="00E260FA" w:rsidRPr="00364CC2" w:rsidRDefault="00E260FA" w:rsidP="00E260FA">
      <w:pPr>
        <w:rPr>
          <w:lang w:val="en-US"/>
        </w:rPr>
      </w:pPr>
      <w:r>
        <w:rPr>
          <w:b/>
          <w:i/>
          <w:lang w:val="en-US"/>
        </w:rPr>
        <w:t xml:space="preserve">Participation in online </w:t>
      </w:r>
      <w:r w:rsidR="003741DE">
        <w:rPr>
          <w:b/>
          <w:i/>
          <w:lang w:val="en-US"/>
        </w:rPr>
        <w:t>debate</w:t>
      </w:r>
      <w:r w:rsidRPr="00364CC2">
        <w:rPr>
          <w:b/>
          <w:i/>
          <w:lang w:val="en-US"/>
        </w:rPr>
        <w:t>:</w:t>
      </w:r>
      <w:r w:rsidRPr="00364CC2">
        <w:rPr>
          <w:lang w:val="en-US"/>
        </w:rPr>
        <w:t xml:space="preserve"> </w:t>
      </w:r>
      <w:r>
        <w:rPr>
          <w:lang w:val="en-US"/>
        </w:rPr>
        <w:t xml:space="preserve">The third online module will </w:t>
      </w:r>
      <w:r w:rsidR="00506369">
        <w:rPr>
          <w:lang w:val="en-US"/>
        </w:rPr>
        <w:t>include</w:t>
      </w:r>
      <w:r>
        <w:rPr>
          <w:lang w:val="en-US"/>
        </w:rPr>
        <w:t xml:space="preserve"> an online </w:t>
      </w:r>
      <w:r w:rsidR="00506369">
        <w:rPr>
          <w:lang w:val="en-US"/>
        </w:rPr>
        <w:t xml:space="preserve">debate, conducted in a forum </w:t>
      </w:r>
      <w:r>
        <w:rPr>
          <w:lang w:val="en-US"/>
        </w:rPr>
        <w:t>on</w:t>
      </w:r>
      <w:r w:rsidR="00B20622">
        <w:rPr>
          <w:lang w:val="en-US"/>
        </w:rPr>
        <w:t xml:space="preserve"> Brightspace </w:t>
      </w:r>
      <w:r w:rsidR="00AF66C3">
        <w:rPr>
          <w:lang w:val="en-US"/>
        </w:rPr>
        <w:t xml:space="preserve">between </w:t>
      </w:r>
      <w:r w:rsidR="00C14889">
        <w:rPr>
          <w:lang w:val="en-US"/>
        </w:rPr>
        <w:t>July 1</w:t>
      </w:r>
      <w:r w:rsidR="00DA01B5">
        <w:rPr>
          <w:lang w:val="en-US"/>
        </w:rPr>
        <w:t>8</w:t>
      </w:r>
      <w:r w:rsidR="00AF66C3">
        <w:rPr>
          <w:lang w:val="en-US"/>
        </w:rPr>
        <w:t xml:space="preserve"> and </w:t>
      </w:r>
      <w:r w:rsidR="008F4ACF">
        <w:rPr>
          <w:lang w:val="en-US"/>
        </w:rPr>
        <w:t>2</w:t>
      </w:r>
      <w:r w:rsidR="00DA01B5">
        <w:rPr>
          <w:lang w:val="en-US"/>
        </w:rPr>
        <w:t>5</w:t>
      </w:r>
      <w:r w:rsidR="00AF66C3">
        <w:rPr>
          <w:lang w:val="en-US"/>
        </w:rPr>
        <w:t>.</w:t>
      </w:r>
      <w:r>
        <w:rPr>
          <w:lang w:val="en-US"/>
        </w:rPr>
        <w:t xml:space="preserve"> The discussion </w:t>
      </w:r>
      <w:r w:rsidR="00521527">
        <w:rPr>
          <w:lang w:val="en-US"/>
        </w:rPr>
        <w:t xml:space="preserve">will be based on recent books </w:t>
      </w:r>
      <w:r w:rsidR="00854795">
        <w:rPr>
          <w:lang w:val="en-US"/>
        </w:rPr>
        <w:t xml:space="preserve">that address </w:t>
      </w:r>
      <w:r w:rsidR="00521527">
        <w:rPr>
          <w:lang w:val="en-US"/>
        </w:rPr>
        <w:t xml:space="preserve">Canadian foreign policy (see list below). </w:t>
      </w:r>
      <w:r w:rsidR="00463751">
        <w:rPr>
          <w:lang w:val="en-US"/>
        </w:rPr>
        <w:t>In</w:t>
      </w:r>
      <w:r w:rsidR="00506369">
        <w:rPr>
          <w:lang w:val="en-US"/>
        </w:rPr>
        <w:t xml:space="preserve"> the debate, students will be required to play the role of one of the </w:t>
      </w:r>
      <w:r w:rsidR="00463751">
        <w:rPr>
          <w:lang w:val="en-US"/>
        </w:rPr>
        <w:t>authors</w:t>
      </w:r>
      <w:r w:rsidR="00FA262D">
        <w:rPr>
          <w:lang w:val="en-US"/>
        </w:rPr>
        <w:t xml:space="preserve"> in a hypothetical advisory group brought together by the Canadian prime minister. </w:t>
      </w:r>
      <w:r w:rsidR="00506369">
        <w:rPr>
          <w:lang w:val="en-US"/>
        </w:rPr>
        <w:t>This role</w:t>
      </w:r>
      <w:r w:rsidR="00C205F6">
        <w:rPr>
          <w:lang w:val="en-US"/>
        </w:rPr>
        <w:t>-</w:t>
      </w:r>
      <w:r w:rsidR="00506369">
        <w:rPr>
          <w:lang w:val="en-US"/>
        </w:rPr>
        <w:t xml:space="preserve">playing exercise will be followed by a debriefing. </w:t>
      </w:r>
      <w:r w:rsidR="00521527">
        <w:rPr>
          <w:lang w:val="en-US"/>
        </w:rPr>
        <w:t>The d</w:t>
      </w:r>
      <w:r w:rsidR="00506369">
        <w:rPr>
          <w:lang w:val="en-US"/>
        </w:rPr>
        <w:t xml:space="preserve">ebate </w:t>
      </w:r>
      <w:r w:rsidR="00521527">
        <w:rPr>
          <w:lang w:val="en-US"/>
        </w:rPr>
        <w:t xml:space="preserve">will </w:t>
      </w:r>
      <w:r>
        <w:rPr>
          <w:lang w:val="en-US"/>
        </w:rPr>
        <w:t xml:space="preserve">be structured by questions posed by the instructor. Students are expected to make at least </w:t>
      </w:r>
      <w:r w:rsidR="00463751">
        <w:rPr>
          <w:lang w:val="en-US"/>
        </w:rPr>
        <w:t>five</w:t>
      </w:r>
      <w:r>
        <w:rPr>
          <w:lang w:val="en-US"/>
        </w:rPr>
        <w:t xml:space="preserve"> contributions to the forum</w:t>
      </w:r>
      <w:r w:rsidR="00506369">
        <w:rPr>
          <w:lang w:val="en-US"/>
        </w:rPr>
        <w:t xml:space="preserve">. </w:t>
      </w:r>
      <w:r w:rsidR="00AF66C3">
        <w:rPr>
          <w:lang w:val="en-US"/>
        </w:rPr>
        <w:t xml:space="preserve">The first </w:t>
      </w:r>
      <w:r w:rsidR="00463751">
        <w:rPr>
          <w:lang w:val="en-US"/>
        </w:rPr>
        <w:t xml:space="preserve">two </w:t>
      </w:r>
      <w:r w:rsidR="00AF66C3">
        <w:rPr>
          <w:lang w:val="en-US"/>
        </w:rPr>
        <w:t>contribution</w:t>
      </w:r>
      <w:r w:rsidR="00463751">
        <w:rPr>
          <w:lang w:val="en-US"/>
        </w:rPr>
        <w:t>s</w:t>
      </w:r>
      <w:r w:rsidR="00AF66C3">
        <w:rPr>
          <w:lang w:val="en-US"/>
        </w:rPr>
        <w:t xml:space="preserve"> must be </w:t>
      </w:r>
      <w:r w:rsidR="00C205F6">
        <w:rPr>
          <w:lang w:val="en-US"/>
        </w:rPr>
        <w:t>posted</w:t>
      </w:r>
      <w:r w:rsidR="00AF66C3">
        <w:rPr>
          <w:lang w:val="en-US"/>
        </w:rPr>
        <w:t xml:space="preserve"> by </w:t>
      </w:r>
      <w:r w:rsidR="008F4ACF">
        <w:rPr>
          <w:lang w:val="en-US"/>
        </w:rPr>
        <w:t>July 2</w:t>
      </w:r>
      <w:r w:rsidR="00DA01B5">
        <w:rPr>
          <w:lang w:val="en-US"/>
        </w:rPr>
        <w:t>1</w:t>
      </w:r>
      <w:r w:rsidR="00521527">
        <w:rPr>
          <w:lang w:val="en-US"/>
        </w:rPr>
        <w:t>; t</w:t>
      </w:r>
      <w:r w:rsidR="00463751">
        <w:rPr>
          <w:lang w:val="en-US"/>
        </w:rPr>
        <w:t>hree</w:t>
      </w:r>
      <w:r w:rsidR="00521527">
        <w:rPr>
          <w:lang w:val="en-US"/>
        </w:rPr>
        <w:t xml:space="preserve"> further contributions engaging in debate with the </w:t>
      </w:r>
      <w:r w:rsidR="00506369">
        <w:rPr>
          <w:lang w:val="en-US"/>
        </w:rPr>
        <w:t>other students</w:t>
      </w:r>
      <w:r>
        <w:rPr>
          <w:lang w:val="en-US"/>
        </w:rPr>
        <w:t xml:space="preserve"> </w:t>
      </w:r>
      <w:r w:rsidR="00521527">
        <w:rPr>
          <w:lang w:val="en-US"/>
        </w:rPr>
        <w:t xml:space="preserve">must be posted by </w:t>
      </w:r>
      <w:r w:rsidR="00C14889">
        <w:rPr>
          <w:lang w:val="en-US"/>
        </w:rPr>
        <w:t xml:space="preserve">July </w:t>
      </w:r>
      <w:r w:rsidR="008F4ACF">
        <w:rPr>
          <w:lang w:val="en-US"/>
        </w:rPr>
        <w:t>2</w:t>
      </w:r>
      <w:r w:rsidR="00DA01B5">
        <w:rPr>
          <w:lang w:val="en-US"/>
        </w:rPr>
        <w:t>5</w:t>
      </w:r>
      <w:r>
        <w:rPr>
          <w:lang w:val="en-US"/>
        </w:rPr>
        <w:t xml:space="preserve">. </w:t>
      </w:r>
    </w:p>
    <w:p w14:paraId="7186E71F" w14:textId="77777777" w:rsidR="00E260FA" w:rsidRPr="00364CC2" w:rsidRDefault="00E260FA" w:rsidP="00E260FA">
      <w:pPr>
        <w:rPr>
          <w:sz w:val="12"/>
          <w:szCs w:val="12"/>
          <w:lang w:val="en-US"/>
        </w:rPr>
      </w:pPr>
    </w:p>
    <w:p w14:paraId="5F5D8E70" w14:textId="79DE5750" w:rsidR="0070069B" w:rsidRDefault="00FA3382" w:rsidP="00EB0E98">
      <w:pPr>
        <w:rPr>
          <w:lang w:val="en-US"/>
        </w:rPr>
      </w:pPr>
      <w:r>
        <w:rPr>
          <w:b/>
          <w:i/>
          <w:lang w:val="en-US"/>
        </w:rPr>
        <w:t xml:space="preserve">Policy </w:t>
      </w:r>
      <w:proofErr w:type="gramStart"/>
      <w:r>
        <w:rPr>
          <w:b/>
          <w:i/>
          <w:lang w:val="en-US"/>
        </w:rPr>
        <w:t>brief</w:t>
      </w:r>
      <w:proofErr w:type="gramEnd"/>
      <w:r w:rsidR="00541A86">
        <w:rPr>
          <w:b/>
          <w:i/>
          <w:lang w:val="en-US"/>
        </w:rPr>
        <w:t xml:space="preserve"> or discussion paper</w:t>
      </w:r>
      <w:r w:rsidR="0070069B" w:rsidRPr="00C21E9E">
        <w:rPr>
          <w:b/>
          <w:i/>
          <w:lang w:val="en-US"/>
        </w:rPr>
        <w:t>:</w:t>
      </w:r>
      <w:r w:rsidR="0070069B" w:rsidRPr="00C21E9E">
        <w:rPr>
          <w:lang w:val="en-US"/>
        </w:rPr>
        <w:t xml:space="preserve"> </w:t>
      </w:r>
      <w:r w:rsidR="00C53956">
        <w:rPr>
          <w:lang w:val="en-US"/>
        </w:rPr>
        <w:t xml:space="preserve">At the end of the </w:t>
      </w:r>
      <w:r w:rsidR="003741DE">
        <w:rPr>
          <w:lang w:val="en-US"/>
        </w:rPr>
        <w:t>fourth online module</w:t>
      </w:r>
      <w:r w:rsidR="00844312">
        <w:rPr>
          <w:lang w:val="en-US"/>
        </w:rPr>
        <w:t xml:space="preserve">, students have to write </w:t>
      </w:r>
      <w:r w:rsidR="00C53956">
        <w:rPr>
          <w:lang w:val="en-US"/>
        </w:rPr>
        <w:t xml:space="preserve">a </w:t>
      </w:r>
      <w:r w:rsidR="00541A86">
        <w:rPr>
          <w:lang w:val="en-US"/>
        </w:rPr>
        <w:t xml:space="preserve">short </w:t>
      </w:r>
      <w:r w:rsidR="00C53956">
        <w:rPr>
          <w:lang w:val="en-US"/>
        </w:rPr>
        <w:t xml:space="preserve">policy brief </w:t>
      </w:r>
      <w:r w:rsidR="00541A86">
        <w:rPr>
          <w:lang w:val="en-US"/>
        </w:rPr>
        <w:t xml:space="preserve">or discussion paper </w:t>
      </w:r>
      <w:r w:rsidR="00C53956">
        <w:rPr>
          <w:lang w:val="en-US"/>
        </w:rPr>
        <w:t>(</w:t>
      </w:r>
      <w:r w:rsidR="00541A86">
        <w:rPr>
          <w:lang w:val="en-US"/>
        </w:rPr>
        <w:t>3-</w:t>
      </w:r>
      <w:r w:rsidR="00C53956">
        <w:rPr>
          <w:lang w:val="en-US"/>
        </w:rPr>
        <w:t>4 pages</w:t>
      </w:r>
      <w:r w:rsidR="00A52F8B">
        <w:rPr>
          <w:lang w:val="en-US"/>
        </w:rPr>
        <w:t>, single spaced</w:t>
      </w:r>
      <w:r w:rsidR="00C53956">
        <w:rPr>
          <w:lang w:val="en-US"/>
        </w:rPr>
        <w:t>)</w:t>
      </w:r>
      <w:r w:rsidR="00541A86">
        <w:rPr>
          <w:lang w:val="en-US"/>
        </w:rPr>
        <w:t xml:space="preserve">. Topics for this assignment </w:t>
      </w:r>
      <w:proofErr w:type="gramStart"/>
      <w:r w:rsidR="00541A86">
        <w:rPr>
          <w:lang w:val="en-US"/>
        </w:rPr>
        <w:t>have to</w:t>
      </w:r>
      <w:proofErr w:type="gramEnd"/>
      <w:r w:rsidR="00541A86">
        <w:rPr>
          <w:lang w:val="en-US"/>
        </w:rPr>
        <w:t xml:space="preserve"> be selected from a list provided on</w:t>
      </w:r>
      <w:r w:rsidR="00B20622">
        <w:rPr>
          <w:lang w:val="en-US"/>
        </w:rPr>
        <w:t xml:space="preserve"> Brightspace</w:t>
      </w:r>
      <w:r w:rsidR="00541A86">
        <w:rPr>
          <w:lang w:val="en-US"/>
        </w:rPr>
        <w:t>. Policy briefs take the form of a briefing note for a Canadian or E</w:t>
      </w:r>
      <w:r w:rsidR="00D460DA">
        <w:rPr>
          <w:lang w:val="en-US"/>
        </w:rPr>
        <w:t>uropean</w:t>
      </w:r>
      <w:r w:rsidR="00541A86">
        <w:rPr>
          <w:lang w:val="en-US"/>
        </w:rPr>
        <w:t xml:space="preserve"> official for a hypothetical bilateral meeting; they must</w:t>
      </w:r>
      <w:r w:rsidR="00541A86" w:rsidRPr="00541A86">
        <w:rPr>
          <w:lang w:val="en-US"/>
        </w:rPr>
        <w:t xml:space="preserve"> follow the Global Affairs Canada “meeting note” template</w:t>
      </w:r>
      <w:r w:rsidR="00541A86">
        <w:rPr>
          <w:lang w:val="en-US"/>
        </w:rPr>
        <w:t xml:space="preserve">, </w:t>
      </w:r>
      <w:r w:rsidR="00541A86" w:rsidRPr="00541A86">
        <w:rPr>
          <w:lang w:val="en-US"/>
        </w:rPr>
        <w:t>provided on</w:t>
      </w:r>
      <w:r w:rsidR="00B20622">
        <w:rPr>
          <w:lang w:val="en-US"/>
        </w:rPr>
        <w:t xml:space="preserve"> Brightspace</w:t>
      </w:r>
      <w:r w:rsidR="00541A86" w:rsidRPr="00541A86">
        <w:rPr>
          <w:lang w:val="en-US"/>
        </w:rPr>
        <w:t>.</w:t>
      </w:r>
      <w:r w:rsidR="00541A86">
        <w:rPr>
          <w:lang w:val="en-US"/>
        </w:rPr>
        <w:t xml:space="preserve"> Discussion papers take the form of a brief essay that responds to a question abou</w:t>
      </w:r>
      <w:r w:rsidR="00844312">
        <w:rPr>
          <w:lang w:val="en-US"/>
        </w:rPr>
        <w:t xml:space="preserve">t the academic literature on </w:t>
      </w:r>
      <w:r w:rsidR="00541A86">
        <w:rPr>
          <w:lang w:val="en-US"/>
        </w:rPr>
        <w:t>Canada</w:t>
      </w:r>
      <w:r w:rsidR="00844312">
        <w:rPr>
          <w:lang w:val="en-US"/>
        </w:rPr>
        <w:t>-EU</w:t>
      </w:r>
      <w:r w:rsidR="00541A86">
        <w:rPr>
          <w:lang w:val="en-US"/>
        </w:rPr>
        <w:t xml:space="preserve"> relations; a template for this assignment </w:t>
      </w:r>
      <w:r w:rsidR="00844312">
        <w:rPr>
          <w:lang w:val="en-US"/>
        </w:rPr>
        <w:t xml:space="preserve">will </w:t>
      </w:r>
      <w:r w:rsidR="00541A86">
        <w:rPr>
          <w:lang w:val="en-US"/>
        </w:rPr>
        <w:t xml:space="preserve">likewise </w:t>
      </w:r>
      <w:r w:rsidR="00844312">
        <w:rPr>
          <w:lang w:val="en-US"/>
        </w:rPr>
        <w:t xml:space="preserve">be </w:t>
      </w:r>
      <w:r w:rsidR="00541A86">
        <w:rPr>
          <w:lang w:val="en-US"/>
        </w:rPr>
        <w:t>provided on</w:t>
      </w:r>
      <w:r w:rsidR="00B20622">
        <w:rPr>
          <w:lang w:val="en-US"/>
        </w:rPr>
        <w:t xml:space="preserve"> Brightspace</w:t>
      </w:r>
      <w:r w:rsidR="00541A86">
        <w:rPr>
          <w:lang w:val="en-US"/>
        </w:rPr>
        <w:t xml:space="preserve">. </w:t>
      </w:r>
      <w:r w:rsidR="00083098">
        <w:rPr>
          <w:lang w:val="en-US"/>
        </w:rPr>
        <w:t xml:space="preserve">Topics for policy briefs </w:t>
      </w:r>
      <w:r w:rsidR="00541A86">
        <w:rPr>
          <w:lang w:val="en-US"/>
        </w:rPr>
        <w:t xml:space="preserve">or discussion papers must </w:t>
      </w:r>
      <w:r w:rsidR="00B52B6B">
        <w:rPr>
          <w:lang w:val="en-US"/>
        </w:rPr>
        <w:t xml:space="preserve">be selected by </w:t>
      </w:r>
      <w:r w:rsidR="008F4ACF">
        <w:rPr>
          <w:lang w:val="en-US"/>
        </w:rPr>
        <w:t>July 1</w:t>
      </w:r>
      <w:r w:rsidR="00DA01B5">
        <w:rPr>
          <w:lang w:val="en-US"/>
        </w:rPr>
        <w:t>8</w:t>
      </w:r>
      <w:r w:rsidR="00083098">
        <w:rPr>
          <w:lang w:val="en-US"/>
        </w:rPr>
        <w:t>; the</w:t>
      </w:r>
      <w:r w:rsidR="00541A86">
        <w:rPr>
          <w:lang w:val="en-US"/>
        </w:rPr>
        <w:t xml:space="preserve"> assignment </w:t>
      </w:r>
      <w:r w:rsidR="00B52B6B">
        <w:rPr>
          <w:lang w:val="en-US"/>
        </w:rPr>
        <w:t xml:space="preserve">must be submitted </w:t>
      </w:r>
      <w:r w:rsidR="00DA792D">
        <w:rPr>
          <w:lang w:val="en-US"/>
        </w:rPr>
        <w:t xml:space="preserve">on Brightspace </w:t>
      </w:r>
      <w:r w:rsidR="00B52B6B">
        <w:rPr>
          <w:lang w:val="en-US"/>
        </w:rPr>
        <w:t xml:space="preserve">by </w:t>
      </w:r>
      <w:r w:rsidR="00B20622">
        <w:rPr>
          <w:lang w:val="en-US"/>
        </w:rPr>
        <w:t xml:space="preserve">August </w:t>
      </w:r>
      <w:r w:rsidR="00DA01B5">
        <w:rPr>
          <w:lang w:val="en-US"/>
        </w:rPr>
        <w:t>1</w:t>
      </w:r>
      <w:r w:rsidR="00083098">
        <w:rPr>
          <w:lang w:val="en-US"/>
        </w:rPr>
        <w:t xml:space="preserve">. </w:t>
      </w:r>
    </w:p>
    <w:p w14:paraId="232E5A65" w14:textId="77777777" w:rsidR="00B52B0C" w:rsidRPr="00C21E9E" w:rsidRDefault="00B52B0C">
      <w:pPr>
        <w:rPr>
          <w:sz w:val="12"/>
          <w:lang w:val="en-US"/>
        </w:rPr>
      </w:pPr>
    </w:p>
    <w:p w14:paraId="444EAA42" w14:textId="333320C1" w:rsidR="00E52F92" w:rsidRDefault="00FA3382" w:rsidP="00C34739">
      <w:pPr>
        <w:rPr>
          <w:lang w:val="en-US"/>
        </w:rPr>
      </w:pPr>
      <w:r>
        <w:rPr>
          <w:b/>
          <w:i/>
          <w:lang w:val="en-US"/>
        </w:rPr>
        <w:t xml:space="preserve">Participation in </w:t>
      </w:r>
      <w:r w:rsidR="00C4110C">
        <w:rPr>
          <w:b/>
          <w:i/>
          <w:lang w:val="en-US"/>
        </w:rPr>
        <w:t xml:space="preserve">online </w:t>
      </w:r>
      <w:r>
        <w:rPr>
          <w:b/>
          <w:i/>
          <w:lang w:val="en-US"/>
        </w:rPr>
        <w:t>seminar sessions</w:t>
      </w:r>
      <w:r w:rsidR="00C34739" w:rsidRPr="00C21E9E">
        <w:rPr>
          <w:b/>
          <w:i/>
          <w:lang w:val="en-US"/>
        </w:rPr>
        <w:t>:</w:t>
      </w:r>
      <w:r w:rsidR="00C34739" w:rsidRPr="00C21E9E">
        <w:rPr>
          <w:lang w:val="en-US"/>
        </w:rPr>
        <w:t xml:space="preserve"> </w:t>
      </w:r>
      <w:r w:rsidR="00A52F8B">
        <w:rPr>
          <w:lang w:val="en-US"/>
        </w:rPr>
        <w:t xml:space="preserve">Seminar sessions are designed to follow an interactive format. Some </w:t>
      </w:r>
      <w:r w:rsidR="00B0211A" w:rsidRPr="00B0211A">
        <w:rPr>
          <w:lang w:val="en-US"/>
        </w:rPr>
        <w:t xml:space="preserve">sessions will make use of teaching methods that require active student participation, such as group work, debates, or role-playing. It is essential that all students do the required readings for each </w:t>
      </w:r>
      <w:r w:rsidR="00FA262D">
        <w:rPr>
          <w:lang w:val="en-US"/>
        </w:rPr>
        <w:t xml:space="preserve">seminar </w:t>
      </w:r>
      <w:r w:rsidR="00B0211A" w:rsidRPr="00B0211A">
        <w:rPr>
          <w:lang w:val="en-US"/>
        </w:rPr>
        <w:t xml:space="preserve">session, </w:t>
      </w:r>
      <w:r w:rsidR="00C4110C">
        <w:rPr>
          <w:lang w:val="en-US"/>
        </w:rPr>
        <w:t xml:space="preserve">have </w:t>
      </w:r>
      <w:r w:rsidR="009268A1">
        <w:rPr>
          <w:lang w:val="en-US"/>
        </w:rPr>
        <w:t xml:space="preserve">access to </w:t>
      </w:r>
      <w:r w:rsidR="00B0211A" w:rsidRPr="00B0211A">
        <w:rPr>
          <w:lang w:val="en-US"/>
        </w:rPr>
        <w:t xml:space="preserve">the </w:t>
      </w:r>
      <w:r w:rsidR="00C205F6">
        <w:rPr>
          <w:lang w:val="en-US"/>
        </w:rPr>
        <w:t xml:space="preserve">required </w:t>
      </w:r>
      <w:r w:rsidR="00B0211A" w:rsidRPr="00B0211A">
        <w:rPr>
          <w:lang w:val="en-US"/>
        </w:rPr>
        <w:t xml:space="preserve">texts </w:t>
      </w:r>
      <w:r w:rsidR="009268A1">
        <w:rPr>
          <w:lang w:val="en-US"/>
        </w:rPr>
        <w:t>during the online seminars</w:t>
      </w:r>
      <w:r w:rsidR="00B0211A" w:rsidRPr="00B0211A">
        <w:rPr>
          <w:lang w:val="en-US"/>
        </w:rPr>
        <w:t xml:space="preserve">, and take the time to think about questions they would like to discuss about them. Participation marks will be assigned </w:t>
      </w:r>
      <w:r w:rsidR="0007635D">
        <w:rPr>
          <w:lang w:val="en-US"/>
        </w:rPr>
        <w:t>reflecting both</w:t>
      </w:r>
      <w:r w:rsidR="00B0211A" w:rsidRPr="00B0211A">
        <w:rPr>
          <w:lang w:val="en-US"/>
        </w:rPr>
        <w:t xml:space="preserve"> quality and quantity of contributions. </w:t>
      </w:r>
    </w:p>
    <w:p w14:paraId="18E69074" w14:textId="77777777" w:rsidR="00F312D9" w:rsidRPr="00F312D9" w:rsidRDefault="00F312D9" w:rsidP="00F312D9">
      <w:pPr>
        <w:rPr>
          <w:b/>
          <w:i/>
          <w:sz w:val="12"/>
          <w:szCs w:val="12"/>
          <w:lang w:val="en-US"/>
        </w:rPr>
      </w:pPr>
    </w:p>
    <w:p w14:paraId="604069E3" w14:textId="2DC80597" w:rsidR="00506369" w:rsidRDefault="00F312D9" w:rsidP="00695EB9">
      <w:pPr>
        <w:rPr>
          <w:lang w:val="en-US"/>
        </w:rPr>
      </w:pPr>
      <w:r>
        <w:rPr>
          <w:b/>
          <w:i/>
          <w:lang w:val="en-US"/>
        </w:rPr>
        <w:t>Final paper</w:t>
      </w:r>
      <w:r w:rsidRPr="00C21E9E">
        <w:rPr>
          <w:b/>
          <w:i/>
          <w:lang w:val="en-US"/>
        </w:rPr>
        <w:t>:</w:t>
      </w:r>
      <w:r w:rsidRPr="00C21E9E">
        <w:rPr>
          <w:lang w:val="en-US"/>
        </w:rPr>
        <w:t xml:space="preserve"> </w:t>
      </w:r>
      <w:r w:rsidR="00A52F8B">
        <w:rPr>
          <w:lang w:val="en-US"/>
        </w:rPr>
        <w:t xml:space="preserve">At the end of the course, students are expected to write a short </w:t>
      </w:r>
      <w:r w:rsidR="00695EB9">
        <w:rPr>
          <w:lang w:val="en-US"/>
        </w:rPr>
        <w:t>scholarly</w:t>
      </w:r>
      <w:r w:rsidR="00A52F8B">
        <w:rPr>
          <w:lang w:val="en-US"/>
        </w:rPr>
        <w:t xml:space="preserve"> paper (</w:t>
      </w:r>
      <w:r w:rsidR="00DA792D">
        <w:rPr>
          <w:lang w:val="en-US"/>
        </w:rPr>
        <w:t xml:space="preserve">ca. </w:t>
      </w:r>
      <w:r w:rsidR="002215AA">
        <w:rPr>
          <w:lang w:val="en-US"/>
        </w:rPr>
        <w:t>10</w:t>
      </w:r>
      <w:r w:rsidR="00DA792D">
        <w:rPr>
          <w:lang w:val="en-US"/>
        </w:rPr>
        <w:t xml:space="preserve"> </w:t>
      </w:r>
      <w:r w:rsidR="00A52F8B">
        <w:rPr>
          <w:lang w:val="en-US"/>
        </w:rPr>
        <w:t>pages, double spaced)</w:t>
      </w:r>
      <w:r w:rsidR="003E23FE">
        <w:rPr>
          <w:lang w:val="en-US"/>
        </w:rPr>
        <w:t xml:space="preserve"> on an issue in Canada-EU relations. Papers may deal with the same issue on which </w:t>
      </w:r>
      <w:r w:rsidR="00DA792D">
        <w:rPr>
          <w:lang w:val="en-US"/>
        </w:rPr>
        <w:t>the</w:t>
      </w:r>
      <w:r w:rsidR="003E23FE">
        <w:rPr>
          <w:lang w:val="en-US"/>
        </w:rPr>
        <w:t xml:space="preserve"> student has already written </w:t>
      </w:r>
      <w:r w:rsidR="00DA792D">
        <w:rPr>
          <w:lang w:val="en-US"/>
        </w:rPr>
        <w:t>their</w:t>
      </w:r>
      <w:r w:rsidR="003E23FE">
        <w:rPr>
          <w:lang w:val="en-US"/>
        </w:rPr>
        <w:t xml:space="preserve"> policy brief</w:t>
      </w:r>
      <w:r w:rsidR="00FA262D">
        <w:rPr>
          <w:lang w:val="en-US"/>
        </w:rPr>
        <w:t xml:space="preserve"> or discussion paper</w:t>
      </w:r>
      <w:r w:rsidR="00695EB9">
        <w:rPr>
          <w:lang w:val="en-US"/>
        </w:rPr>
        <w:t>.</w:t>
      </w:r>
      <w:r w:rsidR="003E23FE">
        <w:rPr>
          <w:lang w:val="en-US"/>
        </w:rPr>
        <w:t xml:space="preserve"> </w:t>
      </w:r>
      <w:r w:rsidR="00695EB9">
        <w:rPr>
          <w:lang w:val="en-US"/>
        </w:rPr>
        <w:t>H</w:t>
      </w:r>
      <w:r w:rsidR="003E23FE">
        <w:rPr>
          <w:lang w:val="en-US"/>
        </w:rPr>
        <w:t xml:space="preserve">owever, </w:t>
      </w:r>
      <w:r w:rsidR="00695EB9">
        <w:rPr>
          <w:lang w:val="en-US"/>
        </w:rPr>
        <w:t xml:space="preserve">this assignment will have to </w:t>
      </w:r>
      <w:r w:rsidR="00DA792D">
        <w:rPr>
          <w:lang w:val="en-US"/>
        </w:rPr>
        <w:t xml:space="preserve">be structured around an </w:t>
      </w:r>
      <w:r w:rsidR="00695EB9">
        <w:rPr>
          <w:lang w:val="en-US"/>
        </w:rPr>
        <w:t xml:space="preserve">original research question, formulated by the student, and approved by the instructor. </w:t>
      </w:r>
      <w:r w:rsidR="003E23FE">
        <w:rPr>
          <w:lang w:val="en-US"/>
        </w:rPr>
        <w:t xml:space="preserve">More detailed instructions </w:t>
      </w:r>
      <w:r w:rsidR="00DA792D">
        <w:rPr>
          <w:lang w:val="en-US"/>
        </w:rPr>
        <w:t>for</w:t>
      </w:r>
      <w:r w:rsidR="003E23FE">
        <w:rPr>
          <w:lang w:val="en-US"/>
        </w:rPr>
        <w:t xml:space="preserve"> the final paper will be provided on </w:t>
      </w:r>
      <w:r w:rsidR="00DA792D">
        <w:rPr>
          <w:lang w:val="en-US"/>
        </w:rPr>
        <w:t xml:space="preserve">Brightspace </w:t>
      </w:r>
      <w:r w:rsidR="003E23FE">
        <w:rPr>
          <w:lang w:val="en-US"/>
        </w:rPr>
        <w:t>and in class. Students are encouraged to discuss the precise research question for their final paper with the instructor during his office hours.</w:t>
      </w:r>
      <w:r w:rsidR="002215AA">
        <w:rPr>
          <w:lang w:val="en-US"/>
        </w:rPr>
        <w:t xml:space="preserve"> The due date for the paper is </w:t>
      </w:r>
      <w:r w:rsidR="00C14889">
        <w:rPr>
          <w:lang w:val="en-US"/>
        </w:rPr>
        <w:t>August 1</w:t>
      </w:r>
      <w:r w:rsidR="00DA792D">
        <w:rPr>
          <w:lang w:val="en-US"/>
        </w:rPr>
        <w:t>6</w:t>
      </w:r>
      <w:r w:rsidR="002215AA">
        <w:rPr>
          <w:lang w:val="en-US"/>
        </w:rPr>
        <w:t>.</w:t>
      </w:r>
      <w:r w:rsidR="00C14889">
        <w:rPr>
          <w:lang w:val="en-US"/>
        </w:rPr>
        <w:t xml:space="preserve"> </w:t>
      </w:r>
    </w:p>
    <w:p w14:paraId="67F98FB2" w14:textId="77777777" w:rsidR="0070069B" w:rsidRPr="00C21E9E" w:rsidRDefault="00072D3D">
      <w:pPr>
        <w:spacing w:before="30" w:after="30"/>
        <w:rPr>
          <w:b/>
          <w:lang w:val="en-US"/>
        </w:rPr>
      </w:pPr>
      <w:r>
        <w:rPr>
          <w:b/>
          <w:lang w:val="en-US"/>
        </w:rPr>
        <w:lastRenderedPageBreak/>
        <w:t>Submission of coursework</w:t>
      </w:r>
      <w:r w:rsidR="0070069B" w:rsidRPr="00C21E9E">
        <w:rPr>
          <w:b/>
          <w:lang w:val="en-US"/>
        </w:rPr>
        <w:t>:</w:t>
      </w:r>
    </w:p>
    <w:p w14:paraId="6C0A833E" w14:textId="2B1AD6DB" w:rsidR="00C34739" w:rsidRPr="00C34739" w:rsidRDefault="003E23FE">
      <w:pPr>
        <w:rPr>
          <w:lang w:val="en-US"/>
        </w:rPr>
      </w:pPr>
      <w:r>
        <w:rPr>
          <w:lang w:val="en-US"/>
        </w:rPr>
        <w:t xml:space="preserve">All assignments </w:t>
      </w:r>
      <w:r w:rsidR="00675EE5">
        <w:rPr>
          <w:lang w:val="en-US"/>
        </w:rPr>
        <w:t>must</w:t>
      </w:r>
      <w:r>
        <w:rPr>
          <w:lang w:val="en-US"/>
        </w:rPr>
        <w:t xml:space="preserve"> be submitted using the </w:t>
      </w:r>
      <w:r w:rsidR="00DA792D">
        <w:rPr>
          <w:lang w:val="en-US"/>
        </w:rPr>
        <w:t>quiz/assignment tools</w:t>
      </w:r>
      <w:r>
        <w:rPr>
          <w:lang w:val="en-US"/>
        </w:rPr>
        <w:t xml:space="preserve"> in</w:t>
      </w:r>
      <w:r w:rsidR="00B20622">
        <w:rPr>
          <w:lang w:val="en-US"/>
        </w:rPr>
        <w:t xml:space="preserve"> Brightspace</w:t>
      </w:r>
      <w:r w:rsidR="00C205F6">
        <w:rPr>
          <w:lang w:val="en-US"/>
        </w:rPr>
        <w:t>. Comments and grades</w:t>
      </w:r>
      <w:r>
        <w:rPr>
          <w:lang w:val="en-US"/>
        </w:rPr>
        <w:t xml:space="preserve"> will be provided </w:t>
      </w:r>
      <w:r w:rsidR="00DA792D">
        <w:rPr>
          <w:lang w:val="en-US"/>
        </w:rPr>
        <w:t>o</w:t>
      </w:r>
      <w:r>
        <w:rPr>
          <w:lang w:val="en-US"/>
        </w:rPr>
        <w:t xml:space="preserve">n </w:t>
      </w:r>
      <w:r w:rsidR="00B20622">
        <w:rPr>
          <w:lang w:val="en-US"/>
        </w:rPr>
        <w:t>Brightspace</w:t>
      </w:r>
      <w:r>
        <w:rPr>
          <w:lang w:val="en-US"/>
        </w:rPr>
        <w:t xml:space="preserve">. </w:t>
      </w:r>
      <w:r w:rsidR="008D205B" w:rsidRPr="00C21E9E">
        <w:rPr>
          <w:lang w:val="en-US"/>
        </w:rPr>
        <w:t xml:space="preserve">Unless a medical (or equivalent) excuse is provided, late assignments will be penalized by two (2) percentage points per day (including weekends); assignments more than </w:t>
      </w:r>
      <w:r w:rsidR="00F74866">
        <w:rPr>
          <w:lang w:val="en-US"/>
        </w:rPr>
        <w:t>a week</w:t>
      </w:r>
      <w:r w:rsidR="008D205B" w:rsidRPr="00C21E9E">
        <w:rPr>
          <w:lang w:val="en-US"/>
        </w:rPr>
        <w:t xml:space="preserve"> late will receive a mark of 0%. </w:t>
      </w:r>
    </w:p>
    <w:p w14:paraId="11C2F5F3" w14:textId="77777777" w:rsidR="00C00CB4" w:rsidRDefault="00C00CB4">
      <w:pPr>
        <w:rPr>
          <w:b/>
          <w:lang w:val="en-US"/>
        </w:rPr>
      </w:pPr>
    </w:p>
    <w:p w14:paraId="7F621D7A" w14:textId="77777777" w:rsidR="003E23FE" w:rsidRPr="003E23FE" w:rsidRDefault="003E23FE" w:rsidP="003E23FE">
      <w:pPr>
        <w:rPr>
          <w:b/>
          <w:szCs w:val="24"/>
          <w:lang w:val="en-US"/>
        </w:rPr>
      </w:pPr>
      <w:r w:rsidRPr="003E23FE">
        <w:rPr>
          <w:b/>
          <w:szCs w:val="24"/>
          <w:lang w:val="en-US"/>
        </w:rPr>
        <w:t>Course schedule</w:t>
      </w:r>
      <w:r>
        <w:rPr>
          <w:b/>
          <w:szCs w:val="24"/>
          <w:lang w:val="en-US"/>
        </w:rPr>
        <w:t>:</w:t>
      </w:r>
    </w:p>
    <w:p w14:paraId="7211C5FB" w14:textId="77777777" w:rsidR="003E23FE" w:rsidRDefault="003E23FE">
      <w:pPr>
        <w:rPr>
          <w:b/>
          <w:lang w:val="en-US"/>
        </w:rPr>
      </w:pPr>
    </w:p>
    <w:p w14:paraId="2EE52758" w14:textId="43051D7E" w:rsidR="00E02739" w:rsidRPr="0020194C" w:rsidRDefault="00BB1FCC" w:rsidP="000C58B9">
      <w:pPr>
        <w:numPr>
          <w:ilvl w:val="0"/>
          <w:numId w:val="3"/>
        </w:numPr>
        <w:rPr>
          <w:b/>
          <w:i/>
          <w:u w:val="single"/>
          <w:lang w:val="en-US"/>
        </w:rPr>
      </w:pPr>
      <w:r w:rsidRPr="0020194C">
        <w:rPr>
          <w:b/>
          <w:i/>
          <w:u w:val="single"/>
          <w:lang w:val="en-US"/>
        </w:rPr>
        <w:t>Orientation session</w:t>
      </w:r>
      <w:r w:rsidR="00094FF4">
        <w:rPr>
          <w:b/>
          <w:i/>
          <w:u w:val="single"/>
          <w:lang w:val="en-US"/>
        </w:rPr>
        <w:t xml:space="preserve"> </w:t>
      </w:r>
      <w:r w:rsidR="00E31713">
        <w:rPr>
          <w:b/>
          <w:i/>
          <w:u w:val="single"/>
          <w:lang w:val="en-US"/>
        </w:rPr>
        <w:t xml:space="preserve">on Zoom </w:t>
      </w:r>
      <w:r w:rsidR="00094FF4">
        <w:rPr>
          <w:b/>
          <w:i/>
          <w:u w:val="single"/>
          <w:lang w:val="en-US"/>
        </w:rPr>
        <w:t>(optional)</w:t>
      </w:r>
    </w:p>
    <w:p w14:paraId="282329DF" w14:textId="77777777" w:rsidR="00E02739" w:rsidRPr="00DA792D" w:rsidRDefault="00E02739">
      <w:pPr>
        <w:rPr>
          <w:sz w:val="12"/>
          <w:szCs w:val="12"/>
          <w:lang w:val="en-US"/>
        </w:rPr>
      </w:pPr>
    </w:p>
    <w:p w14:paraId="680A0DC0" w14:textId="6CAD6823" w:rsidR="00870052" w:rsidRDefault="002945CF" w:rsidP="00094FF4">
      <w:pPr>
        <w:rPr>
          <w:lang w:val="en-US"/>
        </w:rPr>
      </w:pPr>
      <w:r>
        <w:rPr>
          <w:lang w:val="en-US"/>
        </w:rPr>
        <w:t xml:space="preserve">The orientation </w:t>
      </w:r>
      <w:r w:rsidR="00094FF4">
        <w:rPr>
          <w:lang w:val="en-US"/>
        </w:rPr>
        <w:t xml:space="preserve">session is optional, but participation is recommended. It will be organized on </w:t>
      </w:r>
      <w:r w:rsidR="00094FF4" w:rsidRPr="00B20622">
        <w:rPr>
          <w:lang w:val="en-US"/>
        </w:rPr>
        <w:t>Zoom</w:t>
      </w:r>
      <w:r w:rsidR="00094FF4">
        <w:rPr>
          <w:lang w:val="en-US"/>
        </w:rPr>
        <w:t>. The instructor will give an overview of the course topics, schedule</w:t>
      </w:r>
      <w:r w:rsidR="00DA792D">
        <w:rPr>
          <w:lang w:val="en-US"/>
        </w:rPr>
        <w:t>,</w:t>
      </w:r>
      <w:r w:rsidR="00094FF4">
        <w:rPr>
          <w:lang w:val="en-US"/>
        </w:rPr>
        <w:t xml:space="preserve"> and assignments.</w:t>
      </w:r>
      <w:r w:rsidR="00E31713">
        <w:rPr>
          <w:lang w:val="en-US"/>
        </w:rPr>
        <w:t xml:space="preserve"> The session will also be an opportunity for students to ask questions. </w:t>
      </w:r>
      <w:r w:rsidR="008F69BF">
        <w:rPr>
          <w:lang w:val="en-US"/>
        </w:rPr>
        <w:t>A</w:t>
      </w:r>
      <w:r w:rsidR="00B20622">
        <w:rPr>
          <w:lang w:val="en-US"/>
        </w:rPr>
        <w:t>ccess the Zoom meeting through Brightspace</w:t>
      </w:r>
      <w:r w:rsidR="008F69BF">
        <w:rPr>
          <w:lang w:val="en-US"/>
        </w:rPr>
        <w:t>.</w:t>
      </w:r>
    </w:p>
    <w:p w14:paraId="64BE725D" w14:textId="77777777" w:rsidR="00870052" w:rsidRDefault="00870052">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02"/>
        <w:gridCol w:w="7608"/>
      </w:tblGrid>
      <w:tr w:rsidR="00D14BFB" w:rsidRPr="003030EC" w14:paraId="30F6E0D2" w14:textId="77777777" w:rsidTr="0042586A">
        <w:tc>
          <w:tcPr>
            <w:tcW w:w="9410" w:type="dxa"/>
            <w:gridSpan w:val="2"/>
            <w:shd w:val="solid" w:color="000000" w:fill="FFFFFF"/>
          </w:tcPr>
          <w:p w14:paraId="79363E09" w14:textId="53D5233E" w:rsidR="00D14BFB" w:rsidRPr="003030EC" w:rsidRDefault="00B20622" w:rsidP="008F4ACF">
            <w:pPr>
              <w:rPr>
                <w:b/>
                <w:bCs/>
                <w:lang w:val="en-US"/>
              </w:rPr>
            </w:pPr>
            <w:r>
              <w:rPr>
                <w:b/>
                <w:bCs/>
                <w:lang w:val="en-US"/>
              </w:rPr>
              <w:t>Mon</w:t>
            </w:r>
            <w:r w:rsidR="008F4ACF">
              <w:rPr>
                <w:b/>
                <w:bCs/>
                <w:lang w:val="en-US"/>
              </w:rPr>
              <w:t xml:space="preserve">day, July </w:t>
            </w:r>
            <w:r w:rsidR="00DA01B5">
              <w:rPr>
                <w:b/>
                <w:bCs/>
                <w:lang w:val="en-US"/>
              </w:rPr>
              <w:t>4</w:t>
            </w:r>
            <w:r w:rsidR="00D14BFB" w:rsidRPr="003030EC">
              <w:rPr>
                <w:b/>
                <w:bCs/>
                <w:lang w:val="en-US"/>
              </w:rPr>
              <w:t xml:space="preserve">, </w:t>
            </w:r>
            <w:r w:rsidR="00870052" w:rsidRPr="003030EC">
              <w:rPr>
                <w:b/>
                <w:bCs/>
                <w:lang w:val="en-US"/>
              </w:rPr>
              <w:t>20</w:t>
            </w:r>
            <w:r w:rsidR="009268A1">
              <w:rPr>
                <w:b/>
                <w:bCs/>
                <w:lang w:val="en-US"/>
              </w:rPr>
              <w:t>2</w:t>
            </w:r>
            <w:r w:rsidR="00DA01B5">
              <w:rPr>
                <w:b/>
                <w:bCs/>
                <w:lang w:val="en-US"/>
              </w:rPr>
              <w:t>2</w:t>
            </w:r>
          </w:p>
        </w:tc>
      </w:tr>
      <w:tr w:rsidR="00870052" w:rsidRPr="003030EC" w14:paraId="6C05E453" w14:textId="77777777" w:rsidTr="0042586A">
        <w:tc>
          <w:tcPr>
            <w:tcW w:w="1802" w:type="dxa"/>
            <w:shd w:val="clear" w:color="auto" w:fill="auto"/>
          </w:tcPr>
          <w:p w14:paraId="0A1BB461" w14:textId="13AA4F6F" w:rsidR="00870052" w:rsidRPr="003030EC" w:rsidRDefault="00870052" w:rsidP="003030EC">
            <w:pPr>
              <w:rPr>
                <w:lang w:val="en-US"/>
              </w:rPr>
            </w:pPr>
            <w:r w:rsidRPr="003030EC">
              <w:rPr>
                <w:lang w:val="en-US"/>
              </w:rPr>
              <w:t xml:space="preserve">Time </w:t>
            </w:r>
          </w:p>
        </w:tc>
        <w:tc>
          <w:tcPr>
            <w:tcW w:w="7608" w:type="dxa"/>
            <w:shd w:val="clear" w:color="auto" w:fill="auto"/>
          </w:tcPr>
          <w:p w14:paraId="2FF52E81" w14:textId="4EAD9089" w:rsidR="00870052" w:rsidRPr="003030EC" w:rsidRDefault="002945CF" w:rsidP="003741DE">
            <w:pPr>
              <w:rPr>
                <w:lang w:val="en-US"/>
              </w:rPr>
            </w:pPr>
            <w:r>
              <w:rPr>
                <w:lang w:val="en-US"/>
              </w:rPr>
              <w:t>1</w:t>
            </w:r>
            <w:r w:rsidR="00B20622">
              <w:rPr>
                <w:lang w:val="en-US"/>
              </w:rPr>
              <w:t>0</w:t>
            </w:r>
            <w:r w:rsidR="00C36D00" w:rsidRPr="003030EC">
              <w:rPr>
                <w:lang w:val="en-US"/>
              </w:rPr>
              <w:t>:00</w:t>
            </w:r>
            <w:r w:rsidR="00870052" w:rsidRPr="003030EC">
              <w:rPr>
                <w:lang w:val="en-US"/>
              </w:rPr>
              <w:t xml:space="preserve"> – </w:t>
            </w:r>
            <w:r w:rsidR="00B20622">
              <w:rPr>
                <w:lang w:val="en-US"/>
              </w:rPr>
              <w:t>11</w:t>
            </w:r>
            <w:r w:rsidR="00870052" w:rsidRPr="003030EC">
              <w:rPr>
                <w:lang w:val="en-US"/>
              </w:rPr>
              <w:t>:</w:t>
            </w:r>
            <w:r w:rsidR="009268A1">
              <w:rPr>
                <w:lang w:val="en-US"/>
              </w:rPr>
              <w:t>0</w:t>
            </w:r>
            <w:r>
              <w:rPr>
                <w:lang w:val="en-US"/>
              </w:rPr>
              <w:t xml:space="preserve">0 </w:t>
            </w:r>
            <w:r w:rsidR="00B20622">
              <w:rPr>
                <w:lang w:val="en-US"/>
              </w:rPr>
              <w:t>a</w:t>
            </w:r>
            <w:r w:rsidR="00870052" w:rsidRPr="003030EC">
              <w:rPr>
                <w:lang w:val="en-US"/>
              </w:rPr>
              <w:t>.m.</w:t>
            </w:r>
          </w:p>
        </w:tc>
      </w:tr>
      <w:tr w:rsidR="00870052" w:rsidRPr="00232B14" w14:paraId="6CD8A1F8" w14:textId="77777777" w:rsidTr="0042586A">
        <w:tc>
          <w:tcPr>
            <w:tcW w:w="1802" w:type="dxa"/>
            <w:shd w:val="clear" w:color="auto" w:fill="auto"/>
          </w:tcPr>
          <w:p w14:paraId="39153FB6" w14:textId="77777777" w:rsidR="00870052" w:rsidRPr="003030EC" w:rsidRDefault="00870052" w:rsidP="003030EC">
            <w:pPr>
              <w:rPr>
                <w:lang w:val="en-US"/>
              </w:rPr>
            </w:pPr>
            <w:r w:rsidRPr="003030EC">
              <w:rPr>
                <w:lang w:val="en-US"/>
              </w:rPr>
              <w:t>Topics</w:t>
            </w:r>
          </w:p>
        </w:tc>
        <w:tc>
          <w:tcPr>
            <w:tcW w:w="7608" w:type="dxa"/>
            <w:shd w:val="clear" w:color="auto" w:fill="auto"/>
          </w:tcPr>
          <w:p w14:paraId="7F39F0D2" w14:textId="77777777" w:rsidR="00870052" w:rsidRPr="003030EC" w:rsidRDefault="00870052" w:rsidP="003030EC">
            <w:pPr>
              <w:rPr>
                <w:lang w:val="en-US"/>
              </w:rPr>
            </w:pPr>
            <w:r w:rsidRPr="003030EC">
              <w:rPr>
                <w:lang w:val="en-US"/>
              </w:rPr>
              <w:t>Overview of the course; course administration</w:t>
            </w:r>
          </w:p>
        </w:tc>
      </w:tr>
    </w:tbl>
    <w:p w14:paraId="4DCAA6B2" w14:textId="77777777" w:rsidR="00D14BFB" w:rsidRDefault="00D14BFB">
      <w:pPr>
        <w:rPr>
          <w:lang w:val="en-US"/>
        </w:rPr>
      </w:pPr>
    </w:p>
    <w:p w14:paraId="7269E163" w14:textId="5A579A3A" w:rsidR="0070069B" w:rsidRPr="0020194C" w:rsidRDefault="00B4642A" w:rsidP="000C58B9">
      <w:pPr>
        <w:numPr>
          <w:ilvl w:val="0"/>
          <w:numId w:val="3"/>
        </w:numPr>
        <w:rPr>
          <w:b/>
          <w:i/>
          <w:u w:val="single"/>
          <w:lang w:val="en-US"/>
        </w:rPr>
      </w:pPr>
      <w:r w:rsidRPr="0020194C">
        <w:rPr>
          <w:b/>
          <w:i/>
          <w:u w:val="single"/>
          <w:lang w:val="en-US"/>
        </w:rPr>
        <w:t>Online modules</w:t>
      </w:r>
      <w:r w:rsidR="00E82DED">
        <w:rPr>
          <w:b/>
          <w:i/>
          <w:u w:val="single"/>
          <w:lang w:val="en-US"/>
        </w:rPr>
        <w:t xml:space="preserve"> on </w:t>
      </w:r>
      <w:r w:rsidR="00B20622">
        <w:rPr>
          <w:b/>
          <w:i/>
          <w:u w:val="single"/>
          <w:lang w:val="en-US"/>
        </w:rPr>
        <w:t>Brightspace</w:t>
      </w:r>
      <w:r w:rsidR="00E82DED">
        <w:rPr>
          <w:b/>
          <w:i/>
          <w:u w:val="single"/>
          <w:lang w:val="en-US"/>
        </w:rPr>
        <w:t xml:space="preserve"> (asynchronous)</w:t>
      </w:r>
    </w:p>
    <w:p w14:paraId="62F8944A" w14:textId="77777777" w:rsidR="0070069B" w:rsidRPr="00DA792D" w:rsidRDefault="0070069B">
      <w:pPr>
        <w:rPr>
          <w:sz w:val="12"/>
          <w:szCs w:val="12"/>
          <w:lang w:val="en-US"/>
        </w:rPr>
      </w:pPr>
    </w:p>
    <w:p w14:paraId="39454128" w14:textId="4650008D" w:rsidR="00F23D33" w:rsidRDefault="00D14BFB">
      <w:pPr>
        <w:rPr>
          <w:lang w:val="en-US"/>
        </w:rPr>
      </w:pPr>
      <w:r>
        <w:rPr>
          <w:lang w:val="en-US"/>
        </w:rPr>
        <w:t xml:space="preserve">Each online module consists of </w:t>
      </w:r>
      <w:r w:rsidR="00C5792D">
        <w:rPr>
          <w:lang w:val="en-US"/>
        </w:rPr>
        <w:t xml:space="preserve">a combination of </w:t>
      </w:r>
      <w:r>
        <w:rPr>
          <w:lang w:val="en-US"/>
        </w:rPr>
        <w:t>mini-lecture</w:t>
      </w:r>
      <w:r w:rsidR="00C5792D">
        <w:rPr>
          <w:lang w:val="en-US"/>
        </w:rPr>
        <w:t>s</w:t>
      </w:r>
      <w:r>
        <w:rPr>
          <w:lang w:val="en-US"/>
        </w:rPr>
        <w:t xml:space="preserve"> by the instructor as well as further </w:t>
      </w:r>
      <w:r w:rsidR="00C205F6">
        <w:rPr>
          <w:lang w:val="en-US"/>
        </w:rPr>
        <w:t xml:space="preserve">activities and teaching </w:t>
      </w:r>
      <w:r>
        <w:rPr>
          <w:lang w:val="en-US"/>
        </w:rPr>
        <w:t>material</w:t>
      </w:r>
      <w:r w:rsidR="00C205F6">
        <w:rPr>
          <w:lang w:val="en-US"/>
        </w:rPr>
        <w:t>s</w:t>
      </w:r>
      <w:r>
        <w:rPr>
          <w:lang w:val="en-US"/>
        </w:rPr>
        <w:t xml:space="preserve"> that students are required to </w:t>
      </w:r>
      <w:r w:rsidR="0007635D">
        <w:rPr>
          <w:lang w:val="en-US"/>
        </w:rPr>
        <w:t>work on independently</w:t>
      </w:r>
      <w:r>
        <w:rPr>
          <w:lang w:val="en-US"/>
        </w:rPr>
        <w:t xml:space="preserve">. </w:t>
      </w:r>
      <w:r w:rsidR="00C5792D" w:rsidRPr="002D5380">
        <w:rPr>
          <w:u w:val="single"/>
          <w:lang w:val="en-US"/>
        </w:rPr>
        <w:t xml:space="preserve">Please consult </w:t>
      </w:r>
      <w:r w:rsidR="00B20622" w:rsidRPr="00B20622">
        <w:rPr>
          <w:iCs/>
          <w:u w:val="single"/>
          <w:lang w:val="en-US"/>
        </w:rPr>
        <w:t>Brightspace</w:t>
      </w:r>
      <w:r w:rsidR="00B20622">
        <w:rPr>
          <w:i/>
          <w:u w:val="single"/>
          <w:lang w:val="en-US"/>
        </w:rPr>
        <w:t xml:space="preserve"> </w:t>
      </w:r>
      <w:r w:rsidR="00C5792D" w:rsidRPr="002D5380">
        <w:rPr>
          <w:u w:val="single"/>
          <w:lang w:val="en-US"/>
        </w:rPr>
        <w:t xml:space="preserve">for more instructions on the </w:t>
      </w:r>
      <w:r w:rsidR="00FA262D">
        <w:rPr>
          <w:u w:val="single"/>
          <w:lang w:val="en-US"/>
        </w:rPr>
        <w:t xml:space="preserve">online material, including research activities and </w:t>
      </w:r>
      <w:r w:rsidR="00C5792D" w:rsidRPr="002D5380">
        <w:rPr>
          <w:u w:val="single"/>
          <w:lang w:val="en-US"/>
        </w:rPr>
        <w:t>guiding questions for the required readings.</w:t>
      </w:r>
      <w:r w:rsidR="00C5792D">
        <w:rPr>
          <w:lang w:val="en-US"/>
        </w:rPr>
        <w:t xml:space="preserve"> </w:t>
      </w:r>
    </w:p>
    <w:p w14:paraId="0631FCB7" w14:textId="77777777" w:rsidR="001E0942" w:rsidRPr="001E0942" w:rsidRDefault="001E0942">
      <w:pPr>
        <w:rPr>
          <w:lang w:val="en-US"/>
        </w:rPr>
      </w:pPr>
    </w:p>
    <w:p w14:paraId="1063F785" w14:textId="77777777" w:rsidR="001E0942" w:rsidRPr="00C00CB4" w:rsidRDefault="001E0942">
      <w:pPr>
        <w:rPr>
          <w:sz w:val="2"/>
          <w:szCs w:val="2"/>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7709"/>
      </w:tblGrid>
      <w:tr w:rsidR="00D14BFB" w:rsidRPr="00E17795" w14:paraId="54778E26" w14:textId="77777777" w:rsidTr="00836090">
        <w:tc>
          <w:tcPr>
            <w:tcW w:w="9410" w:type="dxa"/>
            <w:gridSpan w:val="2"/>
            <w:shd w:val="solid" w:color="000000" w:fill="FFFFFF"/>
          </w:tcPr>
          <w:p w14:paraId="30E175F9" w14:textId="74FD5305" w:rsidR="00D14BFB" w:rsidRPr="00143984" w:rsidRDefault="00D14BFB" w:rsidP="0047517D">
            <w:pPr>
              <w:rPr>
                <w:b/>
                <w:bCs/>
                <w:lang w:val="en-CA"/>
              </w:rPr>
            </w:pPr>
            <w:r w:rsidRPr="00143984">
              <w:rPr>
                <w:b/>
                <w:bCs/>
                <w:lang w:val="en-CA"/>
              </w:rPr>
              <w:t xml:space="preserve">Module 1: </w:t>
            </w:r>
            <w:r w:rsidR="0047517D" w:rsidRPr="00143984">
              <w:rPr>
                <w:b/>
                <w:bCs/>
                <w:lang w:val="en-CA"/>
              </w:rPr>
              <w:t>Introduction</w:t>
            </w:r>
            <w:r w:rsidR="00C22B7C" w:rsidRPr="00143984">
              <w:rPr>
                <w:b/>
                <w:bCs/>
                <w:lang w:val="en-CA"/>
              </w:rPr>
              <w:t xml:space="preserve"> to Canada-EU Relations</w:t>
            </w:r>
            <w:r w:rsidR="00245750" w:rsidRPr="00143984">
              <w:rPr>
                <w:b/>
                <w:bCs/>
                <w:lang w:val="en-CA"/>
              </w:rPr>
              <w:t xml:space="preserve"> (July </w:t>
            </w:r>
            <w:r w:rsidR="00DA01B5">
              <w:rPr>
                <w:b/>
                <w:bCs/>
                <w:lang w:val="en-CA"/>
              </w:rPr>
              <w:t>4</w:t>
            </w:r>
            <w:r w:rsidR="00245750" w:rsidRPr="00143984">
              <w:rPr>
                <w:b/>
                <w:bCs/>
                <w:lang w:val="en-CA"/>
              </w:rPr>
              <w:t>-</w:t>
            </w:r>
            <w:r w:rsidR="00B20622" w:rsidRPr="00143984">
              <w:rPr>
                <w:b/>
                <w:bCs/>
                <w:lang w:val="en-CA"/>
              </w:rPr>
              <w:t>1</w:t>
            </w:r>
            <w:r w:rsidR="00DA01B5">
              <w:rPr>
                <w:b/>
                <w:bCs/>
                <w:lang w:val="en-CA"/>
              </w:rPr>
              <w:t>1</w:t>
            </w:r>
            <w:r w:rsidR="00245750" w:rsidRPr="00143984">
              <w:rPr>
                <w:b/>
                <w:bCs/>
                <w:lang w:val="en-CA"/>
              </w:rPr>
              <w:t>, 20</w:t>
            </w:r>
            <w:r w:rsidR="00C2286B" w:rsidRPr="00143984">
              <w:rPr>
                <w:b/>
                <w:bCs/>
                <w:lang w:val="en-CA"/>
              </w:rPr>
              <w:t>2</w:t>
            </w:r>
            <w:r w:rsidR="00DA01B5">
              <w:rPr>
                <w:b/>
                <w:bCs/>
                <w:lang w:val="en-CA"/>
              </w:rPr>
              <w:t>2</w:t>
            </w:r>
            <w:r w:rsidR="00245750" w:rsidRPr="00143984">
              <w:rPr>
                <w:b/>
                <w:bCs/>
                <w:lang w:val="en-CA"/>
              </w:rPr>
              <w:t>)</w:t>
            </w:r>
          </w:p>
        </w:tc>
      </w:tr>
      <w:tr w:rsidR="00D14BFB" w:rsidRPr="00232B14" w14:paraId="590B7934" w14:textId="77777777" w:rsidTr="00836090">
        <w:tc>
          <w:tcPr>
            <w:tcW w:w="1701" w:type="dxa"/>
            <w:shd w:val="clear" w:color="auto" w:fill="auto"/>
          </w:tcPr>
          <w:p w14:paraId="09952698" w14:textId="77777777" w:rsidR="00D14BFB" w:rsidRPr="003030EC" w:rsidRDefault="00C5792D">
            <w:pPr>
              <w:rPr>
                <w:lang w:val="en-US"/>
              </w:rPr>
            </w:pPr>
            <w:r>
              <w:rPr>
                <w:lang w:val="en-US"/>
              </w:rPr>
              <w:t>Mini-l</w:t>
            </w:r>
            <w:r w:rsidR="00D14BFB" w:rsidRPr="003030EC">
              <w:rPr>
                <w:lang w:val="en-US"/>
              </w:rPr>
              <w:t>ecture</w:t>
            </w:r>
            <w:r>
              <w:rPr>
                <w:lang w:val="en-US"/>
              </w:rPr>
              <w:t>s</w:t>
            </w:r>
          </w:p>
        </w:tc>
        <w:tc>
          <w:tcPr>
            <w:tcW w:w="7709" w:type="dxa"/>
            <w:shd w:val="clear" w:color="auto" w:fill="auto"/>
          </w:tcPr>
          <w:p w14:paraId="0CC7F05D" w14:textId="2308A432" w:rsidR="00F5603D" w:rsidRPr="00143984" w:rsidRDefault="00F5603D" w:rsidP="000C58B9">
            <w:pPr>
              <w:numPr>
                <w:ilvl w:val="0"/>
                <w:numId w:val="4"/>
              </w:numPr>
              <w:rPr>
                <w:lang w:val="en-CA"/>
              </w:rPr>
            </w:pPr>
            <w:r w:rsidRPr="00143984">
              <w:rPr>
                <w:lang w:val="en-CA"/>
              </w:rPr>
              <w:t xml:space="preserve">Canada-EU relations: </w:t>
            </w:r>
            <w:r w:rsidR="00143984" w:rsidRPr="00143984">
              <w:rPr>
                <w:lang w:val="en-CA"/>
              </w:rPr>
              <w:t>Aspects and institutional settings</w:t>
            </w:r>
          </w:p>
          <w:p w14:paraId="39F64014" w14:textId="6D2703C1" w:rsidR="00C5792D" w:rsidRPr="00143984" w:rsidRDefault="00C5792D" w:rsidP="000C58B9">
            <w:pPr>
              <w:numPr>
                <w:ilvl w:val="0"/>
                <w:numId w:val="4"/>
              </w:numPr>
              <w:rPr>
                <w:lang w:val="en-CA"/>
              </w:rPr>
            </w:pPr>
            <w:r w:rsidRPr="00143984">
              <w:rPr>
                <w:lang w:val="en-CA"/>
              </w:rPr>
              <w:t xml:space="preserve">History of Canada-EU </w:t>
            </w:r>
            <w:r w:rsidR="00094FF4" w:rsidRPr="00143984">
              <w:rPr>
                <w:lang w:val="en-CA"/>
              </w:rPr>
              <w:t>r</w:t>
            </w:r>
            <w:r w:rsidRPr="00143984">
              <w:rPr>
                <w:lang w:val="en-CA"/>
              </w:rPr>
              <w:t>elations</w:t>
            </w:r>
          </w:p>
          <w:p w14:paraId="37051536" w14:textId="24A3DA15" w:rsidR="00D14BFB" w:rsidRPr="00143984" w:rsidRDefault="006F15DA" w:rsidP="000C58B9">
            <w:pPr>
              <w:numPr>
                <w:ilvl w:val="0"/>
                <w:numId w:val="4"/>
              </w:numPr>
              <w:rPr>
                <w:lang w:val="en-CA"/>
              </w:rPr>
            </w:pPr>
            <w:r>
              <w:rPr>
                <w:lang w:val="en-CA"/>
              </w:rPr>
              <w:t>Scholarly debates and policy issues</w:t>
            </w:r>
          </w:p>
        </w:tc>
      </w:tr>
      <w:tr w:rsidR="001E0942" w:rsidRPr="00232B14" w14:paraId="44F99B07" w14:textId="77777777" w:rsidTr="001E0942">
        <w:trPr>
          <w:trHeight w:val="2889"/>
        </w:trPr>
        <w:tc>
          <w:tcPr>
            <w:tcW w:w="1701" w:type="dxa"/>
            <w:vMerge w:val="restart"/>
            <w:shd w:val="clear" w:color="auto" w:fill="auto"/>
          </w:tcPr>
          <w:p w14:paraId="2835AFC3" w14:textId="77777777" w:rsidR="001E0942" w:rsidRPr="003030EC" w:rsidRDefault="001E0942" w:rsidP="00D14BFB">
            <w:pPr>
              <w:rPr>
                <w:lang w:val="en-US"/>
              </w:rPr>
            </w:pPr>
            <w:r w:rsidRPr="003030EC">
              <w:rPr>
                <w:lang w:val="en-US"/>
              </w:rPr>
              <w:t xml:space="preserve">Required readings </w:t>
            </w:r>
          </w:p>
        </w:tc>
        <w:tc>
          <w:tcPr>
            <w:tcW w:w="7709" w:type="dxa"/>
            <w:shd w:val="clear" w:color="auto" w:fill="auto"/>
          </w:tcPr>
          <w:p w14:paraId="76EC9F13" w14:textId="22DC58FC" w:rsidR="001E0942" w:rsidRPr="00143984" w:rsidRDefault="001E0942" w:rsidP="006D12B3">
            <w:pPr>
              <w:rPr>
                <w:lang w:val="en-CA"/>
              </w:rPr>
            </w:pPr>
            <w:r w:rsidRPr="00143984">
              <w:rPr>
                <w:lang w:val="en-CA"/>
              </w:rPr>
              <w:t>Canada-EU relations: Aspects and institutional settings</w:t>
            </w:r>
          </w:p>
          <w:p w14:paraId="7BAD6F8E" w14:textId="72BEF6CD" w:rsidR="001E0942" w:rsidRDefault="001E0942" w:rsidP="000C58B9">
            <w:pPr>
              <w:pStyle w:val="ListParagraph"/>
              <w:numPr>
                <w:ilvl w:val="0"/>
                <w:numId w:val="31"/>
              </w:numPr>
              <w:rPr>
                <w:lang w:val="en-CA"/>
              </w:rPr>
            </w:pPr>
            <w:r w:rsidRPr="00143984">
              <w:rPr>
                <w:lang w:val="en-CA"/>
              </w:rPr>
              <w:t xml:space="preserve">Rayroux, A. (2019), “The EU’s Reputation in Canada: Still a Shallow Strategic Partnership?”, in N. Chaban and M. Holland, eds., </w:t>
            </w:r>
            <w:r w:rsidRPr="00143984">
              <w:rPr>
                <w:i/>
                <w:lang w:val="en-CA"/>
              </w:rPr>
              <w:t>Shaping the EU’s Global Strategy: Partners and Perceptions</w:t>
            </w:r>
            <w:r w:rsidRPr="00143984">
              <w:rPr>
                <w:lang w:val="en-CA"/>
              </w:rPr>
              <w:t xml:space="preserve"> (Basingstoke: Palgrave Macmillan), 55-75.</w:t>
            </w:r>
          </w:p>
          <w:p w14:paraId="230F097D" w14:textId="77777777" w:rsidR="001E0942" w:rsidRPr="00DA792D" w:rsidRDefault="001E0942" w:rsidP="00DA792D">
            <w:pPr>
              <w:rPr>
                <w:sz w:val="12"/>
                <w:szCs w:val="12"/>
                <w:lang w:val="en-CA"/>
              </w:rPr>
            </w:pPr>
          </w:p>
          <w:p w14:paraId="2EA48696" w14:textId="6E9F9895" w:rsidR="001E0942" w:rsidRPr="00143984" w:rsidRDefault="001E0942" w:rsidP="00F5603D">
            <w:pPr>
              <w:keepNext/>
              <w:rPr>
                <w:lang w:val="en-CA"/>
              </w:rPr>
            </w:pPr>
            <w:r w:rsidRPr="00143984">
              <w:rPr>
                <w:lang w:val="en-CA"/>
              </w:rPr>
              <w:t>History of Canada-EU relations</w:t>
            </w:r>
          </w:p>
          <w:p w14:paraId="78CBEB8D" w14:textId="3F9D8AC2" w:rsidR="001E0942" w:rsidRPr="00143984" w:rsidRDefault="001E0942" w:rsidP="000C58B9">
            <w:pPr>
              <w:numPr>
                <w:ilvl w:val="0"/>
                <w:numId w:val="5"/>
              </w:numPr>
              <w:rPr>
                <w:lang w:val="en-CA"/>
              </w:rPr>
            </w:pPr>
            <w:r w:rsidRPr="00143984">
              <w:rPr>
                <w:lang w:val="en-CA"/>
              </w:rPr>
              <w:t xml:space="preserve">Mahant, E.E. (1981), “Canada and the European Community: The First Twenty Years”, </w:t>
            </w:r>
            <w:r w:rsidRPr="00143984">
              <w:rPr>
                <w:i/>
                <w:lang w:val="en-CA"/>
              </w:rPr>
              <w:t>Journal of European Integration</w:t>
            </w:r>
            <w:r w:rsidRPr="00143984">
              <w:rPr>
                <w:lang w:val="en-CA"/>
              </w:rPr>
              <w:t xml:space="preserve"> 4:3, 263-279.</w:t>
            </w:r>
          </w:p>
          <w:p w14:paraId="42186FDE" w14:textId="56E5161D" w:rsidR="001E0942" w:rsidRPr="00143984" w:rsidRDefault="001E0942" w:rsidP="000C58B9">
            <w:pPr>
              <w:numPr>
                <w:ilvl w:val="0"/>
                <w:numId w:val="5"/>
              </w:numPr>
              <w:rPr>
                <w:lang w:val="en-CA"/>
              </w:rPr>
            </w:pPr>
            <w:r w:rsidRPr="00143984">
              <w:rPr>
                <w:lang w:val="en-CA"/>
              </w:rPr>
              <w:t xml:space="preserve">Long, D. (1998), “Canada-EU Relations in the 1990s”, in F.O. Hampson and M.A. </w:t>
            </w:r>
            <w:proofErr w:type="spellStart"/>
            <w:r w:rsidRPr="00143984">
              <w:rPr>
                <w:lang w:val="en-CA"/>
              </w:rPr>
              <w:t>Molot</w:t>
            </w:r>
            <w:proofErr w:type="spellEnd"/>
            <w:r w:rsidRPr="00143984">
              <w:rPr>
                <w:lang w:val="en-CA"/>
              </w:rPr>
              <w:t xml:space="preserve">, eds., </w:t>
            </w:r>
            <w:r w:rsidRPr="00143984">
              <w:rPr>
                <w:i/>
                <w:lang w:val="en-CA"/>
              </w:rPr>
              <w:t>Canada among Nations 1998: Leadership and Dialogue</w:t>
            </w:r>
            <w:r w:rsidRPr="00143984">
              <w:rPr>
                <w:lang w:val="en-CA"/>
              </w:rPr>
              <w:t xml:space="preserve"> (Toronto: University of Toronto Press), 193-210.</w:t>
            </w:r>
          </w:p>
          <w:p w14:paraId="57C1E84C" w14:textId="0FACC801" w:rsidR="001E0942" w:rsidRPr="001E0942" w:rsidRDefault="001E0942" w:rsidP="001E0942">
            <w:pPr>
              <w:numPr>
                <w:ilvl w:val="0"/>
                <w:numId w:val="5"/>
              </w:numPr>
              <w:rPr>
                <w:lang w:val="en-CA"/>
              </w:rPr>
            </w:pPr>
            <w:r w:rsidRPr="00143984">
              <w:rPr>
                <w:lang w:val="en-CA"/>
              </w:rPr>
              <w:t>Dolata-</w:t>
            </w:r>
            <w:proofErr w:type="spellStart"/>
            <w:r w:rsidRPr="00143984">
              <w:rPr>
                <w:lang w:val="en-CA"/>
              </w:rPr>
              <w:t>Kreutzkamp</w:t>
            </w:r>
            <w:proofErr w:type="spellEnd"/>
            <w:r w:rsidRPr="00143984">
              <w:rPr>
                <w:lang w:val="en-CA"/>
              </w:rPr>
              <w:t xml:space="preserve">, P. (2010), “Drifting apart? Canada, the European Union, and the North Atlantic”, </w:t>
            </w:r>
            <w:proofErr w:type="spellStart"/>
            <w:r w:rsidRPr="00143984">
              <w:rPr>
                <w:i/>
                <w:lang w:val="en-CA"/>
              </w:rPr>
              <w:t>Zeitschrift</w:t>
            </w:r>
            <w:proofErr w:type="spellEnd"/>
            <w:r w:rsidRPr="00143984">
              <w:rPr>
                <w:i/>
                <w:lang w:val="en-CA"/>
              </w:rPr>
              <w:t xml:space="preserve"> für </w:t>
            </w:r>
            <w:proofErr w:type="spellStart"/>
            <w:r w:rsidRPr="00143984">
              <w:rPr>
                <w:i/>
                <w:lang w:val="en-CA"/>
              </w:rPr>
              <w:t>Kanada-Studien</w:t>
            </w:r>
            <w:proofErr w:type="spellEnd"/>
            <w:r w:rsidRPr="00143984">
              <w:rPr>
                <w:lang w:val="en-CA"/>
              </w:rPr>
              <w:t xml:space="preserve"> 30:2, </w:t>
            </w:r>
            <w:r w:rsidRPr="00143984">
              <w:rPr>
                <w:lang w:val="en-CA"/>
              </w:rPr>
              <w:br/>
              <w:t>28-44.</w:t>
            </w:r>
          </w:p>
        </w:tc>
      </w:tr>
      <w:tr w:rsidR="001E0942" w:rsidRPr="00232B14" w14:paraId="22CBD552" w14:textId="77777777" w:rsidTr="00836090">
        <w:trPr>
          <w:trHeight w:val="2888"/>
        </w:trPr>
        <w:tc>
          <w:tcPr>
            <w:tcW w:w="1701" w:type="dxa"/>
            <w:vMerge/>
            <w:shd w:val="clear" w:color="auto" w:fill="auto"/>
          </w:tcPr>
          <w:p w14:paraId="4222FBEB" w14:textId="77777777" w:rsidR="001E0942" w:rsidRPr="003030EC" w:rsidRDefault="001E0942" w:rsidP="00D14BFB">
            <w:pPr>
              <w:rPr>
                <w:lang w:val="en-US"/>
              </w:rPr>
            </w:pPr>
          </w:p>
        </w:tc>
        <w:tc>
          <w:tcPr>
            <w:tcW w:w="7709" w:type="dxa"/>
            <w:shd w:val="clear" w:color="auto" w:fill="auto"/>
          </w:tcPr>
          <w:p w14:paraId="4E3B15BD" w14:textId="77777777" w:rsidR="001E0942" w:rsidRPr="00143984" w:rsidRDefault="001E0942" w:rsidP="001E0942">
            <w:pPr>
              <w:numPr>
                <w:ilvl w:val="0"/>
                <w:numId w:val="5"/>
              </w:numPr>
              <w:rPr>
                <w:lang w:val="en-CA"/>
              </w:rPr>
            </w:pPr>
            <w:r w:rsidRPr="00143984">
              <w:rPr>
                <w:lang w:val="en-CA"/>
              </w:rPr>
              <w:t xml:space="preserve">Bendiek, A., et al. (2018), “EU-Canada Relations on the Rise: Mutual Interests in Security, Trade, and Climate Change”, German Institute for International and Security Affairs, Working Paper #3, </w:t>
            </w:r>
            <w:hyperlink r:id="rId9" w:history="1">
              <w:r w:rsidRPr="00143984">
                <w:rPr>
                  <w:rStyle w:val="Hyperlink"/>
                  <w:lang w:val="en-CA"/>
                </w:rPr>
                <w:t>https://www.swp-berlin.org/fileadmin/contents/products/arbeitspapiere/1_WP_Bendiek_etal_EU-Canada_relations_final_01.pdf</w:t>
              </w:r>
            </w:hyperlink>
            <w:r w:rsidRPr="00143984">
              <w:rPr>
                <w:lang w:val="en-CA"/>
              </w:rPr>
              <w:t xml:space="preserve">. </w:t>
            </w:r>
          </w:p>
          <w:p w14:paraId="4BBDE57A" w14:textId="77777777" w:rsidR="001E0942" w:rsidRPr="00143984" w:rsidRDefault="001E0942" w:rsidP="001E0942">
            <w:pPr>
              <w:rPr>
                <w:sz w:val="12"/>
                <w:szCs w:val="12"/>
                <w:lang w:val="en-CA"/>
              </w:rPr>
            </w:pPr>
          </w:p>
          <w:p w14:paraId="2BEC3FA5" w14:textId="78103E04" w:rsidR="001E0942" w:rsidRPr="001E0942" w:rsidRDefault="001E0942" w:rsidP="001E0942">
            <w:pPr>
              <w:rPr>
                <w:lang w:val="en-CA"/>
              </w:rPr>
            </w:pPr>
            <w:r w:rsidRPr="00232B14">
              <w:rPr>
                <w:lang w:val="en-CA"/>
              </w:rPr>
              <w:t xml:space="preserve">Primary documents on Canada-EU relations </w:t>
            </w:r>
            <w:r w:rsidRPr="001E0942">
              <w:rPr>
                <w:lang w:val="en-CA"/>
              </w:rPr>
              <w:t xml:space="preserve">[browse </w:t>
            </w:r>
            <w:proofErr w:type="gramStart"/>
            <w:r w:rsidRPr="001E0942">
              <w:rPr>
                <w:lang w:val="en-CA"/>
              </w:rPr>
              <w:t>contents</w:t>
            </w:r>
            <w:r>
              <w:rPr>
                <w:lang w:val="en-CA"/>
              </w:rPr>
              <w:t>;</w:t>
            </w:r>
            <w:proofErr w:type="gramEnd"/>
            <w:r>
              <w:rPr>
                <w:lang w:val="en-CA"/>
              </w:rPr>
              <w:t xml:space="preserve"> no need for detailed reading</w:t>
            </w:r>
            <w:r w:rsidRPr="001E0942">
              <w:rPr>
                <w:lang w:val="en-CA"/>
              </w:rPr>
              <w:t>]</w:t>
            </w:r>
          </w:p>
          <w:p w14:paraId="1916C364" w14:textId="77777777" w:rsidR="001E0942" w:rsidRPr="00143984" w:rsidRDefault="001E0942" w:rsidP="001E0942">
            <w:pPr>
              <w:numPr>
                <w:ilvl w:val="0"/>
                <w:numId w:val="12"/>
              </w:numPr>
              <w:rPr>
                <w:lang w:val="en-CA"/>
              </w:rPr>
            </w:pPr>
            <w:r w:rsidRPr="00143984">
              <w:rPr>
                <w:i/>
                <w:lang w:val="en-CA"/>
              </w:rPr>
              <w:t>Framework Agreement for Commercial and Economic Cooperation Between Canada and the European Community</w:t>
            </w:r>
            <w:r w:rsidRPr="00143984">
              <w:rPr>
                <w:lang w:val="en-CA"/>
              </w:rPr>
              <w:t xml:space="preserve"> (1976), </w:t>
            </w:r>
            <w:hyperlink r:id="rId10" w:history="1">
              <w:r w:rsidRPr="00143984">
                <w:rPr>
                  <w:rStyle w:val="Hyperlink"/>
                  <w:lang w:val="en-CA"/>
                </w:rPr>
                <w:t>https://www.treaty-accord.gc.ca/text-texte.aspx?id=101156</w:t>
              </w:r>
            </w:hyperlink>
            <w:r w:rsidRPr="00143984">
              <w:rPr>
                <w:lang w:val="en-CA"/>
              </w:rPr>
              <w:t xml:space="preserve"> </w:t>
            </w:r>
          </w:p>
          <w:p w14:paraId="19527FFD" w14:textId="77777777" w:rsidR="001E0942" w:rsidRPr="00143984" w:rsidRDefault="001E0942" w:rsidP="001E0942">
            <w:pPr>
              <w:numPr>
                <w:ilvl w:val="0"/>
                <w:numId w:val="12"/>
              </w:numPr>
              <w:rPr>
                <w:lang w:val="en-CA"/>
              </w:rPr>
            </w:pPr>
            <w:r w:rsidRPr="00143984">
              <w:rPr>
                <w:i/>
                <w:lang w:val="en-CA"/>
              </w:rPr>
              <w:t>Strategic Partnership Agreement between Canada, of the One Part, and the European Union and its Member States, of the Other Part</w:t>
            </w:r>
            <w:r w:rsidRPr="00143984">
              <w:rPr>
                <w:lang w:val="en-CA"/>
              </w:rPr>
              <w:t xml:space="preserve"> (2016), </w:t>
            </w:r>
            <w:hyperlink r:id="rId11" w:history="1">
              <w:r w:rsidRPr="00143984">
                <w:rPr>
                  <w:rStyle w:val="Hyperlink"/>
                  <w:lang w:val="en-CA"/>
                </w:rPr>
                <w:t>http://www.international.gc.ca/europe/assets/pdfs/can-eu-spa-text-eng.pdf</w:t>
              </w:r>
            </w:hyperlink>
            <w:r w:rsidRPr="00143984">
              <w:rPr>
                <w:lang w:val="en-CA"/>
              </w:rPr>
              <w:t xml:space="preserve"> </w:t>
            </w:r>
          </w:p>
          <w:p w14:paraId="1D99AF71" w14:textId="77777777" w:rsidR="001E0942" w:rsidRDefault="001E0942" w:rsidP="001E0942">
            <w:pPr>
              <w:numPr>
                <w:ilvl w:val="0"/>
                <w:numId w:val="12"/>
              </w:numPr>
              <w:rPr>
                <w:lang w:val="en-CA"/>
              </w:rPr>
            </w:pPr>
            <w:r w:rsidRPr="00143984">
              <w:rPr>
                <w:i/>
                <w:lang w:val="en-CA"/>
              </w:rPr>
              <w:t>Canada-European Union Comprehensive Economic and Trade Agreement</w:t>
            </w:r>
            <w:r w:rsidRPr="00143984">
              <w:rPr>
                <w:lang w:val="en-CA"/>
              </w:rPr>
              <w:t xml:space="preserve">, final text (2016), </w:t>
            </w:r>
            <w:hyperlink r:id="rId12" w:history="1">
              <w:r w:rsidRPr="00143984">
                <w:rPr>
                  <w:rStyle w:val="Hyperlink"/>
                  <w:lang w:val="en-CA"/>
                </w:rPr>
                <w:t>http://www.international.gc.ca/trade-commerce/trade-agreements-accords-commerciaux/agr-acc/ceta-aecg/text-texte/toc-tdm.aspx?lang=eng</w:t>
              </w:r>
            </w:hyperlink>
            <w:r w:rsidRPr="00143984">
              <w:rPr>
                <w:lang w:val="en-CA"/>
              </w:rPr>
              <w:t xml:space="preserve"> </w:t>
            </w:r>
          </w:p>
          <w:p w14:paraId="5327393E" w14:textId="5FA02433" w:rsidR="001E0942" w:rsidRPr="001E0942" w:rsidRDefault="001E0942" w:rsidP="001E0942">
            <w:pPr>
              <w:numPr>
                <w:ilvl w:val="0"/>
                <w:numId w:val="12"/>
              </w:numPr>
              <w:rPr>
                <w:lang w:val="en-CA"/>
              </w:rPr>
            </w:pPr>
            <w:r w:rsidRPr="001E0942">
              <w:rPr>
                <w:i/>
                <w:lang w:val="en-CA"/>
              </w:rPr>
              <w:t>Canada-UK Trade Continuity Agreement</w:t>
            </w:r>
            <w:r w:rsidRPr="001E0942">
              <w:rPr>
                <w:iCs/>
                <w:lang w:val="en-CA"/>
              </w:rPr>
              <w:t xml:space="preserve"> (2020),</w:t>
            </w:r>
            <w:r w:rsidRPr="001E0942">
              <w:rPr>
                <w:i/>
                <w:lang w:val="en-CA"/>
              </w:rPr>
              <w:t xml:space="preserve"> </w:t>
            </w:r>
            <w:hyperlink r:id="rId13" w:history="1">
              <w:r w:rsidRPr="001E0942">
                <w:rPr>
                  <w:rStyle w:val="Hyperlink"/>
                  <w:i/>
                  <w:lang w:val="en-CA"/>
                </w:rPr>
                <w:t>https://www.international.gc.ca/trade-commerce/trade-agreements-accords-commerciaux/agr-acc/cuktca-acccru/agreement_trade_continuity-accord_continuite_commerciale.aspx?lang=eng</w:t>
              </w:r>
            </w:hyperlink>
          </w:p>
        </w:tc>
      </w:tr>
      <w:tr w:rsidR="003030EC" w:rsidRPr="00232B14" w14:paraId="36F1E93E" w14:textId="77777777" w:rsidTr="00836090">
        <w:tc>
          <w:tcPr>
            <w:tcW w:w="1701" w:type="dxa"/>
            <w:shd w:val="clear" w:color="auto" w:fill="auto"/>
          </w:tcPr>
          <w:p w14:paraId="36BD3934" w14:textId="77777777" w:rsidR="00D14BFB" w:rsidRPr="003030EC" w:rsidRDefault="004C49DF" w:rsidP="004C49DF">
            <w:pPr>
              <w:rPr>
                <w:lang w:val="en-US"/>
              </w:rPr>
            </w:pPr>
            <w:r>
              <w:rPr>
                <w:lang w:val="en-US"/>
              </w:rPr>
              <w:t>Required video</w:t>
            </w:r>
          </w:p>
        </w:tc>
        <w:tc>
          <w:tcPr>
            <w:tcW w:w="7709" w:type="dxa"/>
            <w:shd w:val="clear" w:color="auto" w:fill="auto"/>
          </w:tcPr>
          <w:p w14:paraId="14485BAE" w14:textId="7BBB59DD" w:rsidR="00D14BFB" w:rsidRPr="003030EC" w:rsidRDefault="00525ED8" w:rsidP="000C58B9">
            <w:pPr>
              <w:numPr>
                <w:ilvl w:val="0"/>
                <w:numId w:val="6"/>
              </w:numPr>
              <w:rPr>
                <w:lang w:val="en-US"/>
              </w:rPr>
            </w:pPr>
            <w:r>
              <w:rPr>
                <w:lang w:val="en-US"/>
              </w:rPr>
              <w:t xml:space="preserve">Interview with Jeremy </w:t>
            </w:r>
            <w:r w:rsidR="00D14BFB" w:rsidRPr="003030EC">
              <w:rPr>
                <w:lang w:val="en-US"/>
              </w:rPr>
              <w:t>Kinsman</w:t>
            </w:r>
            <w:r w:rsidR="006D12B3">
              <w:rPr>
                <w:lang w:val="en-US"/>
              </w:rPr>
              <w:t xml:space="preserve">, </w:t>
            </w:r>
            <w:r>
              <w:rPr>
                <w:lang w:val="en-US"/>
              </w:rPr>
              <w:t xml:space="preserve">former </w:t>
            </w:r>
            <w:r w:rsidR="00D12540" w:rsidRPr="00D12540">
              <w:rPr>
                <w:lang w:val="en-US"/>
              </w:rPr>
              <w:t>Canadian High Commissioner to the United Kingdom (2000–2002) and Ambassador to the European Union (2002–2006)</w:t>
            </w:r>
            <w:r w:rsidR="00D12540">
              <w:rPr>
                <w:lang w:val="en-US"/>
              </w:rPr>
              <w:t xml:space="preserve">, </w:t>
            </w:r>
            <w:r w:rsidR="00F859DF">
              <w:rPr>
                <w:lang w:val="en-US"/>
              </w:rPr>
              <w:t xml:space="preserve">conducted June 2016, </w:t>
            </w:r>
            <w:r w:rsidR="00D12540">
              <w:rPr>
                <w:lang w:val="en-US"/>
              </w:rPr>
              <w:t>available on</w:t>
            </w:r>
            <w:r w:rsidR="00D12540" w:rsidRPr="0063788F">
              <w:rPr>
                <w:iCs/>
                <w:lang w:val="en-US"/>
              </w:rPr>
              <w:t xml:space="preserve"> </w:t>
            </w:r>
            <w:r w:rsidR="0063788F" w:rsidRPr="0063788F">
              <w:rPr>
                <w:iCs/>
                <w:lang w:val="en-US"/>
              </w:rPr>
              <w:t>Brightspace</w:t>
            </w:r>
            <w:r>
              <w:rPr>
                <w:lang w:val="en-US"/>
              </w:rPr>
              <w:t>.</w:t>
            </w:r>
          </w:p>
        </w:tc>
      </w:tr>
      <w:tr w:rsidR="00A1748D" w:rsidRPr="00232B14" w14:paraId="31A31879" w14:textId="77777777" w:rsidTr="00836090">
        <w:tc>
          <w:tcPr>
            <w:tcW w:w="1701" w:type="dxa"/>
            <w:shd w:val="clear" w:color="auto" w:fill="auto"/>
          </w:tcPr>
          <w:p w14:paraId="798DD0DA" w14:textId="77777777" w:rsidR="00A1748D" w:rsidRPr="003030EC" w:rsidRDefault="006D12B3" w:rsidP="006D12B3">
            <w:pPr>
              <w:rPr>
                <w:lang w:val="en-US"/>
              </w:rPr>
            </w:pPr>
            <w:r>
              <w:rPr>
                <w:lang w:val="en-US"/>
              </w:rPr>
              <w:t xml:space="preserve">Supplementary </w:t>
            </w:r>
            <w:r w:rsidR="00A1748D">
              <w:rPr>
                <w:lang w:val="en-US"/>
              </w:rPr>
              <w:t>literature</w:t>
            </w:r>
          </w:p>
        </w:tc>
        <w:tc>
          <w:tcPr>
            <w:tcW w:w="7709" w:type="dxa"/>
            <w:shd w:val="clear" w:color="auto" w:fill="auto"/>
          </w:tcPr>
          <w:p w14:paraId="4920D48F" w14:textId="79C0E8DC" w:rsidR="00403084" w:rsidRPr="00403084" w:rsidRDefault="00403084" w:rsidP="000C58B9">
            <w:pPr>
              <w:numPr>
                <w:ilvl w:val="0"/>
                <w:numId w:val="6"/>
              </w:numPr>
              <w:rPr>
                <w:lang w:val="en-US"/>
              </w:rPr>
            </w:pPr>
            <w:proofErr w:type="spellStart"/>
            <w:r w:rsidRPr="00403084">
              <w:rPr>
                <w:lang w:val="en-US"/>
              </w:rPr>
              <w:t>Croci</w:t>
            </w:r>
            <w:proofErr w:type="spellEnd"/>
            <w:r w:rsidRPr="00403084">
              <w:rPr>
                <w:lang w:val="en-US"/>
              </w:rPr>
              <w:t>, O. and Verdun, A. (2004), “Searching for a Counterweight: Canada and the European Union”</w:t>
            </w:r>
            <w:r>
              <w:rPr>
                <w:lang w:val="en-US"/>
              </w:rPr>
              <w:t xml:space="preserve">, </w:t>
            </w:r>
            <w:r w:rsidRPr="00403084">
              <w:rPr>
                <w:lang w:val="en-US"/>
              </w:rPr>
              <w:t>Jean Monnet/Robert Schuman Paper</w:t>
            </w:r>
            <w:r>
              <w:rPr>
                <w:lang w:val="en-US"/>
              </w:rPr>
              <w:t xml:space="preserve">, </w:t>
            </w:r>
            <w:hyperlink r:id="rId14" w:history="1">
              <w:r w:rsidRPr="003A7722">
                <w:rPr>
                  <w:rStyle w:val="Hyperlink"/>
                  <w:lang w:val="en-US"/>
                </w:rPr>
                <w:t>https://eucenter.as.miami.edu/_assets/pdf/crociverdunfinal.pdf</w:t>
              </w:r>
            </w:hyperlink>
            <w:r>
              <w:rPr>
                <w:lang w:val="en-US"/>
              </w:rPr>
              <w:t xml:space="preserve">. </w:t>
            </w:r>
          </w:p>
          <w:p w14:paraId="27B53676" w14:textId="63522727" w:rsidR="009D5E4E" w:rsidRDefault="009D5E4E" w:rsidP="000C58B9">
            <w:pPr>
              <w:numPr>
                <w:ilvl w:val="0"/>
                <w:numId w:val="6"/>
              </w:numPr>
              <w:rPr>
                <w:lang w:val="en-US"/>
              </w:rPr>
            </w:pPr>
            <w:r>
              <w:rPr>
                <w:lang w:val="en-US"/>
              </w:rPr>
              <w:t xml:space="preserve">Hage, R. (2020), </w:t>
            </w:r>
            <w:r w:rsidRPr="009D5E4E">
              <w:rPr>
                <w:i/>
                <w:iCs/>
                <w:lang w:val="en-US"/>
              </w:rPr>
              <w:t xml:space="preserve">Canada </w:t>
            </w:r>
            <w:r w:rsidR="005C1CF9">
              <w:rPr>
                <w:i/>
                <w:iCs/>
                <w:lang w:val="en-US"/>
              </w:rPr>
              <w:t>&amp;</w:t>
            </w:r>
            <w:r w:rsidRPr="009D5E4E">
              <w:rPr>
                <w:i/>
                <w:iCs/>
                <w:lang w:val="en-US"/>
              </w:rPr>
              <w:t xml:space="preserve"> the EU: A New Transatlantic Alliance</w:t>
            </w:r>
            <w:r w:rsidR="005C1CF9">
              <w:rPr>
                <w:lang w:val="en-US"/>
              </w:rPr>
              <w:t xml:space="preserve">, Policy Paper, </w:t>
            </w:r>
            <w:r>
              <w:rPr>
                <w:lang w:val="en-US"/>
              </w:rPr>
              <w:t xml:space="preserve">Konrad Adenauer Stiftung </w:t>
            </w:r>
            <w:r w:rsidR="005C1CF9">
              <w:rPr>
                <w:lang w:val="en-US"/>
              </w:rPr>
              <w:t>&amp;</w:t>
            </w:r>
            <w:r>
              <w:rPr>
                <w:lang w:val="en-US"/>
              </w:rPr>
              <w:t xml:space="preserve"> Canadian Global Affairs Institute,</w:t>
            </w:r>
            <w:r w:rsidR="005C1CF9">
              <w:rPr>
                <w:lang w:val="en-US"/>
              </w:rPr>
              <w:t xml:space="preserve"> </w:t>
            </w:r>
            <w:hyperlink r:id="rId15" w:history="1">
              <w:r w:rsidR="005C1CF9" w:rsidRPr="003A73FB">
                <w:rPr>
                  <w:rStyle w:val="Hyperlink"/>
                  <w:lang w:val="en-US"/>
                </w:rPr>
                <w:t>https://www.cgai.ca/canada_and_the_european_union_a_new_transatlantic_alliance</w:t>
              </w:r>
            </w:hyperlink>
            <w:r w:rsidR="005C1CF9">
              <w:rPr>
                <w:lang w:val="en-US"/>
              </w:rPr>
              <w:t xml:space="preserve">. </w:t>
            </w:r>
            <w:r>
              <w:rPr>
                <w:lang w:val="en-US"/>
              </w:rPr>
              <w:t xml:space="preserve"> </w:t>
            </w:r>
          </w:p>
          <w:p w14:paraId="66A2A9BB" w14:textId="0E5B0C8B" w:rsidR="004F39A5" w:rsidRDefault="004F39A5" w:rsidP="000C58B9">
            <w:pPr>
              <w:numPr>
                <w:ilvl w:val="0"/>
                <w:numId w:val="6"/>
              </w:numPr>
              <w:rPr>
                <w:lang w:val="en-US"/>
              </w:rPr>
            </w:pPr>
            <w:r>
              <w:rPr>
                <w:lang w:val="en-US"/>
              </w:rPr>
              <w:t xml:space="preserve">Knodt, M. and Chaban, N., eds. (2020), </w:t>
            </w:r>
            <w:r w:rsidRPr="004F39A5">
              <w:rPr>
                <w:i/>
                <w:iCs/>
                <w:lang w:val="en-US"/>
              </w:rPr>
              <w:t>New Opportunities for the EU-Canada Strategic Partnership</w:t>
            </w:r>
            <w:r>
              <w:rPr>
                <w:lang w:val="en-US"/>
              </w:rPr>
              <w:t xml:space="preserve">, Special Issue of the </w:t>
            </w:r>
            <w:r w:rsidRPr="004F39A5">
              <w:rPr>
                <w:i/>
                <w:iCs/>
                <w:lang w:val="en-US"/>
              </w:rPr>
              <w:t>Australian and New Zealand Journal of European Studies</w:t>
            </w:r>
            <w:r>
              <w:rPr>
                <w:lang w:val="en-US"/>
              </w:rPr>
              <w:t xml:space="preserve"> 11:3, </w:t>
            </w:r>
            <w:hyperlink r:id="rId16" w:history="1">
              <w:r w:rsidR="005C1CF9" w:rsidRPr="003A73FB">
                <w:rPr>
                  <w:rStyle w:val="Hyperlink"/>
                  <w:lang w:val="en-CA"/>
                </w:rPr>
                <w:t>https://openjournals.library.sydney.edu.au/index.php/ANZJES/issue/view/1054</w:t>
              </w:r>
            </w:hyperlink>
            <w:r>
              <w:rPr>
                <w:lang w:val="en-US"/>
              </w:rPr>
              <w:t xml:space="preserve">. </w:t>
            </w:r>
          </w:p>
          <w:p w14:paraId="6E9B134D" w14:textId="77777777" w:rsidR="002D5380" w:rsidRDefault="002D5380" w:rsidP="000C58B9">
            <w:pPr>
              <w:numPr>
                <w:ilvl w:val="0"/>
                <w:numId w:val="6"/>
              </w:numPr>
              <w:rPr>
                <w:lang w:val="en-US"/>
              </w:rPr>
            </w:pPr>
            <w:r w:rsidRPr="00E266BB">
              <w:rPr>
                <w:lang w:val="en-US"/>
              </w:rPr>
              <w:t>Potter</w:t>
            </w:r>
            <w:r>
              <w:rPr>
                <w:lang w:val="en-US"/>
              </w:rPr>
              <w:t>, E. H.</w:t>
            </w:r>
            <w:r w:rsidRPr="00E266BB">
              <w:rPr>
                <w:lang w:val="en-US"/>
              </w:rPr>
              <w:t xml:space="preserve"> (1999)</w:t>
            </w:r>
            <w:r>
              <w:rPr>
                <w:lang w:val="en-US"/>
              </w:rPr>
              <w:t>,</w:t>
            </w:r>
            <w:r w:rsidRPr="00E266BB">
              <w:rPr>
                <w:lang w:val="en-US"/>
              </w:rPr>
              <w:t xml:space="preserve"> </w:t>
            </w:r>
            <w:r w:rsidRPr="00C22B7C">
              <w:rPr>
                <w:i/>
                <w:lang w:val="en-US"/>
              </w:rPr>
              <w:t>Transatlantic Partners: Canadian Approaches to the European Union</w:t>
            </w:r>
            <w:r>
              <w:rPr>
                <w:lang w:val="en-US"/>
              </w:rPr>
              <w:t xml:space="preserve"> (</w:t>
            </w:r>
            <w:r w:rsidRPr="00E266BB">
              <w:rPr>
                <w:lang w:val="en-US"/>
              </w:rPr>
              <w:t>Montreal: McGill-Queen's University Press</w:t>
            </w:r>
            <w:r>
              <w:rPr>
                <w:lang w:val="en-US"/>
              </w:rPr>
              <w:t>)</w:t>
            </w:r>
            <w:r w:rsidRPr="00E266BB">
              <w:rPr>
                <w:lang w:val="en-US"/>
              </w:rPr>
              <w:t>.</w:t>
            </w:r>
          </w:p>
          <w:p w14:paraId="40E52401" w14:textId="790BD5DD" w:rsidR="00C55110" w:rsidRPr="005C1CF9" w:rsidRDefault="00146A2D" w:rsidP="005C1CF9">
            <w:pPr>
              <w:keepLines/>
              <w:numPr>
                <w:ilvl w:val="0"/>
                <w:numId w:val="6"/>
              </w:numPr>
              <w:rPr>
                <w:lang w:val="en-US"/>
              </w:rPr>
            </w:pPr>
            <w:r w:rsidRPr="00146A2D">
              <w:rPr>
                <w:lang w:val="en-US"/>
              </w:rPr>
              <w:t xml:space="preserve">Verdun, A. (2021), “The EU-Canada Strategic Partnership: Challenges and Opportunities”, in: L. C. Ferreira-Pereira and M. Smith, eds., </w:t>
            </w:r>
            <w:r w:rsidRPr="004A5D2A">
              <w:rPr>
                <w:i/>
                <w:iCs/>
                <w:lang w:val="en-US"/>
              </w:rPr>
              <w:t>The European Union’s Strategic Partnerships: Global Diplomacy in a Contested World</w:t>
            </w:r>
            <w:r>
              <w:rPr>
                <w:lang w:val="en-US"/>
              </w:rPr>
              <w:t xml:space="preserve"> (Basingstoke: Palgrave Macmillan), </w:t>
            </w:r>
            <w:r w:rsidR="004A5D2A">
              <w:rPr>
                <w:lang w:val="en-US"/>
              </w:rPr>
              <w:t>121-148.</w:t>
            </w:r>
          </w:p>
        </w:tc>
      </w:tr>
      <w:tr w:rsidR="003030EC" w:rsidRPr="00232B14" w14:paraId="3DE8AD2F" w14:textId="77777777" w:rsidTr="00836090">
        <w:tc>
          <w:tcPr>
            <w:tcW w:w="1701" w:type="dxa"/>
            <w:shd w:val="clear" w:color="auto" w:fill="auto"/>
          </w:tcPr>
          <w:p w14:paraId="58EEB931" w14:textId="77777777" w:rsidR="00D14BFB" w:rsidRPr="003030EC" w:rsidRDefault="00D14BFB">
            <w:pPr>
              <w:rPr>
                <w:lang w:val="en-US"/>
              </w:rPr>
            </w:pPr>
            <w:r w:rsidRPr="003030EC">
              <w:rPr>
                <w:lang w:val="en-US"/>
              </w:rPr>
              <w:t>Assignments</w:t>
            </w:r>
          </w:p>
        </w:tc>
        <w:tc>
          <w:tcPr>
            <w:tcW w:w="7709" w:type="dxa"/>
            <w:shd w:val="clear" w:color="auto" w:fill="auto"/>
          </w:tcPr>
          <w:p w14:paraId="08FF1C2D" w14:textId="0A4467C6" w:rsidR="008D79B1" w:rsidRPr="000F1375" w:rsidRDefault="00D14BFB" w:rsidP="000C58B9">
            <w:pPr>
              <w:numPr>
                <w:ilvl w:val="0"/>
                <w:numId w:val="14"/>
              </w:numPr>
              <w:rPr>
                <w:lang w:val="en-US"/>
              </w:rPr>
            </w:pPr>
            <w:r w:rsidRPr="003030EC">
              <w:rPr>
                <w:lang w:val="en-US"/>
              </w:rPr>
              <w:t>Online quiz (short answer</w:t>
            </w:r>
            <w:r w:rsidR="00132D7D">
              <w:rPr>
                <w:lang w:val="en-US"/>
              </w:rPr>
              <w:t xml:space="preserve"> format</w:t>
            </w:r>
            <w:r w:rsidRPr="003030EC">
              <w:rPr>
                <w:lang w:val="en-US"/>
              </w:rPr>
              <w:t>)</w:t>
            </w:r>
            <w:r w:rsidR="0002466A">
              <w:rPr>
                <w:lang w:val="en-US"/>
              </w:rPr>
              <w:t xml:space="preserve">, covering </w:t>
            </w:r>
            <w:r w:rsidR="00F5603D">
              <w:rPr>
                <w:lang w:val="en-US"/>
              </w:rPr>
              <w:t xml:space="preserve">institutional frameworks for Canada-EU relations, </w:t>
            </w:r>
            <w:r w:rsidR="0002466A">
              <w:rPr>
                <w:lang w:val="en-US"/>
              </w:rPr>
              <w:t xml:space="preserve">history of Canada-EU relations, </w:t>
            </w:r>
            <w:r w:rsidR="0086580D">
              <w:rPr>
                <w:lang w:val="en-US"/>
              </w:rPr>
              <w:t>conceptual</w:t>
            </w:r>
            <w:r w:rsidR="0002466A">
              <w:rPr>
                <w:lang w:val="en-US"/>
              </w:rPr>
              <w:t xml:space="preserve"> issues </w:t>
            </w:r>
            <w:r w:rsidR="0086580D">
              <w:rPr>
                <w:lang w:val="en-US"/>
              </w:rPr>
              <w:t xml:space="preserve">raised </w:t>
            </w:r>
            <w:r w:rsidR="0002466A">
              <w:rPr>
                <w:lang w:val="en-US"/>
              </w:rPr>
              <w:t xml:space="preserve">in </w:t>
            </w:r>
            <w:r w:rsidR="0086580D">
              <w:rPr>
                <w:lang w:val="en-US"/>
              </w:rPr>
              <w:t xml:space="preserve">scholarly </w:t>
            </w:r>
            <w:r w:rsidR="0002466A">
              <w:rPr>
                <w:lang w:val="en-US"/>
              </w:rPr>
              <w:t>discussions</w:t>
            </w:r>
            <w:r w:rsidR="0086580D">
              <w:rPr>
                <w:lang w:val="en-US"/>
              </w:rPr>
              <w:t>, current policy issues</w:t>
            </w:r>
            <w:r w:rsidRPr="003030EC">
              <w:rPr>
                <w:lang w:val="en-US"/>
              </w:rPr>
              <w:t xml:space="preserve"> – </w:t>
            </w:r>
            <w:r w:rsidR="00B52B6B">
              <w:rPr>
                <w:highlight w:val="yellow"/>
                <w:lang w:val="en-US"/>
              </w:rPr>
              <w:t xml:space="preserve">Due </w:t>
            </w:r>
            <w:r w:rsidR="008F4ACF">
              <w:rPr>
                <w:highlight w:val="yellow"/>
                <w:lang w:val="en-US"/>
              </w:rPr>
              <w:t xml:space="preserve">July </w:t>
            </w:r>
            <w:r w:rsidR="00B20622">
              <w:rPr>
                <w:highlight w:val="yellow"/>
                <w:lang w:val="en-US"/>
              </w:rPr>
              <w:t>1</w:t>
            </w:r>
            <w:r w:rsidR="00DA01B5">
              <w:rPr>
                <w:highlight w:val="yellow"/>
                <w:lang w:val="en-US"/>
              </w:rPr>
              <w:t>1</w:t>
            </w:r>
            <w:r w:rsidR="00B52B6B">
              <w:rPr>
                <w:highlight w:val="yellow"/>
                <w:lang w:val="en-US"/>
              </w:rPr>
              <w:t>, 20</w:t>
            </w:r>
            <w:r w:rsidR="00B20622">
              <w:rPr>
                <w:highlight w:val="yellow"/>
                <w:lang w:val="en-US"/>
              </w:rPr>
              <w:t>2</w:t>
            </w:r>
            <w:r w:rsidR="00DA01B5" w:rsidRPr="00DA01B5">
              <w:rPr>
                <w:highlight w:val="yellow"/>
                <w:lang w:val="en-US"/>
              </w:rPr>
              <w:t>2</w:t>
            </w:r>
          </w:p>
        </w:tc>
      </w:tr>
      <w:tr w:rsidR="00BD36AA" w:rsidRPr="00232B14" w14:paraId="5BCD0A20" w14:textId="77777777" w:rsidTr="00836090">
        <w:tc>
          <w:tcPr>
            <w:tcW w:w="9410" w:type="dxa"/>
            <w:gridSpan w:val="2"/>
            <w:shd w:val="clear" w:color="auto" w:fill="auto"/>
          </w:tcPr>
          <w:p w14:paraId="2248BED1" w14:textId="6F6406E3" w:rsidR="00BD36AA" w:rsidRPr="003030EC" w:rsidRDefault="00BD36AA" w:rsidP="0002466A">
            <w:pPr>
              <w:rPr>
                <w:lang w:val="en-US"/>
              </w:rPr>
            </w:pPr>
            <w:r>
              <w:rPr>
                <w:lang w:val="en-US"/>
              </w:rPr>
              <w:lastRenderedPageBreak/>
              <w:t>Estimated time required to complete the module: 8 hours (</w:t>
            </w:r>
            <w:r w:rsidR="006F15DA">
              <w:rPr>
                <w:lang w:val="en-US"/>
              </w:rPr>
              <w:t>90 minutes lectures/videos</w:t>
            </w:r>
            <w:r>
              <w:rPr>
                <w:lang w:val="en-US"/>
              </w:rPr>
              <w:t xml:space="preserve">, </w:t>
            </w:r>
            <w:r w:rsidR="006F15DA">
              <w:rPr>
                <w:lang w:val="en-US"/>
              </w:rPr>
              <w:t>60 minutes independent research, 210 minutes</w:t>
            </w:r>
            <w:r>
              <w:rPr>
                <w:lang w:val="en-US"/>
              </w:rPr>
              <w:t xml:space="preserve"> readings</w:t>
            </w:r>
            <w:r w:rsidR="00F5603D">
              <w:rPr>
                <w:lang w:val="en-US"/>
              </w:rPr>
              <w:t xml:space="preserve">, </w:t>
            </w:r>
            <w:r w:rsidR="006F15DA">
              <w:rPr>
                <w:lang w:val="en-US"/>
              </w:rPr>
              <w:t>120 minutes</w:t>
            </w:r>
            <w:r w:rsidR="00F5603D">
              <w:rPr>
                <w:lang w:val="en-US"/>
              </w:rPr>
              <w:t xml:space="preserve"> </w:t>
            </w:r>
            <w:r w:rsidR="00E35A24">
              <w:rPr>
                <w:lang w:val="en-US"/>
              </w:rPr>
              <w:t>assignment</w:t>
            </w:r>
            <w:r>
              <w:rPr>
                <w:lang w:val="en-US"/>
              </w:rPr>
              <w:t>)</w:t>
            </w:r>
          </w:p>
        </w:tc>
      </w:tr>
    </w:tbl>
    <w:p w14:paraId="640A6249" w14:textId="77777777" w:rsidR="00F23D33" w:rsidRPr="008D79B1" w:rsidRDefault="00F23D33">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10"/>
        <w:gridCol w:w="7700"/>
      </w:tblGrid>
      <w:tr w:rsidR="003030EC" w:rsidRPr="00232B14" w14:paraId="53EA992A" w14:textId="77777777" w:rsidTr="00436132">
        <w:tc>
          <w:tcPr>
            <w:tcW w:w="9410" w:type="dxa"/>
            <w:gridSpan w:val="2"/>
            <w:shd w:val="solid" w:color="000000" w:fill="FFFFFF"/>
          </w:tcPr>
          <w:p w14:paraId="7D69839A" w14:textId="2F3DADA1" w:rsidR="00D14BFB" w:rsidRPr="003030EC" w:rsidRDefault="00D14BFB" w:rsidP="00350BAF">
            <w:pPr>
              <w:rPr>
                <w:b/>
                <w:bCs/>
                <w:lang w:val="en-US"/>
              </w:rPr>
            </w:pPr>
            <w:r w:rsidRPr="003030EC">
              <w:rPr>
                <w:b/>
                <w:bCs/>
                <w:lang w:val="en-US"/>
              </w:rPr>
              <w:t xml:space="preserve">Module 2: External </w:t>
            </w:r>
            <w:r w:rsidR="00E07476">
              <w:rPr>
                <w:b/>
                <w:bCs/>
                <w:lang w:val="en-US"/>
              </w:rPr>
              <w:t>Policies</w:t>
            </w:r>
            <w:r w:rsidR="00134EC7">
              <w:rPr>
                <w:b/>
                <w:bCs/>
                <w:lang w:val="en-US"/>
              </w:rPr>
              <w:t xml:space="preserve"> of the European Union</w:t>
            </w:r>
            <w:r w:rsidR="00245750">
              <w:rPr>
                <w:b/>
                <w:bCs/>
                <w:lang w:val="en-US"/>
              </w:rPr>
              <w:t xml:space="preserve"> (July </w:t>
            </w:r>
            <w:r w:rsidR="00B20622">
              <w:rPr>
                <w:b/>
                <w:bCs/>
                <w:lang w:val="en-US"/>
              </w:rPr>
              <w:t>1</w:t>
            </w:r>
            <w:r w:rsidR="005C1CF9">
              <w:rPr>
                <w:b/>
                <w:bCs/>
                <w:lang w:val="en-US"/>
              </w:rPr>
              <w:t>1</w:t>
            </w:r>
            <w:r w:rsidR="00245750">
              <w:rPr>
                <w:b/>
                <w:bCs/>
                <w:lang w:val="en-US"/>
              </w:rPr>
              <w:t>-</w:t>
            </w:r>
            <w:r w:rsidR="00B20622">
              <w:rPr>
                <w:b/>
                <w:bCs/>
                <w:lang w:val="en-US"/>
              </w:rPr>
              <w:t>1</w:t>
            </w:r>
            <w:r w:rsidR="005C1CF9">
              <w:rPr>
                <w:b/>
                <w:bCs/>
                <w:lang w:val="en-US"/>
              </w:rPr>
              <w:t>8</w:t>
            </w:r>
            <w:r w:rsidR="00245750">
              <w:rPr>
                <w:b/>
                <w:bCs/>
                <w:lang w:val="en-US"/>
              </w:rPr>
              <w:t>, 20</w:t>
            </w:r>
            <w:r w:rsidR="00C2286B">
              <w:rPr>
                <w:b/>
                <w:bCs/>
                <w:lang w:val="en-US"/>
              </w:rPr>
              <w:t>2</w:t>
            </w:r>
            <w:r w:rsidR="005C1CF9">
              <w:rPr>
                <w:b/>
                <w:bCs/>
                <w:lang w:val="en-US"/>
              </w:rPr>
              <w:t>2</w:t>
            </w:r>
            <w:r w:rsidR="00245750">
              <w:rPr>
                <w:b/>
                <w:bCs/>
                <w:lang w:val="en-US"/>
              </w:rPr>
              <w:t>)</w:t>
            </w:r>
          </w:p>
        </w:tc>
      </w:tr>
      <w:tr w:rsidR="003030EC" w:rsidRPr="00232B14" w14:paraId="03E26D03" w14:textId="77777777" w:rsidTr="00436132">
        <w:tc>
          <w:tcPr>
            <w:tcW w:w="1710" w:type="dxa"/>
            <w:shd w:val="clear" w:color="auto" w:fill="auto"/>
          </w:tcPr>
          <w:p w14:paraId="6A02C196" w14:textId="77777777" w:rsidR="00D14BFB" w:rsidRPr="003030EC" w:rsidRDefault="00132D7D" w:rsidP="003030EC">
            <w:pPr>
              <w:rPr>
                <w:lang w:val="en-US"/>
              </w:rPr>
            </w:pPr>
            <w:proofErr w:type="gramStart"/>
            <w:r>
              <w:rPr>
                <w:lang w:val="en-US"/>
              </w:rPr>
              <w:t>Mini-lectures</w:t>
            </w:r>
            <w:proofErr w:type="gramEnd"/>
          </w:p>
        </w:tc>
        <w:tc>
          <w:tcPr>
            <w:tcW w:w="7700" w:type="dxa"/>
            <w:shd w:val="clear" w:color="auto" w:fill="auto"/>
          </w:tcPr>
          <w:p w14:paraId="06C995D3" w14:textId="6CB4FE81" w:rsidR="00D14BFB" w:rsidRDefault="006E149A" w:rsidP="000C58B9">
            <w:pPr>
              <w:numPr>
                <w:ilvl w:val="0"/>
                <w:numId w:val="7"/>
              </w:numPr>
              <w:rPr>
                <w:lang w:val="en-US"/>
              </w:rPr>
            </w:pPr>
            <w:r>
              <w:rPr>
                <w:lang w:val="en-US"/>
              </w:rPr>
              <w:t>Common Commercial Policy</w:t>
            </w:r>
          </w:p>
          <w:p w14:paraId="7E857C91" w14:textId="77EA84F0" w:rsidR="00132D7D" w:rsidRDefault="00132D7D" w:rsidP="000C58B9">
            <w:pPr>
              <w:numPr>
                <w:ilvl w:val="0"/>
                <w:numId w:val="7"/>
              </w:numPr>
              <w:rPr>
                <w:lang w:val="en-US"/>
              </w:rPr>
            </w:pPr>
            <w:r>
              <w:rPr>
                <w:lang w:val="en-US"/>
              </w:rPr>
              <w:t>Common Foreign and Security Policy</w:t>
            </w:r>
            <w:r w:rsidR="0063788F">
              <w:rPr>
                <w:lang w:val="en-US"/>
              </w:rPr>
              <w:t xml:space="preserve">/Common Security and </w:t>
            </w:r>
            <w:r w:rsidR="0063788F">
              <w:rPr>
                <w:lang w:val="en-US"/>
              </w:rPr>
              <w:br/>
            </w:r>
            <w:proofErr w:type="spellStart"/>
            <w:r w:rsidR="0063788F">
              <w:rPr>
                <w:lang w:val="en-US"/>
              </w:rPr>
              <w:t>Defence</w:t>
            </w:r>
            <w:proofErr w:type="spellEnd"/>
            <w:r w:rsidR="0063788F">
              <w:rPr>
                <w:lang w:val="en-US"/>
              </w:rPr>
              <w:t xml:space="preserve"> Policy</w:t>
            </w:r>
          </w:p>
          <w:p w14:paraId="6208BA5D" w14:textId="77777777" w:rsidR="00132D7D" w:rsidRPr="007E6B58" w:rsidRDefault="003741DE" w:rsidP="000C58B9">
            <w:pPr>
              <w:numPr>
                <w:ilvl w:val="0"/>
                <w:numId w:val="7"/>
              </w:numPr>
              <w:rPr>
                <w:lang w:val="en-US"/>
              </w:rPr>
            </w:pPr>
            <w:r>
              <w:rPr>
                <w:lang w:val="en-US"/>
              </w:rPr>
              <w:t xml:space="preserve">Enlargement and </w:t>
            </w:r>
            <w:r w:rsidR="007E6B58">
              <w:rPr>
                <w:lang w:val="en-US"/>
              </w:rPr>
              <w:t xml:space="preserve">European </w:t>
            </w:r>
            <w:proofErr w:type="spellStart"/>
            <w:r w:rsidR="007E6B58">
              <w:rPr>
                <w:lang w:val="en-US"/>
              </w:rPr>
              <w:t>Neighbourhood</w:t>
            </w:r>
            <w:proofErr w:type="spellEnd"/>
            <w:r w:rsidR="007E6B58">
              <w:rPr>
                <w:lang w:val="en-US"/>
              </w:rPr>
              <w:t xml:space="preserve"> Policy</w:t>
            </w:r>
          </w:p>
        </w:tc>
      </w:tr>
      <w:tr w:rsidR="003030EC" w:rsidRPr="00232B14" w14:paraId="2EEDC430" w14:textId="77777777" w:rsidTr="00436132">
        <w:tc>
          <w:tcPr>
            <w:tcW w:w="1710" w:type="dxa"/>
            <w:shd w:val="clear" w:color="auto" w:fill="auto"/>
          </w:tcPr>
          <w:p w14:paraId="207CBCCC" w14:textId="77777777" w:rsidR="00D14BFB" w:rsidRPr="003030EC" w:rsidRDefault="00D14BFB" w:rsidP="003030EC">
            <w:pPr>
              <w:rPr>
                <w:lang w:val="en-US"/>
              </w:rPr>
            </w:pPr>
            <w:r w:rsidRPr="003030EC">
              <w:rPr>
                <w:lang w:val="en-US"/>
              </w:rPr>
              <w:t>Required readings</w:t>
            </w:r>
          </w:p>
        </w:tc>
        <w:tc>
          <w:tcPr>
            <w:tcW w:w="7700" w:type="dxa"/>
            <w:shd w:val="clear" w:color="auto" w:fill="auto"/>
          </w:tcPr>
          <w:p w14:paraId="34A0EA6D" w14:textId="0C3C7385" w:rsidR="007E6B58" w:rsidRPr="008952E8" w:rsidRDefault="006E149A" w:rsidP="008550A3">
            <w:pPr>
              <w:ind w:left="325" w:hanging="325"/>
              <w:rPr>
                <w:color w:val="000000"/>
                <w:lang w:val="en-US"/>
              </w:rPr>
            </w:pPr>
            <w:r>
              <w:rPr>
                <w:color w:val="000000"/>
                <w:lang w:val="en-US"/>
              </w:rPr>
              <w:t>Common Commercial Policy</w:t>
            </w:r>
          </w:p>
          <w:p w14:paraId="00C6313D" w14:textId="0C51D3CE" w:rsidR="00FD7067" w:rsidRDefault="00FD7067" w:rsidP="000C58B9">
            <w:pPr>
              <w:numPr>
                <w:ilvl w:val="0"/>
                <w:numId w:val="8"/>
              </w:numPr>
              <w:rPr>
                <w:color w:val="000000"/>
                <w:lang w:val="en-US"/>
              </w:rPr>
            </w:pPr>
            <w:proofErr w:type="spellStart"/>
            <w:r>
              <w:rPr>
                <w:color w:val="000000"/>
                <w:lang w:val="en-US"/>
              </w:rPr>
              <w:t>Adriaensen</w:t>
            </w:r>
            <w:proofErr w:type="spellEnd"/>
            <w:r>
              <w:rPr>
                <w:color w:val="000000"/>
                <w:lang w:val="en-US"/>
              </w:rPr>
              <w:t>, J.</w:t>
            </w:r>
            <w:r w:rsidR="00B22397" w:rsidRPr="008952E8">
              <w:rPr>
                <w:color w:val="000000"/>
                <w:lang w:val="en-US"/>
              </w:rPr>
              <w:t xml:space="preserve"> (20</w:t>
            </w:r>
            <w:r>
              <w:rPr>
                <w:color w:val="000000"/>
                <w:lang w:val="en-US"/>
              </w:rPr>
              <w:t>20</w:t>
            </w:r>
            <w:r w:rsidR="00B22397" w:rsidRPr="008952E8">
              <w:rPr>
                <w:color w:val="000000"/>
                <w:lang w:val="en-US"/>
              </w:rPr>
              <w:t xml:space="preserve">), “The </w:t>
            </w:r>
            <w:r>
              <w:rPr>
                <w:color w:val="000000"/>
                <w:lang w:val="en-US"/>
              </w:rPr>
              <w:t>Common Commercial Policy</w:t>
            </w:r>
            <w:r w:rsidR="00B22397" w:rsidRPr="008952E8">
              <w:rPr>
                <w:color w:val="000000"/>
                <w:lang w:val="en-US"/>
              </w:rPr>
              <w:t>”</w:t>
            </w:r>
            <w:r w:rsidR="00FA6DFE" w:rsidRPr="008952E8">
              <w:rPr>
                <w:color w:val="000000"/>
                <w:lang w:val="en-US"/>
              </w:rPr>
              <w:t>,</w:t>
            </w:r>
            <w:r w:rsidR="00B22397" w:rsidRPr="008952E8">
              <w:rPr>
                <w:color w:val="000000"/>
                <w:lang w:val="en-US"/>
              </w:rPr>
              <w:t xml:space="preserve"> </w:t>
            </w:r>
            <w:r w:rsidRPr="00FD7067">
              <w:rPr>
                <w:i/>
                <w:iCs/>
                <w:color w:val="000000"/>
                <w:lang w:val="en-US"/>
              </w:rPr>
              <w:t>Oxford Research Encyclopedia of Politics</w:t>
            </w:r>
            <w:r>
              <w:rPr>
                <w:color w:val="000000"/>
                <w:lang w:val="en-US"/>
              </w:rPr>
              <w:t xml:space="preserve">, </w:t>
            </w:r>
            <w:hyperlink r:id="rId17" w:history="1">
              <w:r w:rsidRPr="00E72914">
                <w:rPr>
                  <w:rStyle w:val="Hyperlink"/>
                  <w:lang w:val="en-US"/>
                </w:rPr>
                <w:t>https://doi.org/10.1093/acrefore/9780190228637.013.1098</w:t>
              </w:r>
            </w:hyperlink>
            <w:r>
              <w:rPr>
                <w:color w:val="000000"/>
                <w:lang w:val="en-US"/>
              </w:rPr>
              <w:t xml:space="preserve">. </w:t>
            </w:r>
          </w:p>
          <w:p w14:paraId="7BFCC7B0" w14:textId="77777777" w:rsidR="005242D6" w:rsidRPr="008952E8" w:rsidRDefault="005242D6" w:rsidP="006D5FF7">
            <w:pPr>
              <w:rPr>
                <w:color w:val="000000"/>
                <w:sz w:val="10"/>
                <w:szCs w:val="10"/>
                <w:lang w:val="en-US"/>
              </w:rPr>
            </w:pPr>
          </w:p>
          <w:p w14:paraId="2B85A526" w14:textId="67347061" w:rsidR="007E6B58" w:rsidRPr="008952E8" w:rsidRDefault="007E6B58" w:rsidP="008550A3">
            <w:pPr>
              <w:ind w:left="325" w:hanging="325"/>
              <w:rPr>
                <w:color w:val="000000"/>
                <w:lang w:val="en-US"/>
              </w:rPr>
            </w:pPr>
            <w:r w:rsidRPr="008952E8">
              <w:rPr>
                <w:color w:val="000000"/>
                <w:lang w:val="en-US"/>
              </w:rPr>
              <w:t>Common Foreign and Security Policy</w:t>
            </w:r>
            <w:r w:rsidR="0063788F">
              <w:rPr>
                <w:color w:val="000000"/>
                <w:lang w:val="en-US"/>
              </w:rPr>
              <w:t xml:space="preserve">/Common Security and </w:t>
            </w:r>
            <w:proofErr w:type="spellStart"/>
            <w:r w:rsidR="0063788F">
              <w:rPr>
                <w:color w:val="000000"/>
                <w:lang w:val="en-US"/>
              </w:rPr>
              <w:t>Defence</w:t>
            </w:r>
            <w:proofErr w:type="spellEnd"/>
            <w:r w:rsidR="0063788F">
              <w:rPr>
                <w:color w:val="000000"/>
                <w:lang w:val="en-US"/>
              </w:rPr>
              <w:t xml:space="preserve"> Policy</w:t>
            </w:r>
          </w:p>
          <w:p w14:paraId="411D602C" w14:textId="77777777" w:rsidR="007E6B58" w:rsidRPr="008952E8" w:rsidRDefault="007D04C3" w:rsidP="000C58B9">
            <w:pPr>
              <w:numPr>
                <w:ilvl w:val="0"/>
                <w:numId w:val="9"/>
              </w:numPr>
              <w:rPr>
                <w:color w:val="000000"/>
                <w:lang w:val="en-US"/>
              </w:rPr>
            </w:pPr>
            <w:proofErr w:type="spellStart"/>
            <w:r>
              <w:rPr>
                <w:color w:val="000000"/>
                <w:lang w:val="en-US"/>
              </w:rPr>
              <w:t>Howorth</w:t>
            </w:r>
            <w:proofErr w:type="spellEnd"/>
            <w:r>
              <w:rPr>
                <w:color w:val="000000"/>
                <w:lang w:val="en-US"/>
              </w:rPr>
              <w:t>, J. (2017</w:t>
            </w:r>
            <w:r w:rsidR="007E6B58" w:rsidRPr="008952E8">
              <w:rPr>
                <w:color w:val="000000"/>
                <w:lang w:val="en-US"/>
              </w:rPr>
              <w:t>), “</w:t>
            </w:r>
            <w:r>
              <w:rPr>
                <w:color w:val="000000"/>
                <w:lang w:val="en-US"/>
              </w:rPr>
              <w:t xml:space="preserve">The European Union’s Security and </w:t>
            </w:r>
            <w:proofErr w:type="spellStart"/>
            <w:r>
              <w:rPr>
                <w:color w:val="000000"/>
                <w:lang w:val="en-US"/>
              </w:rPr>
              <w:t>Defence</w:t>
            </w:r>
            <w:proofErr w:type="spellEnd"/>
            <w:r>
              <w:rPr>
                <w:color w:val="000000"/>
                <w:lang w:val="en-US"/>
              </w:rPr>
              <w:t xml:space="preserve"> Policy: The Quest for Purpose</w:t>
            </w:r>
            <w:r w:rsidR="007E6B58" w:rsidRPr="008952E8">
              <w:rPr>
                <w:color w:val="000000"/>
                <w:lang w:val="en-US"/>
              </w:rPr>
              <w:t xml:space="preserve">”, </w:t>
            </w:r>
            <w:r w:rsidRPr="008952E8">
              <w:rPr>
                <w:color w:val="000000"/>
                <w:lang w:val="en-US"/>
              </w:rPr>
              <w:t>in: C. Hill</w:t>
            </w:r>
            <w:r>
              <w:rPr>
                <w:color w:val="000000"/>
                <w:lang w:val="en-US"/>
              </w:rPr>
              <w:t xml:space="preserve">, </w:t>
            </w:r>
            <w:r w:rsidRPr="008952E8">
              <w:rPr>
                <w:color w:val="000000"/>
                <w:lang w:val="en-US"/>
              </w:rPr>
              <w:t>M. Smith</w:t>
            </w:r>
            <w:r>
              <w:rPr>
                <w:color w:val="000000"/>
                <w:lang w:val="en-US"/>
              </w:rPr>
              <w:t xml:space="preserve"> and S. </w:t>
            </w:r>
            <w:proofErr w:type="spellStart"/>
            <w:r>
              <w:rPr>
                <w:color w:val="000000"/>
                <w:lang w:val="en-US"/>
              </w:rPr>
              <w:t>Vanhoonacker</w:t>
            </w:r>
            <w:proofErr w:type="spellEnd"/>
            <w:r w:rsidRPr="008952E8">
              <w:rPr>
                <w:color w:val="000000"/>
                <w:lang w:val="en-US"/>
              </w:rPr>
              <w:t xml:space="preserve">, eds., </w:t>
            </w:r>
            <w:r w:rsidRPr="008952E8">
              <w:rPr>
                <w:i/>
                <w:color w:val="000000"/>
                <w:lang w:val="en-US"/>
              </w:rPr>
              <w:t>International Relations and the European Union</w:t>
            </w:r>
            <w:r>
              <w:rPr>
                <w:color w:val="000000"/>
                <w:lang w:val="en-US"/>
              </w:rPr>
              <w:t>, 3</w:t>
            </w:r>
            <w:r w:rsidRPr="007D04C3">
              <w:rPr>
                <w:color w:val="000000"/>
                <w:vertAlign w:val="superscript"/>
                <w:lang w:val="en-US"/>
              </w:rPr>
              <w:t>rd</w:t>
            </w:r>
            <w:r>
              <w:rPr>
                <w:color w:val="000000"/>
                <w:lang w:val="en-US"/>
              </w:rPr>
              <w:t xml:space="preserve"> edition </w:t>
            </w:r>
            <w:r w:rsidRPr="008952E8">
              <w:rPr>
                <w:color w:val="000000"/>
                <w:lang w:val="en-US"/>
              </w:rPr>
              <w:t>(Oxford: Oxford University Press),</w:t>
            </w:r>
            <w:r>
              <w:rPr>
                <w:color w:val="000000"/>
                <w:lang w:val="en-US"/>
              </w:rPr>
              <w:t xml:space="preserve"> 341-364</w:t>
            </w:r>
            <w:r w:rsidRPr="008952E8">
              <w:rPr>
                <w:color w:val="000000"/>
                <w:lang w:val="en-US"/>
              </w:rPr>
              <w:t>.</w:t>
            </w:r>
          </w:p>
          <w:p w14:paraId="1EFF48C2" w14:textId="77777777" w:rsidR="00D520F7" w:rsidRPr="008952E8" w:rsidRDefault="00D520F7" w:rsidP="009A0828">
            <w:pPr>
              <w:ind w:left="325" w:hanging="325"/>
              <w:rPr>
                <w:color w:val="000000"/>
                <w:sz w:val="10"/>
                <w:szCs w:val="10"/>
                <w:lang w:val="en-US"/>
              </w:rPr>
            </w:pPr>
          </w:p>
          <w:p w14:paraId="42970CF9" w14:textId="77777777" w:rsidR="007E6B58" w:rsidRPr="008952E8" w:rsidRDefault="007E6B58" w:rsidP="008550A3">
            <w:pPr>
              <w:ind w:left="325" w:hanging="325"/>
              <w:rPr>
                <w:color w:val="000000"/>
                <w:lang w:val="en-US"/>
              </w:rPr>
            </w:pPr>
            <w:r w:rsidRPr="008952E8">
              <w:rPr>
                <w:color w:val="000000"/>
                <w:lang w:val="en-US"/>
              </w:rPr>
              <w:t xml:space="preserve">Enlargement and European </w:t>
            </w:r>
            <w:proofErr w:type="spellStart"/>
            <w:r w:rsidRPr="008952E8">
              <w:rPr>
                <w:color w:val="000000"/>
                <w:lang w:val="en-US"/>
              </w:rPr>
              <w:t>Neighbourhood</w:t>
            </w:r>
            <w:proofErr w:type="spellEnd"/>
            <w:r w:rsidRPr="008952E8">
              <w:rPr>
                <w:color w:val="000000"/>
                <w:lang w:val="en-US"/>
              </w:rPr>
              <w:t xml:space="preserve"> Policy</w:t>
            </w:r>
          </w:p>
          <w:p w14:paraId="37D985C6" w14:textId="6CE67AA8" w:rsidR="00D14BFB" w:rsidRPr="008952E8" w:rsidRDefault="0024431C" w:rsidP="000C58B9">
            <w:pPr>
              <w:numPr>
                <w:ilvl w:val="0"/>
                <w:numId w:val="26"/>
              </w:numPr>
              <w:rPr>
                <w:color w:val="000000"/>
                <w:lang w:val="en-US"/>
              </w:rPr>
            </w:pPr>
            <w:proofErr w:type="spellStart"/>
            <w:r w:rsidRPr="0024431C">
              <w:rPr>
                <w:color w:val="000000"/>
                <w:lang w:val="en-US"/>
              </w:rPr>
              <w:t>Müftüler-Baç</w:t>
            </w:r>
            <w:proofErr w:type="spellEnd"/>
            <w:r w:rsidRPr="0024431C">
              <w:rPr>
                <w:color w:val="000000"/>
                <w:lang w:val="en-US"/>
              </w:rPr>
              <w:t>, M. (2019)</w:t>
            </w:r>
            <w:r>
              <w:rPr>
                <w:color w:val="000000"/>
                <w:lang w:val="en-US"/>
              </w:rPr>
              <w:t>,</w:t>
            </w:r>
            <w:r w:rsidRPr="0024431C">
              <w:rPr>
                <w:color w:val="000000"/>
                <w:lang w:val="en-US"/>
              </w:rPr>
              <w:t xml:space="preserve"> </w:t>
            </w:r>
            <w:r>
              <w:rPr>
                <w:color w:val="000000"/>
                <w:lang w:val="en-US"/>
              </w:rPr>
              <w:t>“</w:t>
            </w:r>
            <w:r w:rsidRPr="0024431C">
              <w:rPr>
                <w:color w:val="000000"/>
                <w:lang w:val="en-US"/>
              </w:rPr>
              <w:t xml:space="preserve">The European </w:t>
            </w:r>
            <w:proofErr w:type="spellStart"/>
            <w:r w:rsidRPr="0024431C">
              <w:rPr>
                <w:color w:val="000000"/>
                <w:lang w:val="en-US"/>
              </w:rPr>
              <w:t>Neighbourhood</w:t>
            </w:r>
            <w:proofErr w:type="spellEnd"/>
            <w:r w:rsidRPr="0024431C">
              <w:rPr>
                <w:color w:val="000000"/>
                <w:lang w:val="en-US"/>
              </w:rPr>
              <w:t xml:space="preserve"> Policy</w:t>
            </w:r>
            <w:r>
              <w:rPr>
                <w:color w:val="000000"/>
                <w:lang w:val="en-US"/>
              </w:rPr>
              <w:t xml:space="preserve">”, </w:t>
            </w:r>
            <w:r w:rsidRPr="0024431C">
              <w:rPr>
                <w:i/>
                <w:iCs/>
                <w:color w:val="000000"/>
                <w:lang w:val="en-US"/>
              </w:rPr>
              <w:t>Oxford Research Encyclopedia of Politics</w:t>
            </w:r>
            <w:r>
              <w:rPr>
                <w:color w:val="000000"/>
                <w:lang w:val="en-US"/>
              </w:rPr>
              <w:t xml:space="preserve">, </w:t>
            </w:r>
            <w:hyperlink r:id="rId18" w:history="1">
              <w:r w:rsidR="00FD7067" w:rsidRPr="00FD7067">
                <w:rPr>
                  <w:rStyle w:val="Hyperlink"/>
                  <w:lang w:val="en-CA"/>
                </w:rPr>
                <w:t>https://doi.org/10.1093/acrefore/9780190228637.013.1082</w:t>
              </w:r>
            </w:hyperlink>
            <w:r>
              <w:rPr>
                <w:color w:val="000000"/>
                <w:lang w:val="en-US"/>
              </w:rPr>
              <w:t xml:space="preserve">. </w:t>
            </w:r>
          </w:p>
        </w:tc>
      </w:tr>
      <w:tr w:rsidR="004C49DF" w:rsidRPr="00232B14" w14:paraId="1F0DA33D" w14:textId="77777777" w:rsidTr="00436132">
        <w:tc>
          <w:tcPr>
            <w:tcW w:w="1710" w:type="dxa"/>
            <w:shd w:val="clear" w:color="auto" w:fill="auto"/>
          </w:tcPr>
          <w:p w14:paraId="728C354F" w14:textId="424933BC" w:rsidR="004C49DF" w:rsidRDefault="004C49DF" w:rsidP="003030EC">
            <w:pPr>
              <w:rPr>
                <w:lang w:val="en-US"/>
              </w:rPr>
            </w:pPr>
            <w:r>
              <w:rPr>
                <w:lang w:val="en-US"/>
              </w:rPr>
              <w:t>Required video</w:t>
            </w:r>
            <w:r w:rsidR="0004798D">
              <w:rPr>
                <w:lang w:val="en-US"/>
              </w:rPr>
              <w:t>s</w:t>
            </w:r>
          </w:p>
        </w:tc>
        <w:tc>
          <w:tcPr>
            <w:tcW w:w="7700" w:type="dxa"/>
            <w:shd w:val="clear" w:color="auto" w:fill="auto"/>
          </w:tcPr>
          <w:p w14:paraId="304B686D" w14:textId="2B11EFC5" w:rsidR="0004798D" w:rsidRDefault="0004798D" w:rsidP="000C58B9">
            <w:pPr>
              <w:numPr>
                <w:ilvl w:val="0"/>
                <w:numId w:val="10"/>
              </w:numPr>
              <w:rPr>
                <w:lang w:val="en-US"/>
              </w:rPr>
            </w:pPr>
            <w:r>
              <w:rPr>
                <w:lang w:val="en-US"/>
              </w:rPr>
              <w:t xml:space="preserve">Interview with Professor Dirk de Bièvre, University of Antwerp, conducted November 2020 for the Jean Monnet Network on Transatlantic Trade Politics, </w:t>
            </w:r>
            <w:hyperlink r:id="rId19" w:history="1">
              <w:r w:rsidRPr="00E72914">
                <w:rPr>
                  <w:rStyle w:val="Hyperlink"/>
                  <w:lang w:val="en-US"/>
                </w:rPr>
                <w:t>https://youtu.be/zaElPDIabnw</w:t>
              </w:r>
            </w:hyperlink>
            <w:r>
              <w:rPr>
                <w:lang w:val="en-US"/>
              </w:rPr>
              <w:t xml:space="preserve">. </w:t>
            </w:r>
          </w:p>
          <w:p w14:paraId="07E609AB" w14:textId="0D527B28" w:rsidR="004C49DF" w:rsidRPr="008550A3" w:rsidRDefault="008F14EE" w:rsidP="000C58B9">
            <w:pPr>
              <w:numPr>
                <w:ilvl w:val="0"/>
                <w:numId w:val="10"/>
              </w:numPr>
              <w:rPr>
                <w:lang w:val="en-US"/>
              </w:rPr>
            </w:pPr>
            <w:r>
              <w:rPr>
                <w:lang w:val="en-US"/>
              </w:rPr>
              <w:t>European External Action Service (2013), “</w:t>
            </w:r>
            <w:r w:rsidRPr="008F14EE">
              <w:rPr>
                <w:lang w:val="en-US"/>
              </w:rPr>
              <w:t xml:space="preserve">EU Common </w:t>
            </w:r>
            <w:r>
              <w:rPr>
                <w:lang w:val="en-US"/>
              </w:rPr>
              <w:t xml:space="preserve">Security and </w:t>
            </w:r>
            <w:proofErr w:type="spellStart"/>
            <w:r>
              <w:rPr>
                <w:lang w:val="en-US"/>
              </w:rPr>
              <w:t>Defence</w:t>
            </w:r>
            <w:proofErr w:type="spellEnd"/>
            <w:r>
              <w:rPr>
                <w:lang w:val="en-US"/>
              </w:rPr>
              <w:t xml:space="preserve"> Policy in A</w:t>
            </w:r>
            <w:r w:rsidRPr="008F14EE">
              <w:rPr>
                <w:lang w:val="en-US"/>
              </w:rPr>
              <w:t>ction</w:t>
            </w:r>
            <w:r>
              <w:rPr>
                <w:lang w:val="en-US"/>
              </w:rPr>
              <w:t>”,</w:t>
            </w:r>
            <w:r w:rsidRPr="008F14EE">
              <w:rPr>
                <w:lang w:val="en-US"/>
              </w:rPr>
              <w:t xml:space="preserve"> </w:t>
            </w:r>
            <w:hyperlink r:id="rId20" w:history="1">
              <w:r w:rsidRPr="005C3459">
                <w:rPr>
                  <w:rStyle w:val="Hyperlink"/>
                  <w:lang w:val="en-US"/>
                </w:rPr>
                <w:t>https://www.youtube.com/watch?v=mVdz0vDOKuc</w:t>
              </w:r>
            </w:hyperlink>
            <w:r w:rsidR="00551D8F">
              <w:rPr>
                <w:lang w:val="en-US"/>
              </w:rPr>
              <w:t>.</w:t>
            </w:r>
            <w:r>
              <w:rPr>
                <w:lang w:val="en-US"/>
              </w:rPr>
              <w:t xml:space="preserve"> </w:t>
            </w:r>
          </w:p>
        </w:tc>
      </w:tr>
      <w:tr w:rsidR="008550A3" w:rsidRPr="00232B14" w14:paraId="45B87123" w14:textId="77777777" w:rsidTr="00436132">
        <w:tc>
          <w:tcPr>
            <w:tcW w:w="1710" w:type="dxa"/>
            <w:shd w:val="clear" w:color="auto" w:fill="auto"/>
          </w:tcPr>
          <w:p w14:paraId="693C24E3" w14:textId="77777777" w:rsidR="008550A3" w:rsidRPr="003030EC" w:rsidRDefault="00132D7D" w:rsidP="003030EC">
            <w:pPr>
              <w:rPr>
                <w:lang w:val="en-US"/>
              </w:rPr>
            </w:pPr>
            <w:r>
              <w:rPr>
                <w:lang w:val="en-US"/>
              </w:rPr>
              <w:t>Supplementary literature</w:t>
            </w:r>
          </w:p>
        </w:tc>
        <w:tc>
          <w:tcPr>
            <w:tcW w:w="7700" w:type="dxa"/>
            <w:shd w:val="clear" w:color="auto" w:fill="auto"/>
          </w:tcPr>
          <w:p w14:paraId="465CB8CC" w14:textId="0CD892D8" w:rsidR="00FE2247" w:rsidRDefault="00FE2247" w:rsidP="000C58B9">
            <w:pPr>
              <w:numPr>
                <w:ilvl w:val="0"/>
                <w:numId w:val="11"/>
              </w:numPr>
              <w:rPr>
                <w:szCs w:val="24"/>
                <w:lang w:val="en-US"/>
              </w:rPr>
            </w:pPr>
            <w:r w:rsidRPr="00AA3094">
              <w:rPr>
                <w:szCs w:val="24"/>
                <w:lang w:val="en-CA"/>
              </w:rPr>
              <w:t xml:space="preserve">De Bièvre, D. and </w:t>
            </w:r>
            <w:proofErr w:type="spellStart"/>
            <w:r w:rsidRPr="00AA3094">
              <w:rPr>
                <w:szCs w:val="24"/>
                <w:lang w:val="en-CA"/>
              </w:rPr>
              <w:t>Gstöhl</w:t>
            </w:r>
            <w:proofErr w:type="spellEnd"/>
            <w:r w:rsidRPr="00AA3094">
              <w:rPr>
                <w:szCs w:val="24"/>
                <w:lang w:val="en-CA"/>
              </w:rPr>
              <w:t>, S.</w:t>
            </w:r>
            <w:r w:rsidR="00AA3094" w:rsidRPr="00AA3094">
              <w:rPr>
                <w:szCs w:val="24"/>
                <w:lang w:val="en-CA"/>
              </w:rPr>
              <w:t xml:space="preserve"> </w:t>
            </w:r>
            <w:r w:rsidRPr="00AA3094">
              <w:rPr>
                <w:szCs w:val="24"/>
                <w:lang w:val="en-CA"/>
              </w:rPr>
              <w:t>(2018)</w:t>
            </w:r>
            <w:r w:rsidR="00AA3094" w:rsidRPr="00AA3094">
              <w:rPr>
                <w:szCs w:val="24"/>
                <w:lang w:val="en-CA"/>
              </w:rPr>
              <w:t xml:space="preserve">, </w:t>
            </w:r>
            <w:r w:rsidRPr="00FE2247">
              <w:rPr>
                <w:i/>
                <w:iCs/>
                <w:szCs w:val="24"/>
                <w:lang w:val="en-CA"/>
              </w:rPr>
              <w:t xml:space="preserve">The </w:t>
            </w:r>
            <w:r w:rsidR="00AA3094">
              <w:rPr>
                <w:i/>
                <w:iCs/>
                <w:szCs w:val="24"/>
                <w:lang w:val="en-CA"/>
              </w:rPr>
              <w:t>T</w:t>
            </w:r>
            <w:r w:rsidRPr="00FE2247">
              <w:rPr>
                <w:i/>
                <w:iCs/>
                <w:szCs w:val="24"/>
                <w:lang w:val="en-CA"/>
              </w:rPr>
              <w:t xml:space="preserve">rade </w:t>
            </w:r>
            <w:r w:rsidR="00AA3094">
              <w:rPr>
                <w:i/>
                <w:iCs/>
                <w:szCs w:val="24"/>
                <w:lang w:val="en-CA"/>
              </w:rPr>
              <w:t>P</w:t>
            </w:r>
            <w:r w:rsidRPr="00FE2247">
              <w:rPr>
                <w:i/>
                <w:iCs/>
                <w:szCs w:val="24"/>
                <w:lang w:val="en-CA"/>
              </w:rPr>
              <w:t>olicy of the European Union</w:t>
            </w:r>
            <w:r w:rsidRPr="00FE2247">
              <w:rPr>
                <w:szCs w:val="24"/>
                <w:lang w:val="en-CA"/>
              </w:rPr>
              <w:t xml:space="preserve"> </w:t>
            </w:r>
            <w:r w:rsidR="00AA3094">
              <w:rPr>
                <w:szCs w:val="24"/>
                <w:lang w:val="en-CA"/>
              </w:rPr>
              <w:t xml:space="preserve">(Basingstoke: </w:t>
            </w:r>
            <w:r w:rsidRPr="00AA3094">
              <w:rPr>
                <w:szCs w:val="24"/>
                <w:lang w:val="en-CA"/>
              </w:rPr>
              <w:t>Palgrave</w:t>
            </w:r>
            <w:r w:rsidR="00AA3094">
              <w:rPr>
                <w:szCs w:val="24"/>
                <w:lang w:val="en-CA"/>
              </w:rPr>
              <w:t xml:space="preserve"> Macmillan)</w:t>
            </w:r>
            <w:r w:rsidRPr="00AA3094">
              <w:rPr>
                <w:szCs w:val="24"/>
                <w:lang w:val="en-CA"/>
              </w:rPr>
              <w:t>.</w:t>
            </w:r>
          </w:p>
          <w:p w14:paraId="52B9B35D" w14:textId="3800823B" w:rsidR="00551D8F" w:rsidRPr="00514851" w:rsidRDefault="00551D8F" w:rsidP="000C58B9">
            <w:pPr>
              <w:numPr>
                <w:ilvl w:val="0"/>
                <w:numId w:val="11"/>
              </w:numPr>
              <w:rPr>
                <w:szCs w:val="24"/>
                <w:lang w:val="en-US"/>
              </w:rPr>
            </w:pPr>
            <w:proofErr w:type="spellStart"/>
            <w:r w:rsidRPr="00514851">
              <w:rPr>
                <w:szCs w:val="24"/>
                <w:lang w:val="en-US"/>
              </w:rPr>
              <w:t>Howorth</w:t>
            </w:r>
            <w:proofErr w:type="spellEnd"/>
            <w:r w:rsidRPr="00514851">
              <w:rPr>
                <w:szCs w:val="24"/>
                <w:lang w:val="en-US"/>
              </w:rPr>
              <w:t xml:space="preserve">, J. (2014), </w:t>
            </w:r>
            <w:r w:rsidRPr="00514851">
              <w:rPr>
                <w:i/>
                <w:szCs w:val="24"/>
                <w:lang w:val="en-US"/>
              </w:rPr>
              <w:t xml:space="preserve">Security and </w:t>
            </w:r>
            <w:proofErr w:type="spellStart"/>
            <w:r w:rsidRPr="00514851">
              <w:rPr>
                <w:i/>
                <w:szCs w:val="24"/>
                <w:lang w:val="en-US"/>
              </w:rPr>
              <w:t>Defence</w:t>
            </w:r>
            <w:proofErr w:type="spellEnd"/>
            <w:r w:rsidRPr="00514851">
              <w:rPr>
                <w:i/>
                <w:szCs w:val="24"/>
                <w:lang w:val="en-US"/>
              </w:rPr>
              <w:t xml:space="preserve"> Policy in the European Union</w:t>
            </w:r>
            <w:r w:rsidRPr="00514851">
              <w:rPr>
                <w:szCs w:val="24"/>
                <w:lang w:val="en-US"/>
              </w:rPr>
              <w:t>, 2</w:t>
            </w:r>
            <w:r w:rsidRPr="00514851">
              <w:rPr>
                <w:szCs w:val="24"/>
                <w:vertAlign w:val="superscript"/>
                <w:lang w:val="en-US"/>
              </w:rPr>
              <w:t>nd</w:t>
            </w:r>
            <w:r w:rsidRPr="00514851">
              <w:rPr>
                <w:szCs w:val="24"/>
                <w:lang w:val="en-US"/>
              </w:rPr>
              <w:t xml:space="preserve"> edition (</w:t>
            </w:r>
            <w:r w:rsidR="00204AD7">
              <w:rPr>
                <w:szCs w:val="24"/>
                <w:lang w:val="en-US"/>
              </w:rPr>
              <w:t>London: Bloomsbury</w:t>
            </w:r>
            <w:r w:rsidRPr="00514851">
              <w:rPr>
                <w:szCs w:val="24"/>
                <w:lang w:val="en-US"/>
              </w:rPr>
              <w:t>).</w:t>
            </w:r>
          </w:p>
          <w:p w14:paraId="1130E8A0" w14:textId="05C6E5F4" w:rsidR="00CA1CBD" w:rsidRDefault="00CA1CBD" w:rsidP="000C58B9">
            <w:pPr>
              <w:numPr>
                <w:ilvl w:val="0"/>
                <w:numId w:val="11"/>
              </w:numPr>
              <w:rPr>
                <w:szCs w:val="24"/>
                <w:lang w:val="en-US"/>
              </w:rPr>
            </w:pPr>
            <w:proofErr w:type="spellStart"/>
            <w:r>
              <w:rPr>
                <w:szCs w:val="24"/>
                <w:lang w:val="en-US"/>
              </w:rPr>
              <w:t>Keukeleire</w:t>
            </w:r>
            <w:proofErr w:type="spellEnd"/>
            <w:r>
              <w:rPr>
                <w:szCs w:val="24"/>
                <w:lang w:val="en-US"/>
              </w:rPr>
              <w:t xml:space="preserve">, S. and </w:t>
            </w:r>
            <w:proofErr w:type="spellStart"/>
            <w:r>
              <w:rPr>
                <w:szCs w:val="24"/>
                <w:lang w:val="en-US"/>
              </w:rPr>
              <w:t>Delreux</w:t>
            </w:r>
            <w:proofErr w:type="spellEnd"/>
            <w:r>
              <w:rPr>
                <w:szCs w:val="24"/>
                <w:lang w:val="en-US"/>
              </w:rPr>
              <w:t xml:space="preserve">, T. (2022), </w:t>
            </w:r>
            <w:r w:rsidR="00204AD7">
              <w:rPr>
                <w:szCs w:val="24"/>
                <w:lang w:val="en-US"/>
              </w:rPr>
              <w:t>The Foreign Policy of the European Union, 3</w:t>
            </w:r>
            <w:r w:rsidR="00204AD7" w:rsidRPr="00204AD7">
              <w:rPr>
                <w:szCs w:val="24"/>
                <w:vertAlign w:val="superscript"/>
                <w:lang w:val="en-US"/>
              </w:rPr>
              <w:t>rd</w:t>
            </w:r>
            <w:r w:rsidR="00204AD7">
              <w:rPr>
                <w:szCs w:val="24"/>
                <w:lang w:val="en-US"/>
              </w:rPr>
              <w:t xml:space="preserve"> edition (New York: Bloomsbury).</w:t>
            </w:r>
          </w:p>
          <w:p w14:paraId="609B1AE4" w14:textId="329ECD26" w:rsidR="00A3290E" w:rsidRPr="00514851" w:rsidRDefault="00A3290E" w:rsidP="000C58B9">
            <w:pPr>
              <w:numPr>
                <w:ilvl w:val="0"/>
                <w:numId w:val="11"/>
              </w:numPr>
              <w:rPr>
                <w:szCs w:val="24"/>
                <w:lang w:val="en-US"/>
              </w:rPr>
            </w:pPr>
            <w:r w:rsidRPr="00514851">
              <w:rPr>
                <w:szCs w:val="24"/>
                <w:lang w:val="en-US"/>
              </w:rPr>
              <w:t xml:space="preserve">Siles-Brügge, G. (2014), </w:t>
            </w:r>
            <w:r w:rsidRPr="00514851">
              <w:rPr>
                <w:i/>
                <w:szCs w:val="24"/>
                <w:lang w:val="en-US"/>
              </w:rPr>
              <w:t>Constructing European Union Trade Policy: A Global Idea of Europe</w:t>
            </w:r>
            <w:r w:rsidRPr="00514851">
              <w:rPr>
                <w:szCs w:val="24"/>
                <w:lang w:val="en-US"/>
              </w:rPr>
              <w:t xml:space="preserve"> (Basingstoke: Palgrave Macmillan).</w:t>
            </w:r>
          </w:p>
          <w:p w14:paraId="3A704EB8" w14:textId="1EE1972C" w:rsidR="00133722" w:rsidRDefault="00133722" w:rsidP="000C58B9">
            <w:pPr>
              <w:numPr>
                <w:ilvl w:val="0"/>
                <w:numId w:val="11"/>
              </w:numPr>
              <w:rPr>
                <w:szCs w:val="24"/>
                <w:lang w:val="en-US"/>
              </w:rPr>
            </w:pPr>
            <w:r>
              <w:rPr>
                <w:szCs w:val="24"/>
                <w:lang w:val="en-US"/>
              </w:rPr>
              <w:t xml:space="preserve">Smith, M.E. (2017), </w:t>
            </w:r>
            <w:r w:rsidRPr="00133722">
              <w:rPr>
                <w:i/>
                <w:iCs/>
                <w:szCs w:val="24"/>
                <w:lang w:val="en-US"/>
              </w:rPr>
              <w:t xml:space="preserve">Europe’s Common Security and </w:t>
            </w:r>
            <w:proofErr w:type="spellStart"/>
            <w:r w:rsidRPr="00133722">
              <w:rPr>
                <w:i/>
                <w:iCs/>
                <w:szCs w:val="24"/>
                <w:lang w:val="en-US"/>
              </w:rPr>
              <w:t>Defence</w:t>
            </w:r>
            <w:proofErr w:type="spellEnd"/>
            <w:r w:rsidRPr="00133722">
              <w:rPr>
                <w:i/>
                <w:iCs/>
                <w:szCs w:val="24"/>
                <w:lang w:val="en-US"/>
              </w:rPr>
              <w:t xml:space="preserve"> Policy: Capacity-Building, Experiential Learning, and Institutional Change</w:t>
            </w:r>
            <w:r>
              <w:rPr>
                <w:szCs w:val="24"/>
                <w:lang w:val="en-US"/>
              </w:rPr>
              <w:t xml:space="preserve"> (Cambridge: Cambridge UP).</w:t>
            </w:r>
          </w:p>
          <w:p w14:paraId="73035405" w14:textId="188827EC" w:rsidR="009B6EFE" w:rsidRPr="00514851" w:rsidRDefault="00551D8F" w:rsidP="000C58B9">
            <w:pPr>
              <w:numPr>
                <w:ilvl w:val="0"/>
                <w:numId w:val="11"/>
              </w:numPr>
              <w:rPr>
                <w:szCs w:val="24"/>
                <w:lang w:val="en-US"/>
              </w:rPr>
            </w:pPr>
            <w:r w:rsidRPr="00514851">
              <w:rPr>
                <w:szCs w:val="24"/>
                <w:lang w:val="en-US"/>
              </w:rPr>
              <w:t xml:space="preserve">Spence, D. and </w:t>
            </w:r>
            <w:proofErr w:type="spellStart"/>
            <w:r w:rsidRPr="00514851">
              <w:rPr>
                <w:szCs w:val="24"/>
                <w:lang w:val="en-US"/>
              </w:rPr>
              <w:t>Bátora</w:t>
            </w:r>
            <w:proofErr w:type="spellEnd"/>
            <w:r w:rsidRPr="00514851">
              <w:rPr>
                <w:szCs w:val="24"/>
                <w:lang w:val="en-US"/>
              </w:rPr>
              <w:t xml:space="preserve">, J., eds. (2015), </w:t>
            </w:r>
            <w:r w:rsidRPr="00514851">
              <w:rPr>
                <w:i/>
                <w:szCs w:val="24"/>
                <w:lang w:val="en-US"/>
              </w:rPr>
              <w:t>The European External Action Service: European Diplomacy Post-Westphalia</w:t>
            </w:r>
            <w:r w:rsidRPr="00514851">
              <w:rPr>
                <w:szCs w:val="24"/>
                <w:lang w:val="en-US"/>
              </w:rPr>
              <w:t xml:space="preserve"> (Basingstoke: Palgrave Macmillan).</w:t>
            </w:r>
          </w:p>
          <w:p w14:paraId="38844784" w14:textId="67B1C5C6" w:rsidR="00133722" w:rsidRPr="00514851" w:rsidRDefault="00133722" w:rsidP="000C58B9">
            <w:pPr>
              <w:numPr>
                <w:ilvl w:val="0"/>
                <w:numId w:val="11"/>
              </w:numPr>
              <w:rPr>
                <w:szCs w:val="24"/>
                <w:lang w:val="en-US"/>
              </w:rPr>
            </w:pPr>
            <w:r>
              <w:rPr>
                <w:szCs w:val="24"/>
                <w:lang w:val="en-US"/>
              </w:rPr>
              <w:t xml:space="preserve">Young, A.R. (2017), </w:t>
            </w:r>
            <w:r w:rsidRPr="00133722">
              <w:rPr>
                <w:i/>
                <w:iCs/>
                <w:szCs w:val="24"/>
                <w:lang w:val="en-US"/>
              </w:rPr>
              <w:t>The New Politics of Trade: Lessons from TTIP</w:t>
            </w:r>
            <w:r>
              <w:rPr>
                <w:szCs w:val="24"/>
                <w:lang w:val="en-US"/>
              </w:rPr>
              <w:t xml:space="preserve"> (New York: Columbia UP).</w:t>
            </w:r>
          </w:p>
        </w:tc>
      </w:tr>
    </w:tbl>
    <w:p w14:paraId="76B83432" w14:textId="77777777" w:rsidR="001E0942" w:rsidRPr="003B057F" w:rsidRDefault="001E0942">
      <w:pPr>
        <w:rPr>
          <w:lang w:val="en-CA"/>
        </w:rPr>
      </w:pPr>
      <w:r w:rsidRPr="003B057F">
        <w:rPr>
          <w:lang w:val="en-CA"/>
        </w:rPr>
        <w:br w:type="page"/>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10"/>
        <w:gridCol w:w="7700"/>
      </w:tblGrid>
      <w:tr w:rsidR="003030EC" w:rsidRPr="00232B14" w14:paraId="36611F54" w14:textId="77777777" w:rsidTr="00436132">
        <w:tc>
          <w:tcPr>
            <w:tcW w:w="1710" w:type="dxa"/>
            <w:shd w:val="clear" w:color="auto" w:fill="auto"/>
          </w:tcPr>
          <w:p w14:paraId="4FD931EB" w14:textId="222814F1" w:rsidR="00D14BFB" w:rsidRPr="003030EC" w:rsidRDefault="00B90F3D" w:rsidP="003030EC">
            <w:pPr>
              <w:rPr>
                <w:lang w:val="en-US"/>
              </w:rPr>
            </w:pPr>
            <w:r>
              <w:rPr>
                <w:lang w:val="en-US"/>
              </w:rPr>
              <w:lastRenderedPageBreak/>
              <w:t>Assignment</w:t>
            </w:r>
          </w:p>
        </w:tc>
        <w:tc>
          <w:tcPr>
            <w:tcW w:w="7700" w:type="dxa"/>
            <w:shd w:val="clear" w:color="auto" w:fill="auto"/>
          </w:tcPr>
          <w:p w14:paraId="5711A9C7" w14:textId="4F8E757D" w:rsidR="00D14BFB" w:rsidRDefault="00D14BFB" w:rsidP="000C58B9">
            <w:pPr>
              <w:numPr>
                <w:ilvl w:val="0"/>
                <w:numId w:val="20"/>
              </w:numPr>
              <w:rPr>
                <w:lang w:val="en-US"/>
              </w:rPr>
            </w:pPr>
            <w:r w:rsidRPr="003030EC">
              <w:rPr>
                <w:lang w:val="en-US"/>
              </w:rPr>
              <w:t>Online quiz (short answer)</w:t>
            </w:r>
            <w:r w:rsidR="0086580D">
              <w:rPr>
                <w:lang w:val="en-US"/>
              </w:rPr>
              <w:t>, covering distinction between different fields of external policies</w:t>
            </w:r>
            <w:r w:rsidR="00D434CC">
              <w:rPr>
                <w:lang w:val="en-US"/>
              </w:rPr>
              <w:t xml:space="preserve"> of the EU</w:t>
            </w:r>
            <w:r w:rsidR="0086580D">
              <w:rPr>
                <w:lang w:val="en-US"/>
              </w:rPr>
              <w:t>, decision-making procedures (especially power balance between EU and member states), assessments of effectiveness of EU external relations</w:t>
            </w:r>
            <w:r w:rsidRPr="003030EC">
              <w:rPr>
                <w:lang w:val="en-US"/>
              </w:rPr>
              <w:t xml:space="preserve"> – </w:t>
            </w:r>
            <w:r w:rsidR="00B52B6B">
              <w:rPr>
                <w:highlight w:val="yellow"/>
                <w:lang w:val="en-US"/>
              </w:rPr>
              <w:t xml:space="preserve">Due </w:t>
            </w:r>
            <w:r w:rsidR="008F4ACF">
              <w:rPr>
                <w:highlight w:val="yellow"/>
                <w:lang w:val="en-US"/>
              </w:rPr>
              <w:t>July 1</w:t>
            </w:r>
            <w:r w:rsidR="00CB715C">
              <w:rPr>
                <w:highlight w:val="yellow"/>
                <w:lang w:val="en-US"/>
              </w:rPr>
              <w:t>8</w:t>
            </w:r>
            <w:r w:rsidRPr="003030EC">
              <w:rPr>
                <w:highlight w:val="yellow"/>
                <w:lang w:val="en-US"/>
              </w:rPr>
              <w:t>, 20</w:t>
            </w:r>
            <w:r w:rsidR="00C2286B">
              <w:rPr>
                <w:highlight w:val="yellow"/>
                <w:lang w:val="en-US"/>
              </w:rPr>
              <w:t>2</w:t>
            </w:r>
            <w:r w:rsidR="00CB715C" w:rsidRPr="00817EDD">
              <w:rPr>
                <w:highlight w:val="yellow"/>
                <w:lang w:val="en-US"/>
              </w:rPr>
              <w:t>2</w:t>
            </w:r>
          </w:p>
          <w:p w14:paraId="5A5CD4EB" w14:textId="144C3D74" w:rsidR="000F1375" w:rsidRPr="003030EC" w:rsidRDefault="000F1375" w:rsidP="000C58B9">
            <w:pPr>
              <w:numPr>
                <w:ilvl w:val="0"/>
                <w:numId w:val="20"/>
              </w:numPr>
              <w:rPr>
                <w:lang w:val="en-US"/>
              </w:rPr>
            </w:pPr>
            <w:r>
              <w:rPr>
                <w:lang w:val="en-US"/>
              </w:rPr>
              <w:t>Select topic for policy brief</w:t>
            </w:r>
            <w:r w:rsidR="00DA792D">
              <w:rPr>
                <w:lang w:val="en-US"/>
              </w:rPr>
              <w:t xml:space="preserve"> or</w:t>
            </w:r>
            <w:r>
              <w:rPr>
                <w:lang w:val="en-US"/>
              </w:rPr>
              <w:t xml:space="preserve"> discussion paper – </w:t>
            </w:r>
            <w:r w:rsidRPr="008D79B1">
              <w:rPr>
                <w:highlight w:val="yellow"/>
                <w:lang w:val="en-US"/>
              </w:rPr>
              <w:t>S</w:t>
            </w:r>
            <w:r>
              <w:rPr>
                <w:highlight w:val="yellow"/>
                <w:lang w:val="en-US"/>
              </w:rPr>
              <w:t>election must be made by July 1</w:t>
            </w:r>
            <w:r w:rsidR="00CB715C">
              <w:rPr>
                <w:highlight w:val="yellow"/>
                <w:lang w:val="en-US"/>
              </w:rPr>
              <w:t>8</w:t>
            </w:r>
            <w:r w:rsidRPr="008D79B1">
              <w:rPr>
                <w:highlight w:val="yellow"/>
                <w:lang w:val="en-US"/>
              </w:rPr>
              <w:t>, 20</w:t>
            </w:r>
            <w:r>
              <w:rPr>
                <w:highlight w:val="yellow"/>
                <w:lang w:val="en-US"/>
              </w:rPr>
              <w:t>2</w:t>
            </w:r>
            <w:r w:rsidR="00CB715C">
              <w:rPr>
                <w:highlight w:val="yellow"/>
                <w:lang w:val="en-US"/>
              </w:rPr>
              <w:t>2</w:t>
            </w:r>
          </w:p>
        </w:tc>
      </w:tr>
      <w:tr w:rsidR="00BD36AA" w:rsidRPr="00232B14" w14:paraId="3D22E983" w14:textId="77777777" w:rsidTr="00436132">
        <w:tc>
          <w:tcPr>
            <w:tcW w:w="9410" w:type="dxa"/>
            <w:gridSpan w:val="2"/>
            <w:shd w:val="clear" w:color="auto" w:fill="auto"/>
          </w:tcPr>
          <w:p w14:paraId="46FB98D4" w14:textId="65E4739D" w:rsidR="00BD36AA" w:rsidRPr="003030EC" w:rsidRDefault="00BD36AA" w:rsidP="0002466A">
            <w:pPr>
              <w:rPr>
                <w:lang w:val="en-US"/>
              </w:rPr>
            </w:pPr>
            <w:r w:rsidRPr="00BD36AA">
              <w:rPr>
                <w:lang w:val="en-US"/>
              </w:rPr>
              <w:t>Estimated time required to complete the module</w:t>
            </w:r>
            <w:r w:rsidR="0002466A">
              <w:rPr>
                <w:lang w:val="en-US"/>
              </w:rPr>
              <w:t>: 8 hours (</w:t>
            </w:r>
            <w:r w:rsidR="00E35A24">
              <w:rPr>
                <w:lang w:val="en-US"/>
              </w:rPr>
              <w:t>90 minutes lectures/videos</w:t>
            </w:r>
            <w:r w:rsidRPr="00BD36AA">
              <w:rPr>
                <w:lang w:val="en-US"/>
              </w:rPr>
              <w:t xml:space="preserve">, </w:t>
            </w:r>
            <w:r w:rsidR="00E35A24">
              <w:rPr>
                <w:lang w:val="en-US"/>
              </w:rPr>
              <w:t xml:space="preserve">30 minutes independent research, 240 minutes </w:t>
            </w:r>
            <w:r w:rsidRPr="00BD36AA">
              <w:rPr>
                <w:lang w:val="en-US"/>
              </w:rPr>
              <w:t>readings</w:t>
            </w:r>
            <w:r w:rsidR="00DA792D">
              <w:rPr>
                <w:lang w:val="en-US"/>
              </w:rPr>
              <w:t xml:space="preserve">, </w:t>
            </w:r>
            <w:r w:rsidR="00E35A24">
              <w:rPr>
                <w:lang w:val="en-US"/>
              </w:rPr>
              <w:t>120 minutes</w:t>
            </w:r>
            <w:r w:rsidR="00DA792D">
              <w:rPr>
                <w:lang w:val="en-US"/>
              </w:rPr>
              <w:t xml:space="preserve"> assignment</w:t>
            </w:r>
            <w:r w:rsidRPr="00BD36AA">
              <w:rPr>
                <w:lang w:val="en-US"/>
              </w:rPr>
              <w:t>)</w:t>
            </w:r>
          </w:p>
        </w:tc>
      </w:tr>
    </w:tbl>
    <w:p w14:paraId="7F652106" w14:textId="77777777" w:rsidR="00D14BFB" w:rsidRDefault="00D14BFB">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43"/>
        <w:gridCol w:w="7567"/>
      </w:tblGrid>
      <w:tr w:rsidR="003030EC" w:rsidRPr="00232B14" w14:paraId="4F718884" w14:textId="77777777" w:rsidTr="00CE1630">
        <w:tc>
          <w:tcPr>
            <w:tcW w:w="9410" w:type="dxa"/>
            <w:gridSpan w:val="2"/>
            <w:shd w:val="solid" w:color="000000" w:fill="FFFFFF"/>
          </w:tcPr>
          <w:p w14:paraId="65B0EC99" w14:textId="49E660FE" w:rsidR="00D14BFB" w:rsidRPr="003030EC" w:rsidRDefault="00D14BFB" w:rsidP="0022256D">
            <w:pPr>
              <w:rPr>
                <w:b/>
                <w:bCs/>
                <w:lang w:val="en-US"/>
              </w:rPr>
            </w:pPr>
            <w:r w:rsidRPr="003030EC">
              <w:rPr>
                <w:b/>
                <w:bCs/>
                <w:lang w:val="en-US"/>
              </w:rPr>
              <w:t xml:space="preserve">Module 3: </w:t>
            </w:r>
            <w:r w:rsidR="00761293" w:rsidRPr="003030EC">
              <w:rPr>
                <w:b/>
                <w:bCs/>
                <w:lang w:val="en-US"/>
              </w:rPr>
              <w:t>Canadian Foreign Policy</w:t>
            </w:r>
            <w:r w:rsidR="00245750">
              <w:rPr>
                <w:b/>
                <w:bCs/>
                <w:lang w:val="en-US"/>
              </w:rPr>
              <w:t xml:space="preserve"> (July 1</w:t>
            </w:r>
            <w:r w:rsidR="00CB715C">
              <w:rPr>
                <w:b/>
                <w:bCs/>
                <w:lang w:val="en-US"/>
              </w:rPr>
              <w:t>8</w:t>
            </w:r>
            <w:r w:rsidR="00245750">
              <w:rPr>
                <w:b/>
                <w:bCs/>
                <w:lang w:val="en-US"/>
              </w:rPr>
              <w:t>-2</w:t>
            </w:r>
            <w:r w:rsidR="00CB715C">
              <w:rPr>
                <w:b/>
                <w:bCs/>
                <w:lang w:val="en-US"/>
              </w:rPr>
              <w:t>5</w:t>
            </w:r>
            <w:r w:rsidR="00245750">
              <w:rPr>
                <w:b/>
                <w:bCs/>
                <w:lang w:val="en-US"/>
              </w:rPr>
              <w:t>, 20</w:t>
            </w:r>
            <w:r w:rsidR="00BB40BF">
              <w:rPr>
                <w:b/>
                <w:bCs/>
                <w:lang w:val="en-US"/>
              </w:rPr>
              <w:t>2</w:t>
            </w:r>
            <w:r w:rsidR="00CB715C">
              <w:rPr>
                <w:b/>
                <w:bCs/>
                <w:lang w:val="en-US"/>
              </w:rPr>
              <w:t>2</w:t>
            </w:r>
            <w:r w:rsidR="00245750">
              <w:rPr>
                <w:b/>
                <w:bCs/>
                <w:lang w:val="en-US"/>
              </w:rPr>
              <w:t>)</w:t>
            </w:r>
          </w:p>
        </w:tc>
      </w:tr>
      <w:tr w:rsidR="003030EC" w:rsidRPr="00232B14" w14:paraId="2E1A42F6" w14:textId="77777777" w:rsidTr="00CE1630">
        <w:tc>
          <w:tcPr>
            <w:tcW w:w="1843" w:type="dxa"/>
            <w:shd w:val="clear" w:color="auto" w:fill="auto"/>
          </w:tcPr>
          <w:p w14:paraId="518F0F1C" w14:textId="77777777" w:rsidR="00D14BFB" w:rsidRPr="003030EC" w:rsidRDefault="00F02E62" w:rsidP="003030EC">
            <w:pPr>
              <w:rPr>
                <w:lang w:val="en-US"/>
              </w:rPr>
            </w:pPr>
            <w:proofErr w:type="gramStart"/>
            <w:r>
              <w:rPr>
                <w:lang w:val="en-US"/>
              </w:rPr>
              <w:t>M</w:t>
            </w:r>
            <w:r w:rsidR="00D14BFB" w:rsidRPr="003030EC">
              <w:rPr>
                <w:lang w:val="en-US"/>
              </w:rPr>
              <w:t>ini-lecture</w:t>
            </w:r>
            <w:r>
              <w:rPr>
                <w:lang w:val="en-US"/>
              </w:rPr>
              <w:t>s</w:t>
            </w:r>
            <w:proofErr w:type="gramEnd"/>
          </w:p>
        </w:tc>
        <w:tc>
          <w:tcPr>
            <w:tcW w:w="7567" w:type="dxa"/>
            <w:shd w:val="clear" w:color="auto" w:fill="auto"/>
          </w:tcPr>
          <w:p w14:paraId="7843993C" w14:textId="2D3EF0D3" w:rsidR="00D14BFB" w:rsidRDefault="003741DE" w:rsidP="000C58B9">
            <w:pPr>
              <w:numPr>
                <w:ilvl w:val="0"/>
                <w:numId w:val="15"/>
              </w:numPr>
              <w:rPr>
                <w:lang w:val="en-US"/>
              </w:rPr>
            </w:pPr>
            <w:r>
              <w:rPr>
                <w:lang w:val="en-US"/>
              </w:rPr>
              <w:t xml:space="preserve">History and </w:t>
            </w:r>
            <w:r w:rsidR="00094FF4">
              <w:rPr>
                <w:lang w:val="en-US"/>
              </w:rPr>
              <w:t>i</w:t>
            </w:r>
            <w:r>
              <w:rPr>
                <w:lang w:val="en-US"/>
              </w:rPr>
              <w:t xml:space="preserve">nstitutions </w:t>
            </w:r>
            <w:r w:rsidR="003343E6">
              <w:rPr>
                <w:lang w:val="en-US"/>
              </w:rPr>
              <w:t xml:space="preserve">of Canadian </w:t>
            </w:r>
            <w:r w:rsidR="00094FF4">
              <w:rPr>
                <w:lang w:val="en-US"/>
              </w:rPr>
              <w:t>f</w:t>
            </w:r>
            <w:r w:rsidR="003343E6">
              <w:rPr>
                <w:lang w:val="en-US"/>
              </w:rPr>
              <w:t xml:space="preserve">oreign </w:t>
            </w:r>
            <w:r w:rsidR="00094FF4">
              <w:rPr>
                <w:lang w:val="en-US"/>
              </w:rPr>
              <w:t>p</w:t>
            </w:r>
            <w:r w:rsidR="003343E6">
              <w:rPr>
                <w:lang w:val="en-US"/>
              </w:rPr>
              <w:t xml:space="preserve">olicy </w:t>
            </w:r>
            <w:r w:rsidR="00094FF4">
              <w:rPr>
                <w:lang w:val="en-US"/>
              </w:rPr>
              <w:t>m</w:t>
            </w:r>
            <w:r w:rsidR="003343E6">
              <w:rPr>
                <w:lang w:val="en-US"/>
              </w:rPr>
              <w:t>aking</w:t>
            </w:r>
          </w:p>
          <w:p w14:paraId="2E81A98C" w14:textId="65CE2B1E" w:rsidR="003343E6" w:rsidRDefault="006246A6" w:rsidP="000C58B9">
            <w:pPr>
              <w:numPr>
                <w:ilvl w:val="0"/>
                <w:numId w:val="15"/>
              </w:numPr>
              <w:rPr>
                <w:lang w:val="en-US"/>
              </w:rPr>
            </w:pPr>
            <w:r>
              <w:rPr>
                <w:lang w:val="en-US"/>
              </w:rPr>
              <w:t xml:space="preserve">Dominant </w:t>
            </w:r>
            <w:r w:rsidR="00094FF4">
              <w:rPr>
                <w:lang w:val="en-US"/>
              </w:rPr>
              <w:t>i</w:t>
            </w:r>
            <w:r>
              <w:rPr>
                <w:lang w:val="en-US"/>
              </w:rPr>
              <w:t xml:space="preserve">deas </w:t>
            </w:r>
            <w:r w:rsidR="001917BF">
              <w:rPr>
                <w:lang w:val="en-US"/>
              </w:rPr>
              <w:t>in</w:t>
            </w:r>
            <w:r w:rsidR="003741DE">
              <w:rPr>
                <w:lang w:val="en-US"/>
              </w:rPr>
              <w:t xml:space="preserve"> </w:t>
            </w:r>
            <w:r w:rsidR="003343E6">
              <w:rPr>
                <w:lang w:val="en-US"/>
              </w:rPr>
              <w:t xml:space="preserve">Canadian </w:t>
            </w:r>
            <w:r w:rsidR="00094FF4">
              <w:rPr>
                <w:lang w:val="en-US"/>
              </w:rPr>
              <w:t>f</w:t>
            </w:r>
            <w:r w:rsidR="003343E6">
              <w:rPr>
                <w:lang w:val="en-US"/>
              </w:rPr>
              <w:t xml:space="preserve">oreign </w:t>
            </w:r>
            <w:r w:rsidR="00094FF4">
              <w:rPr>
                <w:lang w:val="en-US"/>
              </w:rPr>
              <w:t>p</w:t>
            </w:r>
            <w:r w:rsidR="003343E6">
              <w:rPr>
                <w:lang w:val="en-US"/>
              </w:rPr>
              <w:t>olicy</w:t>
            </w:r>
          </w:p>
          <w:p w14:paraId="545A7A7F" w14:textId="404470C7" w:rsidR="00903465" w:rsidRPr="003030EC" w:rsidRDefault="001638F8" w:rsidP="000C58B9">
            <w:pPr>
              <w:numPr>
                <w:ilvl w:val="0"/>
                <w:numId w:val="15"/>
              </w:numPr>
              <w:rPr>
                <w:lang w:val="en-US"/>
              </w:rPr>
            </w:pPr>
            <w:r>
              <w:rPr>
                <w:lang w:val="en-US"/>
              </w:rPr>
              <w:t>Foreign policy as a partisan issue</w:t>
            </w:r>
          </w:p>
        </w:tc>
      </w:tr>
      <w:tr w:rsidR="003030EC" w:rsidRPr="00232B14" w14:paraId="5746739A" w14:textId="77777777" w:rsidTr="005E4008">
        <w:trPr>
          <w:trHeight w:val="705"/>
        </w:trPr>
        <w:tc>
          <w:tcPr>
            <w:tcW w:w="1843" w:type="dxa"/>
            <w:shd w:val="clear" w:color="auto" w:fill="auto"/>
          </w:tcPr>
          <w:p w14:paraId="4087B5A1" w14:textId="77777777" w:rsidR="00D14BFB" w:rsidRPr="003030EC" w:rsidRDefault="00D14BFB" w:rsidP="003030EC">
            <w:pPr>
              <w:rPr>
                <w:lang w:val="en-US"/>
              </w:rPr>
            </w:pPr>
            <w:r w:rsidRPr="003030EC">
              <w:rPr>
                <w:lang w:val="en-US"/>
              </w:rPr>
              <w:t>Required readings</w:t>
            </w:r>
          </w:p>
        </w:tc>
        <w:tc>
          <w:tcPr>
            <w:tcW w:w="7567" w:type="dxa"/>
            <w:shd w:val="clear" w:color="auto" w:fill="auto"/>
          </w:tcPr>
          <w:p w14:paraId="314FA84C" w14:textId="6E88E40E" w:rsidR="00F02E62" w:rsidRDefault="00236790" w:rsidP="008A6C54">
            <w:pPr>
              <w:ind w:left="330" w:hanging="330"/>
              <w:rPr>
                <w:lang w:val="en-US"/>
              </w:rPr>
            </w:pPr>
            <w:r>
              <w:rPr>
                <w:lang w:val="en-US"/>
              </w:rPr>
              <w:t xml:space="preserve">History </w:t>
            </w:r>
            <w:r w:rsidR="005E4008">
              <w:rPr>
                <w:lang w:val="en-US"/>
              </w:rPr>
              <w:t xml:space="preserve">and institutions </w:t>
            </w:r>
            <w:r w:rsidR="0028073E">
              <w:rPr>
                <w:lang w:val="en-US"/>
              </w:rPr>
              <w:t xml:space="preserve">of Canadian </w:t>
            </w:r>
            <w:r w:rsidR="00094FF4">
              <w:rPr>
                <w:lang w:val="en-US"/>
              </w:rPr>
              <w:t>f</w:t>
            </w:r>
            <w:r w:rsidR="0028073E">
              <w:rPr>
                <w:lang w:val="en-US"/>
              </w:rPr>
              <w:t xml:space="preserve">oreign </w:t>
            </w:r>
            <w:r w:rsidR="00094FF4">
              <w:rPr>
                <w:lang w:val="en-US"/>
              </w:rPr>
              <w:t>p</w:t>
            </w:r>
            <w:r w:rsidR="0028073E">
              <w:rPr>
                <w:lang w:val="en-US"/>
              </w:rPr>
              <w:t xml:space="preserve">olicy </w:t>
            </w:r>
          </w:p>
          <w:p w14:paraId="57F83809" w14:textId="4C3FC711" w:rsidR="00EB22BB" w:rsidRDefault="00B75A96" w:rsidP="000C58B9">
            <w:pPr>
              <w:numPr>
                <w:ilvl w:val="0"/>
                <w:numId w:val="21"/>
              </w:numPr>
              <w:rPr>
                <w:lang w:val="en-US"/>
              </w:rPr>
            </w:pPr>
            <w:proofErr w:type="spellStart"/>
            <w:r w:rsidRPr="00B75A96">
              <w:rPr>
                <w:lang w:val="en-US"/>
              </w:rPr>
              <w:t>Dutil</w:t>
            </w:r>
            <w:proofErr w:type="spellEnd"/>
            <w:r w:rsidRPr="00B75A96">
              <w:rPr>
                <w:lang w:val="en-US"/>
              </w:rPr>
              <w:t xml:space="preserve">, </w:t>
            </w:r>
            <w:r>
              <w:rPr>
                <w:lang w:val="en-US"/>
              </w:rPr>
              <w:t xml:space="preserve">P. (2015), </w:t>
            </w:r>
            <w:r w:rsidRPr="00B75A96">
              <w:rPr>
                <w:lang w:val="en-US"/>
              </w:rPr>
              <w:t>“The Institutionalization of Foreign Affairs (1909-2</w:t>
            </w:r>
            <w:r>
              <w:rPr>
                <w:lang w:val="en-US"/>
              </w:rPr>
              <w:t>013)</w:t>
            </w:r>
            <w:r w:rsidRPr="00B75A96">
              <w:rPr>
                <w:lang w:val="en-US"/>
              </w:rPr>
              <w:t>”</w:t>
            </w:r>
            <w:r>
              <w:rPr>
                <w:lang w:val="en-US"/>
              </w:rPr>
              <w:t xml:space="preserve">, in D. Bratt </w:t>
            </w:r>
            <w:r w:rsidRPr="00B75A96">
              <w:rPr>
                <w:lang w:val="en-US"/>
              </w:rPr>
              <w:t xml:space="preserve">and </w:t>
            </w:r>
            <w:r>
              <w:rPr>
                <w:lang w:val="en-US"/>
              </w:rPr>
              <w:t xml:space="preserve">C. J. </w:t>
            </w:r>
            <w:proofErr w:type="spellStart"/>
            <w:r w:rsidRPr="00B75A96">
              <w:rPr>
                <w:lang w:val="en-US"/>
              </w:rPr>
              <w:t>Kukucha</w:t>
            </w:r>
            <w:proofErr w:type="spellEnd"/>
            <w:r w:rsidRPr="00B75A96">
              <w:rPr>
                <w:lang w:val="en-US"/>
              </w:rPr>
              <w:t xml:space="preserve">, </w:t>
            </w:r>
            <w:r>
              <w:rPr>
                <w:lang w:val="en-US"/>
              </w:rPr>
              <w:t>eds.</w:t>
            </w:r>
            <w:r w:rsidRPr="00B75A96">
              <w:rPr>
                <w:lang w:val="en-US"/>
              </w:rPr>
              <w:t xml:space="preserve">, </w:t>
            </w:r>
            <w:r w:rsidRPr="00B75A96">
              <w:rPr>
                <w:i/>
                <w:lang w:val="en-US"/>
              </w:rPr>
              <w:t>Readings in Canadian Foreign Policy: Classic Debates and New Ideas</w:t>
            </w:r>
            <w:r w:rsidRPr="00B75A96">
              <w:rPr>
                <w:lang w:val="en-US"/>
              </w:rPr>
              <w:t>, 3</w:t>
            </w:r>
            <w:r w:rsidRPr="00EC65C0">
              <w:rPr>
                <w:vertAlign w:val="superscript"/>
                <w:lang w:val="en-US"/>
              </w:rPr>
              <w:t>rd</w:t>
            </w:r>
            <w:r w:rsidR="00EC65C0">
              <w:rPr>
                <w:lang w:val="en-US"/>
              </w:rPr>
              <w:t xml:space="preserve"> </w:t>
            </w:r>
            <w:r w:rsidRPr="00B75A96">
              <w:rPr>
                <w:lang w:val="en-US"/>
              </w:rPr>
              <w:t>edition (Oxford: Oxford University Press)</w:t>
            </w:r>
            <w:r>
              <w:rPr>
                <w:lang w:val="en-US"/>
              </w:rPr>
              <w:t xml:space="preserve">, </w:t>
            </w:r>
            <w:r w:rsidRPr="00B75A96">
              <w:rPr>
                <w:lang w:val="en-US"/>
              </w:rPr>
              <w:t>239-258</w:t>
            </w:r>
            <w:r w:rsidR="0022256D">
              <w:rPr>
                <w:lang w:val="en-US"/>
              </w:rPr>
              <w:t>.</w:t>
            </w:r>
          </w:p>
          <w:p w14:paraId="688A9599" w14:textId="77777777" w:rsidR="00C00CB4" w:rsidRPr="00B52B6B" w:rsidRDefault="00C00CB4" w:rsidP="00C00CB4">
            <w:pPr>
              <w:rPr>
                <w:sz w:val="10"/>
                <w:szCs w:val="10"/>
                <w:lang w:val="en-US"/>
              </w:rPr>
            </w:pPr>
          </w:p>
          <w:p w14:paraId="2799F0BD" w14:textId="46A1B573" w:rsidR="008A6C54" w:rsidRDefault="005E4008" w:rsidP="004568F4">
            <w:pPr>
              <w:rPr>
                <w:lang w:val="en-US"/>
              </w:rPr>
            </w:pPr>
            <w:r>
              <w:rPr>
                <w:lang w:val="en-US"/>
              </w:rPr>
              <w:t>Dominant ideas in</w:t>
            </w:r>
            <w:r w:rsidR="00E800FE">
              <w:rPr>
                <w:lang w:val="en-US"/>
              </w:rPr>
              <w:t xml:space="preserve"> </w:t>
            </w:r>
            <w:r w:rsidR="001917BF">
              <w:rPr>
                <w:lang w:val="en-US"/>
              </w:rPr>
              <w:t xml:space="preserve">Canadian </w:t>
            </w:r>
            <w:r w:rsidR="00094FF4">
              <w:rPr>
                <w:lang w:val="en-US"/>
              </w:rPr>
              <w:t>f</w:t>
            </w:r>
            <w:r w:rsidR="001917BF">
              <w:rPr>
                <w:lang w:val="en-US"/>
              </w:rPr>
              <w:t xml:space="preserve">oreign </w:t>
            </w:r>
            <w:r w:rsidR="00094FF4">
              <w:rPr>
                <w:lang w:val="en-US"/>
              </w:rPr>
              <w:t>p</w:t>
            </w:r>
            <w:r w:rsidR="001917BF">
              <w:rPr>
                <w:lang w:val="en-US"/>
              </w:rPr>
              <w:t>olicy</w:t>
            </w:r>
          </w:p>
          <w:p w14:paraId="34FAA432" w14:textId="77777777" w:rsidR="005E4008" w:rsidRDefault="005E4008" w:rsidP="000C58B9">
            <w:pPr>
              <w:numPr>
                <w:ilvl w:val="0"/>
                <w:numId w:val="21"/>
              </w:numPr>
              <w:rPr>
                <w:lang w:val="en-US"/>
              </w:rPr>
            </w:pPr>
            <w:r>
              <w:rPr>
                <w:lang w:val="en-US"/>
              </w:rPr>
              <w:t>Massie, J. and Vucetic, S. (2020), “</w:t>
            </w:r>
            <w:r w:rsidRPr="006018B2">
              <w:rPr>
                <w:lang w:val="en-US"/>
              </w:rPr>
              <w:t>Canadian Strategic Cultures: From Confederation to Trump</w:t>
            </w:r>
            <w:r>
              <w:rPr>
                <w:lang w:val="en-US"/>
              </w:rPr>
              <w:t xml:space="preserve">”, in </w:t>
            </w:r>
            <w:r w:rsidRPr="006018B2">
              <w:rPr>
                <w:lang w:val="en-US"/>
              </w:rPr>
              <w:t>T</w:t>
            </w:r>
            <w:r>
              <w:rPr>
                <w:lang w:val="en-US"/>
              </w:rPr>
              <w:t>.</w:t>
            </w:r>
            <w:r w:rsidRPr="006018B2">
              <w:rPr>
                <w:lang w:val="en-US"/>
              </w:rPr>
              <w:t xml:space="preserve"> Juneau</w:t>
            </w:r>
            <w:r>
              <w:rPr>
                <w:lang w:val="en-US"/>
              </w:rPr>
              <w:t xml:space="preserve">, </w:t>
            </w:r>
            <w:r w:rsidRPr="006018B2">
              <w:rPr>
                <w:lang w:val="en-US"/>
              </w:rPr>
              <w:t>P</w:t>
            </w:r>
            <w:r>
              <w:rPr>
                <w:lang w:val="en-US"/>
              </w:rPr>
              <w:t>.</w:t>
            </w:r>
            <w:r w:rsidRPr="006018B2">
              <w:rPr>
                <w:lang w:val="en-US"/>
              </w:rPr>
              <w:t xml:space="preserve"> </w:t>
            </w:r>
            <w:proofErr w:type="spellStart"/>
            <w:r w:rsidRPr="006018B2">
              <w:rPr>
                <w:lang w:val="en-US"/>
              </w:rPr>
              <w:t>Lagassé</w:t>
            </w:r>
            <w:proofErr w:type="spellEnd"/>
            <w:r>
              <w:rPr>
                <w:lang w:val="en-US"/>
              </w:rPr>
              <w:t xml:space="preserve"> and </w:t>
            </w:r>
            <w:r w:rsidRPr="006018B2">
              <w:rPr>
                <w:lang w:val="en-US"/>
              </w:rPr>
              <w:t>S</w:t>
            </w:r>
            <w:r>
              <w:rPr>
                <w:lang w:val="en-US"/>
              </w:rPr>
              <w:t>.</w:t>
            </w:r>
            <w:r w:rsidRPr="006018B2">
              <w:rPr>
                <w:lang w:val="en-US"/>
              </w:rPr>
              <w:t xml:space="preserve"> Vucetic</w:t>
            </w:r>
            <w:r>
              <w:rPr>
                <w:lang w:val="en-US"/>
              </w:rPr>
              <w:t xml:space="preserve">, eds., </w:t>
            </w:r>
            <w:r w:rsidRPr="006018B2">
              <w:rPr>
                <w:i/>
                <w:iCs/>
                <w:lang w:val="en-US"/>
              </w:rPr>
              <w:t xml:space="preserve">Canadian </w:t>
            </w:r>
            <w:proofErr w:type="spellStart"/>
            <w:r w:rsidRPr="006018B2">
              <w:rPr>
                <w:i/>
                <w:iCs/>
                <w:lang w:val="en-US"/>
              </w:rPr>
              <w:t>Defence</w:t>
            </w:r>
            <w:proofErr w:type="spellEnd"/>
            <w:r w:rsidRPr="006018B2">
              <w:rPr>
                <w:i/>
                <w:iCs/>
                <w:lang w:val="en-US"/>
              </w:rPr>
              <w:t xml:space="preserve"> Policy in Theory and Practice</w:t>
            </w:r>
            <w:r>
              <w:rPr>
                <w:lang w:val="en-US"/>
              </w:rPr>
              <w:t xml:space="preserve"> (Basingstoke: Palgrave Macmillan), 29-44.</w:t>
            </w:r>
          </w:p>
          <w:p w14:paraId="0FF0C2A5" w14:textId="553AE78B" w:rsidR="005E4008" w:rsidRDefault="005E4008" w:rsidP="000C58B9">
            <w:pPr>
              <w:numPr>
                <w:ilvl w:val="0"/>
                <w:numId w:val="21"/>
              </w:numPr>
              <w:rPr>
                <w:lang w:val="en-US"/>
              </w:rPr>
            </w:pPr>
            <w:r w:rsidRPr="001B4E51">
              <w:rPr>
                <w:lang w:val="en-US"/>
              </w:rPr>
              <w:t>Keating, T. (2010)</w:t>
            </w:r>
            <w:r>
              <w:rPr>
                <w:lang w:val="en-US"/>
              </w:rPr>
              <w:t>,</w:t>
            </w:r>
            <w:r w:rsidRPr="001B4E51">
              <w:rPr>
                <w:lang w:val="en-US"/>
              </w:rPr>
              <w:t xml:space="preserve"> </w:t>
            </w:r>
            <w:r>
              <w:rPr>
                <w:lang w:val="en-US"/>
              </w:rPr>
              <w:t>“</w:t>
            </w:r>
            <w:r w:rsidRPr="001B4E51">
              <w:rPr>
                <w:lang w:val="en-US"/>
              </w:rPr>
              <w:t xml:space="preserve">Multilateralism: Past </w:t>
            </w:r>
            <w:r>
              <w:rPr>
                <w:lang w:val="en-US"/>
              </w:rPr>
              <w:t>I</w:t>
            </w:r>
            <w:r w:rsidRPr="001B4E51">
              <w:rPr>
                <w:lang w:val="en-US"/>
              </w:rPr>
              <w:t xml:space="preserve">mperfect, </w:t>
            </w:r>
            <w:r>
              <w:rPr>
                <w:lang w:val="en-US"/>
              </w:rPr>
              <w:t>F</w:t>
            </w:r>
            <w:r w:rsidRPr="001B4E51">
              <w:rPr>
                <w:lang w:val="en-US"/>
              </w:rPr>
              <w:t xml:space="preserve">uture </w:t>
            </w:r>
            <w:r>
              <w:rPr>
                <w:lang w:val="en-US"/>
              </w:rPr>
              <w:t>C</w:t>
            </w:r>
            <w:r w:rsidRPr="001B4E51">
              <w:rPr>
                <w:lang w:val="en-US"/>
              </w:rPr>
              <w:t>onditional</w:t>
            </w:r>
            <w:r>
              <w:rPr>
                <w:lang w:val="en-US"/>
              </w:rPr>
              <w:t>”,</w:t>
            </w:r>
            <w:r w:rsidRPr="001B4E51">
              <w:rPr>
                <w:lang w:val="en-US"/>
              </w:rPr>
              <w:t xml:space="preserve"> </w:t>
            </w:r>
            <w:r w:rsidRPr="001B4E51">
              <w:rPr>
                <w:i/>
                <w:iCs/>
                <w:lang w:val="en-US"/>
              </w:rPr>
              <w:t>Canadian Foreign Policy Journal</w:t>
            </w:r>
            <w:r w:rsidRPr="00D434CC">
              <w:rPr>
                <w:lang w:val="en-US"/>
              </w:rPr>
              <w:t xml:space="preserve"> </w:t>
            </w:r>
            <w:r w:rsidRPr="00D434CC">
              <w:rPr>
                <w:iCs/>
                <w:lang w:val="en-US"/>
              </w:rPr>
              <w:t>16</w:t>
            </w:r>
            <w:r w:rsidRPr="00D434CC">
              <w:rPr>
                <w:lang w:val="en-US"/>
              </w:rPr>
              <w:t>:2</w:t>
            </w:r>
            <w:r w:rsidRPr="001B4E51">
              <w:rPr>
                <w:lang w:val="en-US"/>
              </w:rPr>
              <w:t>, 9-25.</w:t>
            </w:r>
          </w:p>
          <w:p w14:paraId="4FD190DE" w14:textId="35AF7887" w:rsidR="005E4008" w:rsidRDefault="005E4008" w:rsidP="000C58B9">
            <w:pPr>
              <w:numPr>
                <w:ilvl w:val="0"/>
                <w:numId w:val="21"/>
              </w:numPr>
              <w:rPr>
                <w:lang w:val="en-US"/>
              </w:rPr>
            </w:pPr>
            <w:r>
              <w:rPr>
                <w:lang w:val="en-US"/>
              </w:rPr>
              <w:t xml:space="preserve">Smith, H. A. (2017), “Unlearning: A Messy and Complex Story with Canadian Foreign Policy”, </w:t>
            </w:r>
            <w:r w:rsidRPr="006018B2">
              <w:rPr>
                <w:i/>
                <w:iCs/>
                <w:lang w:val="en-US"/>
              </w:rPr>
              <w:t>International Journal</w:t>
            </w:r>
            <w:r>
              <w:rPr>
                <w:lang w:val="en-US"/>
              </w:rPr>
              <w:t xml:space="preserve"> 72:2, 203-216.</w:t>
            </w:r>
          </w:p>
          <w:p w14:paraId="5196DCBD" w14:textId="239F1D99" w:rsidR="005E4008" w:rsidRPr="005E4008" w:rsidRDefault="005E4008" w:rsidP="005E4008">
            <w:pPr>
              <w:rPr>
                <w:sz w:val="10"/>
                <w:szCs w:val="10"/>
                <w:lang w:val="en-US"/>
              </w:rPr>
            </w:pPr>
          </w:p>
          <w:p w14:paraId="2A3F2F61" w14:textId="4D51330A" w:rsidR="005E4008" w:rsidRDefault="001638F8" w:rsidP="0063788F">
            <w:pPr>
              <w:keepNext/>
              <w:rPr>
                <w:lang w:val="en-US"/>
              </w:rPr>
            </w:pPr>
            <w:r>
              <w:rPr>
                <w:lang w:val="en-US"/>
              </w:rPr>
              <w:t>Foreign policy as a partisan issue</w:t>
            </w:r>
          </w:p>
          <w:p w14:paraId="24BBE4D5" w14:textId="790B154C" w:rsidR="004D1546" w:rsidRPr="005E4008" w:rsidRDefault="00E800FE" w:rsidP="000C58B9">
            <w:pPr>
              <w:numPr>
                <w:ilvl w:val="0"/>
                <w:numId w:val="17"/>
              </w:numPr>
              <w:rPr>
                <w:lang w:val="en-US"/>
              </w:rPr>
            </w:pPr>
            <w:r w:rsidRPr="004D1546">
              <w:rPr>
                <w:szCs w:val="24"/>
                <w:lang w:val="en-CA" w:eastAsia="en-US"/>
              </w:rPr>
              <w:t>Hurrelmann, A., Mérand, F., and Wh</w:t>
            </w:r>
            <w:r>
              <w:rPr>
                <w:szCs w:val="24"/>
                <w:lang w:val="en-CA" w:eastAsia="en-US"/>
              </w:rPr>
              <w:t xml:space="preserve">ite, S. (2021), “Eurosphere or Anglosphere: Canadian Public Opinion on Brexit and the Future of Transatlantic Relations”, </w:t>
            </w:r>
            <w:r w:rsidRPr="004D1546">
              <w:rPr>
                <w:i/>
                <w:iCs/>
                <w:szCs w:val="24"/>
                <w:lang w:val="en-CA" w:eastAsia="en-US"/>
              </w:rPr>
              <w:t>Canadian Journal of Political Science</w:t>
            </w:r>
            <w:r>
              <w:rPr>
                <w:szCs w:val="24"/>
                <w:lang w:val="en-CA" w:eastAsia="en-US"/>
              </w:rPr>
              <w:t xml:space="preserve">, </w:t>
            </w:r>
            <w:r w:rsidR="00817EDD">
              <w:rPr>
                <w:szCs w:val="24"/>
                <w:lang w:val="en-CA" w:eastAsia="en-US"/>
              </w:rPr>
              <w:t>54:3, 571-592</w:t>
            </w:r>
            <w:r>
              <w:rPr>
                <w:szCs w:val="24"/>
                <w:lang w:val="en-CA" w:eastAsia="en-US"/>
              </w:rPr>
              <w:t>.</w:t>
            </w:r>
          </w:p>
        </w:tc>
      </w:tr>
      <w:tr w:rsidR="00B52B6B" w:rsidRPr="00232B14" w14:paraId="48C8652D" w14:textId="77777777" w:rsidTr="00CE1630">
        <w:tc>
          <w:tcPr>
            <w:tcW w:w="1843" w:type="dxa"/>
            <w:shd w:val="clear" w:color="auto" w:fill="auto"/>
          </w:tcPr>
          <w:p w14:paraId="44CDCBF0" w14:textId="77777777" w:rsidR="00B52B6B" w:rsidRDefault="00726CA8" w:rsidP="0095394C">
            <w:pPr>
              <w:rPr>
                <w:lang w:val="en-US"/>
              </w:rPr>
            </w:pPr>
            <w:r>
              <w:rPr>
                <w:lang w:val="en-CA"/>
              </w:rPr>
              <w:t>Books</w:t>
            </w:r>
            <w:r w:rsidR="00C96D74">
              <w:rPr>
                <w:lang w:val="en-US"/>
              </w:rPr>
              <w:t xml:space="preserve"> </w:t>
            </w:r>
            <w:r w:rsidR="00346492">
              <w:rPr>
                <w:lang w:val="en-US"/>
              </w:rPr>
              <w:t xml:space="preserve">for the debate </w:t>
            </w:r>
            <w:r w:rsidR="00346492" w:rsidRPr="00346492">
              <w:rPr>
                <w:lang w:val="en-CA"/>
              </w:rPr>
              <w:t>[</w:t>
            </w:r>
            <w:r w:rsidR="00B52B6B">
              <w:rPr>
                <w:highlight w:val="yellow"/>
                <w:lang w:val="en-US"/>
              </w:rPr>
              <w:t>one will be assigned to each student</w:t>
            </w:r>
            <w:r w:rsidR="00B52B6B" w:rsidRPr="00B61ABF">
              <w:rPr>
                <w:lang w:val="en-US"/>
              </w:rPr>
              <w:t>]</w:t>
            </w:r>
            <w:r w:rsidR="00B52B6B">
              <w:rPr>
                <w:lang w:val="en-US"/>
              </w:rPr>
              <w:t>:</w:t>
            </w:r>
          </w:p>
        </w:tc>
        <w:tc>
          <w:tcPr>
            <w:tcW w:w="7567" w:type="dxa"/>
            <w:shd w:val="clear" w:color="auto" w:fill="auto"/>
          </w:tcPr>
          <w:p w14:paraId="26158CBB" w14:textId="64D35BEB" w:rsidR="00B52B6B" w:rsidRPr="00BD415A" w:rsidRDefault="00B52B6B" w:rsidP="000C58B9">
            <w:pPr>
              <w:numPr>
                <w:ilvl w:val="0"/>
                <w:numId w:val="19"/>
              </w:numPr>
              <w:rPr>
                <w:lang w:val="en-US"/>
              </w:rPr>
            </w:pPr>
            <w:r w:rsidRPr="00BD415A">
              <w:rPr>
                <w:lang w:val="en-US"/>
              </w:rPr>
              <w:t>Burney, D. H. and Hampson, F. O. (20</w:t>
            </w:r>
            <w:r w:rsidR="00DB7BC4" w:rsidRPr="00BD415A">
              <w:rPr>
                <w:lang w:val="en-US"/>
              </w:rPr>
              <w:t>20</w:t>
            </w:r>
            <w:r w:rsidRPr="00BD415A">
              <w:rPr>
                <w:lang w:val="en-US"/>
              </w:rPr>
              <w:t xml:space="preserve">), </w:t>
            </w:r>
            <w:r w:rsidRPr="00BD415A">
              <w:rPr>
                <w:i/>
                <w:lang w:val="en-US"/>
              </w:rPr>
              <w:t>Brave</w:t>
            </w:r>
            <w:r w:rsidR="00DB7BC4" w:rsidRPr="00BD415A">
              <w:rPr>
                <w:i/>
                <w:lang w:val="en-US"/>
              </w:rPr>
              <w:t>r</w:t>
            </w:r>
            <w:r w:rsidRPr="00BD415A">
              <w:rPr>
                <w:i/>
                <w:lang w:val="en-US"/>
              </w:rPr>
              <w:t xml:space="preserve"> Canada: </w:t>
            </w:r>
            <w:r w:rsidR="00DB7BC4" w:rsidRPr="00BD415A">
              <w:rPr>
                <w:i/>
                <w:lang w:val="en-US"/>
              </w:rPr>
              <w:t>Shaping Our Destiny in a Precarious World</w:t>
            </w:r>
            <w:r w:rsidRPr="00BD415A">
              <w:rPr>
                <w:lang w:val="en-US"/>
              </w:rPr>
              <w:t xml:space="preserve"> (Montreal: McGill-Queen’s University Press). </w:t>
            </w:r>
          </w:p>
          <w:p w14:paraId="23C4B3E8" w14:textId="77777777" w:rsidR="00A67BFA" w:rsidRPr="00BD415A" w:rsidRDefault="00A67BFA" w:rsidP="000C58B9">
            <w:pPr>
              <w:numPr>
                <w:ilvl w:val="0"/>
                <w:numId w:val="19"/>
              </w:numPr>
              <w:rPr>
                <w:lang w:val="en-CA"/>
              </w:rPr>
            </w:pPr>
            <w:r w:rsidRPr="00BD415A">
              <w:rPr>
                <w:lang w:val="en-CA"/>
              </w:rPr>
              <w:t>Coulon, J. (201</w:t>
            </w:r>
            <w:r w:rsidR="00AD5543" w:rsidRPr="00BD415A">
              <w:rPr>
                <w:lang w:val="en-CA"/>
              </w:rPr>
              <w:t>9</w:t>
            </w:r>
            <w:r w:rsidRPr="00BD415A">
              <w:rPr>
                <w:lang w:val="en-CA"/>
              </w:rPr>
              <w:t xml:space="preserve">), </w:t>
            </w:r>
            <w:r w:rsidR="00AD5543" w:rsidRPr="00BD415A">
              <w:rPr>
                <w:i/>
                <w:lang w:val="en-CA"/>
              </w:rPr>
              <w:t xml:space="preserve">Canada is Not Back: How Justin Trudeau </w:t>
            </w:r>
            <w:r w:rsidR="00726CA8" w:rsidRPr="00BD415A">
              <w:rPr>
                <w:i/>
                <w:lang w:val="en-CA"/>
              </w:rPr>
              <w:t>i</w:t>
            </w:r>
            <w:r w:rsidR="00AD5543" w:rsidRPr="00BD415A">
              <w:rPr>
                <w:i/>
                <w:lang w:val="en-CA"/>
              </w:rPr>
              <w:t xml:space="preserve">s </w:t>
            </w:r>
            <w:r w:rsidR="00726CA8" w:rsidRPr="00BD415A">
              <w:rPr>
                <w:i/>
                <w:lang w:val="en-CA"/>
              </w:rPr>
              <w:t>i</w:t>
            </w:r>
            <w:r w:rsidR="00AD5543" w:rsidRPr="00BD415A">
              <w:rPr>
                <w:i/>
                <w:lang w:val="en-CA"/>
              </w:rPr>
              <w:t xml:space="preserve">n over </w:t>
            </w:r>
            <w:r w:rsidR="00726CA8" w:rsidRPr="00BD415A">
              <w:rPr>
                <w:i/>
                <w:lang w:val="en-CA"/>
              </w:rPr>
              <w:t>h</w:t>
            </w:r>
            <w:r w:rsidR="00AD5543" w:rsidRPr="00BD415A">
              <w:rPr>
                <w:i/>
                <w:lang w:val="en-CA"/>
              </w:rPr>
              <w:t xml:space="preserve">is </w:t>
            </w:r>
            <w:r w:rsidR="00726CA8" w:rsidRPr="00BD415A">
              <w:rPr>
                <w:i/>
                <w:lang w:val="en-CA"/>
              </w:rPr>
              <w:t>h</w:t>
            </w:r>
            <w:r w:rsidR="00AD5543" w:rsidRPr="00BD415A">
              <w:rPr>
                <w:i/>
                <w:lang w:val="en-CA"/>
              </w:rPr>
              <w:t xml:space="preserve">ead on </w:t>
            </w:r>
            <w:r w:rsidR="00726CA8" w:rsidRPr="00BD415A">
              <w:rPr>
                <w:i/>
                <w:lang w:val="en-CA"/>
              </w:rPr>
              <w:t>f</w:t>
            </w:r>
            <w:r w:rsidR="00AD5543" w:rsidRPr="00BD415A">
              <w:rPr>
                <w:i/>
                <w:lang w:val="en-CA"/>
              </w:rPr>
              <w:t xml:space="preserve">oreign </w:t>
            </w:r>
            <w:r w:rsidR="00726CA8" w:rsidRPr="00BD415A">
              <w:rPr>
                <w:i/>
                <w:lang w:val="en-CA"/>
              </w:rPr>
              <w:t>p</w:t>
            </w:r>
            <w:r w:rsidR="00AD5543" w:rsidRPr="00BD415A">
              <w:rPr>
                <w:i/>
                <w:lang w:val="en-CA"/>
              </w:rPr>
              <w:t xml:space="preserve">olicy </w:t>
            </w:r>
            <w:r w:rsidRPr="00BD415A">
              <w:rPr>
                <w:lang w:val="en-CA"/>
              </w:rPr>
              <w:t>(</w:t>
            </w:r>
            <w:r w:rsidR="00AD5543" w:rsidRPr="00BD415A">
              <w:rPr>
                <w:lang w:val="en-CA"/>
              </w:rPr>
              <w:t>Toronto: Lorimer Press</w:t>
            </w:r>
            <w:r w:rsidRPr="00BD415A">
              <w:rPr>
                <w:lang w:val="en-CA"/>
              </w:rPr>
              <w:t>).</w:t>
            </w:r>
          </w:p>
          <w:p w14:paraId="4C369A2E" w14:textId="77777777" w:rsidR="00B52B6B" w:rsidRPr="008952E8" w:rsidRDefault="00B52B6B" w:rsidP="000C58B9">
            <w:pPr>
              <w:numPr>
                <w:ilvl w:val="0"/>
                <w:numId w:val="19"/>
              </w:numPr>
              <w:rPr>
                <w:color w:val="000000"/>
                <w:lang w:val="en-US"/>
              </w:rPr>
            </w:pPr>
            <w:r w:rsidRPr="008952E8">
              <w:rPr>
                <w:color w:val="000000"/>
                <w:lang w:val="en-US"/>
              </w:rPr>
              <w:t xml:space="preserve">Clark, J. (2013), </w:t>
            </w:r>
            <w:r w:rsidRPr="008952E8">
              <w:rPr>
                <w:i/>
                <w:color w:val="000000"/>
                <w:lang w:val="en-US"/>
              </w:rPr>
              <w:t>How We Lead: Canada in a Century of Change</w:t>
            </w:r>
            <w:r w:rsidRPr="008952E8">
              <w:rPr>
                <w:color w:val="000000"/>
                <w:lang w:val="en-US"/>
              </w:rPr>
              <w:t xml:space="preserve"> (Toronto: Random House). </w:t>
            </w:r>
          </w:p>
          <w:p w14:paraId="65C5BAD0" w14:textId="77777777" w:rsidR="00B52B6B" w:rsidRPr="008952E8" w:rsidRDefault="00B52B6B" w:rsidP="000C58B9">
            <w:pPr>
              <w:numPr>
                <w:ilvl w:val="0"/>
                <w:numId w:val="19"/>
              </w:numPr>
              <w:rPr>
                <w:color w:val="000000"/>
                <w:lang w:val="en-US"/>
              </w:rPr>
            </w:pPr>
            <w:r w:rsidRPr="008952E8">
              <w:rPr>
                <w:color w:val="000000"/>
                <w:lang w:val="en-US"/>
              </w:rPr>
              <w:t xml:space="preserve">Hart, M. (2008), </w:t>
            </w:r>
            <w:r w:rsidRPr="008952E8">
              <w:rPr>
                <w:i/>
                <w:color w:val="000000"/>
                <w:lang w:val="en-US"/>
              </w:rPr>
              <w:t>From Pride to Influence: Towards a New Canadian Foreign Policy</w:t>
            </w:r>
            <w:r w:rsidRPr="008952E8">
              <w:rPr>
                <w:color w:val="000000"/>
                <w:lang w:val="en-US"/>
              </w:rPr>
              <w:t xml:space="preserve"> (Vancouver: UBC Press).</w:t>
            </w:r>
          </w:p>
          <w:p w14:paraId="52FF2DE8" w14:textId="77777777" w:rsidR="009C0131" w:rsidRPr="008952E8" w:rsidRDefault="009C0131" w:rsidP="000C58B9">
            <w:pPr>
              <w:numPr>
                <w:ilvl w:val="0"/>
                <w:numId w:val="19"/>
              </w:numPr>
              <w:rPr>
                <w:color w:val="000000"/>
                <w:lang w:val="en-US"/>
              </w:rPr>
            </w:pPr>
            <w:proofErr w:type="spellStart"/>
            <w:r w:rsidRPr="008952E8">
              <w:rPr>
                <w:color w:val="000000"/>
                <w:lang w:val="en-US"/>
              </w:rPr>
              <w:t>Heinbecker</w:t>
            </w:r>
            <w:proofErr w:type="spellEnd"/>
            <w:r w:rsidRPr="008952E8">
              <w:rPr>
                <w:color w:val="000000"/>
                <w:lang w:val="en-US"/>
              </w:rPr>
              <w:t xml:space="preserve">, P. (2011), </w:t>
            </w:r>
            <w:r w:rsidRPr="008952E8">
              <w:rPr>
                <w:i/>
                <w:color w:val="000000"/>
                <w:lang w:val="en-US"/>
              </w:rPr>
              <w:t>Getting Back in the Game: A Foreign Policy Playbook for Canada</w:t>
            </w:r>
            <w:r w:rsidRPr="008952E8">
              <w:rPr>
                <w:color w:val="000000"/>
                <w:lang w:val="en-US"/>
              </w:rPr>
              <w:t xml:space="preserve"> (Toronto: Dundurn).</w:t>
            </w:r>
          </w:p>
          <w:p w14:paraId="6D9CB12D" w14:textId="77777777" w:rsidR="00B52B6B" w:rsidRPr="00BD415A" w:rsidRDefault="00B52B6B" w:rsidP="000C58B9">
            <w:pPr>
              <w:numPr>
                <w:ilvl w:val="0"/>
                <w:numId w:val="19"/>
              </w:numPr>
              <w:rPr>
                <w:color w:val="000000"/>
                <w:lang w:val="en-US"/>
              </w:rPr>
            </w:pPr>
            <w:r w:rsidRPr="00BD415A">
              <w:rPr>
                <w:color w:val="000000"/>
                <w:lang w:val="en-US"/>
              </w:rPr>
              <w:t xml:space="preserve">Klassen, J. (2014), </w:t>
            </w:r>
            <w:r w:rsidRPr="00BD415A">
              <w:rPr>
                <w:i/>
                <w:color w:val="000000"/>
                <w:lang w:val="en-US"/>
              </w:rPr>
              <w:t>Joining Empire: The Political Economy of the New Canadian Foreign Policy</w:t>
            </w:r>
            <w:r w:rsidRPr="00BD415A">
              <w:rPr>
                <w:color w:val="000000"/>
                <w:lang w:val="en-US"/>
              </w:rPr>
              <w:t xml:space="preserve"> (Toronto: University of Toronto Press).</w:t>
            </w:r>
          </w:p>
          <w:p w14:paraId="6B8FA453" w14:textId="77777777" w:rsidR="00232B14" w:rsidRPr="00232B14" w:rsidRDefault="00BB07BB" w:rsidP="000C58B9">
            <w:pPr>
              <w:numPr>
                <w:ilvl w:val="0"/>
                <w:numId w:val="19"/>
              </w:numPr>
              <w:rPr>
                <w:iCs/>
                <w:lang w:val="en-US"/>
              </w:rPr>
            </w:pPr>
            <w:r w:rsidRPr="00BD415A">
              <w:rPr>
                <w:color w:val="000000"/>
                <w:lang w:val="en-US"/>
              </w:rPr>
              <w:lastRenderedPageBreak/>
              <w:t>Klein, N. (201</w:t>
            </w:r>
            <w:r w:rsidR="00232B14">
              <w:rPr>
                <w:color w:val="000000"/>
                <w:lang w:val="en-US"/>
              </w:rPr>
              <w:t>9</w:t>
            </w:r>
            <w:r w:rsidRPr="00BD415A">
              <w:rPr>
                <w:color w:val="000000"/>
                <w:lang w:val="en-US"/>
              </w:rPr>
              <w:t xml:space="preserve">), </w:t>
            </w:r>
            <w:r w:rsidR="00232B14" w:rsidRPr="00232B14">
              <w:rPr>
                <w:i/>
                <w:color w:val="000000"/>
                <w:lang w:val="en-US"/>
              </w:rPr>
              <w:t xml:space="preserve">On Fire: The Burning Case for a Green New Deal </w:t>
            </w:r>
            <w:r w:rsidR="00232B14" w:rsidRPr="00232B14">
              <w:rPr>
                <w:iCs/>
                <w:color w:val="000000"/>
                <w:lang w:val="en-US"/>
              </w:rPr>
              <w:t>(Toronto: Alfred A. Knopf Canada).</w:t>
            </w:r>
          </w:p>
          <w:p w14:paraId="2905C249" w14:textId="0CE2958B" w:rsidR="004C0B96" w:rsidRPr="00BD415A" w:rsidRDefault="00BC0D65" w:rsidP="000C58B9">
            <w:pPr>
              <w:numPr>
                <w:ilvl w:val="0"/>
                <w:numId w:val="19"/>
              </w:numPr>
              <w:rPr>
                <w:lang w:val="en-US"/>
              </w:rPr>
            </w:pPr>
            <w:r w:rsidRPr="00BD415A">
              <w:rPr>
                <w:lang w:val="en-US"/>
              </w:rPr>
              <w:t xml:space="preserve">Lightfoot, S. (2016), </w:t>
            </w:r>
            <w:r w:rsidRPr="00BD415A">
              <w:rPr>
                <w:i/>
                <w:lang w:val="en-US"/>
              </w:rPr>
              <w:t>Global Indigenous Politics: A Subtle Revolution</w:t>
            </w:r>
            <w:r w:rsidRPr="00BD415A">
              <w:rPr>
                <w:lang w:val="en-US"/>
              </w:rPr>
              <w:t xml:space="preserve"> (London: Routledge).</w:t>
            </w:r>
          </w:p>
          <w:p w14:paraId="5CFB2E1A" w14:textId="77777777" w:rsidR="00B52B6B" w:rsidRPr="00BD415A" w:rsidRDefault="00B52B6B" w:rsidP="000C58B9">
            <w:pPr>
              <w:numPr>
                <w:ilvl w:val="0"/>
                <w:numId w:val="19"/>
              </w:numPr>
              <w:rPr>
                <w:lang w:val="en-US"/>
              </w:rPr>
            </w:pPr>
            <w:r w:rsidRPr="00BD415A">
              <w:rPr>
                <w:color w:val="000000"/>
                <w:lang w:val="en-US"/>
              </w:rPr>
              <w:t xml:space="preserve">Rempel, R. (2006), </w:t>
            </w:r>
            <w:r w:rsidRPr="00BD415A">
              <w:rPr>
                <w:i/>
                <w:color w:val="000000"/>
                <w:lang w:val="en-US"/>
              </w:rPr>
              <w:t>Dreamland: How Canada’s</w:t>
            </w:r>
            <w:r w:rsidRPr="00BD415A">
              <w:rPr>
                <w:i/>
                <w:lang w:val="en-US"/>
              </w:rPr>
              <w:t xml:space="preserve"> Pretend Foreign Policy Has Undermined Sovereignty</w:t>
            </w:r>
            <w:r w:rsidRPr="00BD415A">
              <w:rPr>
                <w:lang w:val="en-US"/>
              </w:rPr>
              <w:t xml:space="preserve"> (Montreal: McGill-Queen’s University Press).</w:t>
            </w:r>
          </w:p>
          <w:p w14:paraId="35884B95" w14:textId="7595DFCE" w:rsidR="00BD415A" w:rsidRPr="00BD415A" w:rsidRDefault="00877067" w:rsidP="00BD415A">
            <w:pPr>
              <w:numPr>
                <w:ilvl w:val="0"/>
                <w:numId w:val="19"/>
              </w:numPr>
              <w:rPr>
                <w:lang w:val="en-US"/>
              </w:rPr>
            </w:pPr>
            <w:r w:rsidRPr="00BD415A">
              <w:rPr>
                <w:lang w:val="en-US"/>
              </w:rPr>
              <w:t xml:space="preserve">Shipley, T. R. (2020), </w:t>
            </w:r>
            <w:r w:rsidRPr="00BD415A">
              <w:rPr>
                <w:i/>
                <w:iCs/>
                <w:lang w:val="en-US"/>
              </w:rPr>
              <w:t xml:space="preserve">Canada in the World: Settler Capitalism and the </w:t>
            </w:r>
            <w:r w:rsidR="000C4491" w:rsidRPr="00BD415A">
              <w:rPr>
                <w:i/>
                <w:iCs/>
                <w:lang w:val="en-US"/>
              </w:rPr>
              <w:t>Colonial</w:t>
            </w:r>
            <w:r w:rsidRPr="00BD415A">
              <w:rPr>
                <w:i/>
                <w:iCs/>
                <w:lang w:val="en-US"/>
              </w:rPr>
              <w:t xml:space="preserve"> Imagination</w:t>
            </w:r>
            <w:r w:rsidRPr="00BD415A">
              <w:rPr>
                <w:lang w:val="en-US"/>
              </w:rPr>
              <w:t xml:space="preserve"> (</w:t>
            </w:r>
            <w:r w:rsidR="000C4491" w:rsidRPr="00BD415A">
              <w:rPr>
                <w:lang w:val="en-US"/>
              </w:rPr>
              <w:t>Halifax</w:t>
            </w:r>
            <w:r w:rsidRPr="00BD415A">
              <w:rPr>
                <w:lang w:val="en-US"/>
              </w:rPr>
              <w:t>/Winnipeg: Fernwood Publishing).</w:t>
            </w:r>
          </w:p>
        </w:tc>
      </w:tr>
      <w:tr w:rsidR="00AF0781" w:rsidRPr="00232B14" w14:paraId="01078E66" w14:textId="77777777" w:rsidTr="00CE1630">
        <w:tc>
          <w:tcPr>
            <w:tcW w:w="1843" w:type="dxa"/>
            <w:shd w:val="clear" w:color="auto" w:fill="auto"/>
          </w:tcPr>
          <w:p w14:paraId="4ADE4537" w14:textId="77777777" w:rsidR="00AF0781" w:rsidRPr="003030EC" w:rsidRDefault="0095394C" w:rsidP="0095394C">
            <w:pPr>
              <w:rPr>
                <w:lang w:val="en-US"/>
              </w:rPr>
            </w:pPr>
            <w:r>
              <w:rPr>
                <w:lang w:val="en-US"/>
              </w:rPr>
              <w:lastRenderedPageBreak/>
              <w:t>Supplementary literature</w:t>
            </w:r>
          </w:p>
        </w:tc>
        <w:tc>
          <w:tcPr>
            <w:tcW w:w="7567" w:type="dxa"/>
            <w:shd w:val="clear" w:color="auto" w:fill="auto"/>
          </w:tcPr>
          <w:p w14:paraId="6BF61FE7" w14:textId="6237A4AD" w:rsidR="005C617F" w:rsidRPr="005C617F" w:rsidRDefault="005C617F" w:rsidP="000C58B9">
            <w:pPr>
              <w:numPr>
                <w:ilvl w:val="0"/>
                <w:numId w:val="19"/>
              </w:numPr>
              <w:rPr>
                <w:lang w:val="en-US"/>
              </w:rPr>
            </w:pPr>
            <w:proofErr w:type="spellStart"/>
            <w:r w:rsidRPr="005C617F">
              <w:rPr>
                <w:lang w:val="en-US"/>
              </w:rPr>
              <w:t>Beier</w:t>
            </w:r>
            <w:proofErr w:type="spellEnd"/>
            <w:r w:rsidRPr="005C617F">
              <w:rPr>
                <w:lang w:val="en-US"/>
              </w:rPr>
              <w:t>, J. M. and Wylie, L., eds.</w:t>
            </w:r>
            <w:r>
              <w:rPr>
                <w:lang w:val="en-US"/>
              </w:rPr>
              <w:t xml:space="preserve"> (2010)</w:t>
            </w:r>
            <w:r w:rsidRPr="005C617F">
              <w:rPr>
                <w:lang w:val="en-US"/>
              </w:rPr>
              <w:t xml:space="preserve">, </w:t>
            </w:r>
            <w:r w:rsidRPr="005C617F">
              <w:rPr>
                <w:i/>
                <w:iCs/>
                <w:lang w:val="en-US"/>
              </w:rPr>
              <w:t>Canadian Foreign Policy in Critical Perspective</w:t>
            </w:r>
            <w:r w:rsidRPr="005C617F">
              <w:rPr>
                <w:lang w:val="en-US"/>
              </w:rPr>
              <w:t xml:space="preserve"> (</w:t>
            </w:r>
            <w:r>
              <w:rPr>
                <w:lang w:val="en-US"/>
              </w:rPr>
              <w:t>Oxford</w:t>
            </w:r>
            <w:r w:rsidRPr="005C617F">
              <w:rPr>
                <w:lang w:val="en-US"/>
              </w:rPr>
              <w:t>: Oxford</w:t>
            </w:r>
            <w:r>
              <w:rPr>
                <w:lang w:val="en-US"/>
              </w:rPr>
              <w:t xml:space="preserve"> University Press</w:t>
            </w:r>
            <w:r w:rsidRPr="005C617F">
              <w:rPr>
                <w:lang w:val="en-US"/>
              </w:rPr>
              <w:t>)</w:t>
            </w:r>
            <w:r>
              <w:rPr>
                <w:lang w:val="en-US"/>
              </w:rPr>
              <w:t>.</w:t>
            </w:r>
          </w:p>
          <w:p w14:paraId="4CE065E2" w14:textId="5E4D1DA3" w:rsidR="006D14C6" w:rsidRPr="006D14C6" w:rsidRDefault="006D14C6" w:rsidP="000C58B9">
            <w:pPr>
              <w:numPr>
                <w:ilvl w:val="0"/>
                <w:numId w:val="19"/>
              </w:numPr>
              <w:rPr>
                <w:lang w:val="en-US"/>
              </w:rPr>
            </w:pPr>
            <w:r w:rsidRPr="006D14C6">
              <w:rPr>
                <w:lang w:val="en-US"/>
              </w:rPr>
              <w:t xml:space="preserve">Bow, B. and Lane, A., eds. (2020), </w:t>
            </w:r>
            <w:r w:rsidRPr="006D14C6">
              <w:rPr>
                <w:i/>
                <w:iCs/>
                <w:lang w:val="en-US"/>
              </w:rPr>
              <w:t>Canadian Foreign Policy: Reflections on a Field in Transition</w:t>
            </w:r>
            <w:r>
              <w:rPr>
                <w:lang w:val="en-US"/>
              </w:rPr>
              <w:t xml:space="preserve"> (Vancouver: UBC Press).</w:t>
            </w:r>
          </w:p>
          <w:p w14:paraId="4C122EF7" w14:textId="0C2A4687" w:rsidR="00680C2D" w:rsidRDefault="00680C2D" w:rsidP="000C58B9">
            <w:pPr>
              <w:numPr>
                <w:ilvl w:val="0"/>
                <w:numId w:val="19"/>
              </w:numPr>
              <w:rPr>
                <w:lang w:val="en-US"/>
              </w:rPr>
            </w:pPr>
            <w:proofErr w:type="spellStart"/>
            <w:r w:rsidRPr="00680C2D">
              <w:rPr>
                <w:lang w:val="en-US"/>
              </w:rPr>
              <w:t>Chapnick</w:t>
            </w:r>
            <w:proofErr w:type="spellEnd"/>
            <w:r>
              <w:rPr>
                <w:lang w:val="en-US"/>
              </w:rPr>
              <w:t xml:space="preserve">, A. and </w:t>
            </w:r>
            <w:proofErr w:type="spellStart"/>
            <w:r w:rsidRPr="00680C2D">
              <w:rPr>
                <w:lang w:val="en-US"/>
              </w:rPr>
              <w:t>Kukucha</w:t>
            </w:r>
            <w:proofErr w:type="spellEnd"/>
            <w:r>
              <w:rPr>
                <w:lang w:val="en-US"/>
              </w:rPr>
              <w:t xml:space="preserve">, C. J., eds. (2016), </w:t>
            </w:r>
            <w:r w:rsidRPr="00680C2D">
              <w:rPr>
                <w:i/>
                <w:lang w:val="en-US"/>
              </w:rPr>
              <w:t>The Harper Era in Canadian Foreign Policy: Parliament, Politics, and Canada's Global Posture</w:t>
            </w:r>
            <w:r>
              <w:rPr>
                <w:lang w:val="en-US"/>
              </w:rPr>
              <w:t xml:space="preserve"> (Vancouver: UBC Press).</w:t>
            </w:r>
          </w:p>
          <w:p w14:paraId="59758ECA" w14:textId="77777777" w:rsidR="003832C2" w:rsidRDefault="0073604D" w:rsidP="000C58B9">
            <w:pPr>
              <w:numPr>
                <w:ilvl w:val="0"/>
                <w:numId w:val="19"/>
              </w:numPr>
              <w:rPr>
                <w:lang w:val="en-US"/>
              </w:rPr>
            </w:pPr>
            <w:r>
              <w:rPr>
                <w:lang w:val="en-US"/>
              </w:rPr>
              <w:t xml:space="preserve">Bratt, D. and </w:t>
            </w:r>
            <w:proofErr w:type="spellStart"/>
            <w:r>
              <w:rPr>
                <w:lang w:val="en-US"/>
              </w:rPr>
              <w:t>Kukucha</w:t>
            </w:r>
            <w:proofErr w:type="spellEnd"/>
            <w:r>
              <w:rPr>
                <w:lang w:val="en-US"/>
              </w:rPr>
              <w:t xml:space="preserve">, C. J. (2015), </w:t>
            </w:r>
            <w:r w:rsidRPr="0073604D">
              <w:rPr>
                <w:i/>
                <w:lang w:val="en-US"/>
              </w:rPr>
              <w:t>Readings in Canadian Foreign Policy: Classic Debates and New Ideas</w:t>
            </w:r>
            <w:r>
              <w:rPr>
                <w:lang w:val="en-US"/>
              </w:rPr>
              <w:t>, 3</w:t>
            </w:r>
            <w:r w:rsidRPr="0073604D">
              <w:rPr>
                <w:vertAlign w:val="superscript"/>
                <w:lang w:val="en-US"/>
              </w:rPr>
              <w:t>rd</w:t>
            </w:r>
            <w:r>
              <w:rPr>
                <w:lang w:val="en-US"/>
              </w:rPr>
              <w:t xml:space="preserve"> edition (Oxford: Oxford University Press).</w:t>
            </w:r>
          </w:p>
          <w:p w14:paraId="0DF3C868" w14:textId="77777777" w:rsidR="00136A23" w:rsidRDefault="00136A23" w:rsidP="000C58B9">
            <w:pPr>
              <w:numPr>
                <w:ilvl w:val="0"/>
                <w:numId w:val="19"/>
              </w:numPr>
              <w:rPr>
                <w:lang w:val="en-US"/>
              </w:rPr>
            </w:pPr>
            <w:r w:rsidRPr="00136A23">
              <w:rPr>
                <w:lang w:val="en-US"/>
              </w:rPr>
              <w:t xml:space="preserve">Donaghy, G. and Carroll, M. K., eds. (2011), </w:t>
            </w:r>
            <w:r w:rsidRPr="00136A23">
              <w:rPr>
                <w:i/>
                <w:lang w:val="en-US"/>
              </w:rPr>
              <w:t>In the National Interest: Canadian Foreign Policy and the Department of Foreign Affairs and International Trade, 1909-2009</w:t>
            </w:r>
            <w:r>
              <w:rPr>
                <w:lang w:val="en-US"/>
              </w:rPr>
              <w:t xml:space="preserve"> (</w:t>
            </w:r>
            <w:r w:rsidRPr="00136A23">
              <w:rPr>
                <w:lang w:val="en-US"/>
              </w:rPr>
              <w:t>Calga</w:t>
            </w:r>
            <w:r>
              <w:rPr>
                <w:lang w:val="en-US"/>
              </w:rPr>
              <w:t>ry: University of Calgary Press).</w:t>
            </w:r>
          </w:p>
          <w:p w14:paraId="57CF819F" w14:textId="77777777" w:rsidR="00680C2D" w:rsidRPr="003832C2" w:rsidRDefault="00680C2D" w:rsidP="000C58B9">
            <w:pPr>
              <w:numPr>
                <w:ilvl w:val="0"/>
                <w:numId w:val="19"/>
              </w:numPr>
              <w:rPr>
                <w:lang w:val="en-US"/>
              </w:rPr>
            </w:pPr>
            <w:proofErr w:type="spellStart"/>
            <w:r>
              <w:rPr>
                <w:lang w:val="en-US"/>
              </w:rPr>
              <w:t>Hillmer</w:t>
            </w:r>
            <w:proofErr w:type="spellEnd"/>
            <w:r>
              <w:rPr>
                <w:lang w:val="en-US"/>
              </w:rPr>
              <w:t xml:space="preserve">, N. and </w:t>
            </w:r>
            <w:proofErr w:type="spellStart"/>
            <w:r>
              <w:rPr>
                <w:lang w:val="en-US"/>
              </w:rPr>
              <w:t>Lagassé</w:t>
            </w:r>
            <w:proofErr w:type="spellEnd"/>
            <w:r>
              <w:rPr>
                <w:lang w:val="en-US"/>
              </w:rPr>
              <w:t xml:space="preserve">, P., eds. (2018), </w:t>
            </w:r>
            <w:r w:rsidRPr="00680C2D">
              <w:rPr>
                <w:i/>
                <w:lang w:val="en-US"/>
              </w:rPr>
              <w:t>Justin Trudeau and Canadian Foreign Policy</w:t>
            </w:r>
            <w:r>
              <w:rPr>
                <w:lang w:val="en-US"/>
              </w:rPr>
              <w:t xml:space="preserve"> (Basingstoke: Palgrave Macmillan).</w:t>
            </w:r>
          </w:p>
          <w:p w14:paraId="333B325B" w14:textId="2CBF9D40" w:rsidR="007379D3" w:rsidRPr="006D14C6" w:rsidRDefault="00136A23" w:rsidP="000C58B9">
            <w:pPr>
              <w:numPr>
                <w:ilvl w:val="0"/>
                <w:numId w:val="19"/>
              </w:numPr>
              <w:rPr>
                <w:lang w:val="en-US"/>
              </w:rPr>
            </w:pPr>
            <w:r w:rsidRPr="00136A23">
              <w:rPr>
                <w:lang w:val="en-US"/>
              </w:rPr>
              <w:t>Keating, T. (20</w:t>
            </w:r>
            <w:r>
              <w:rPr>
                <w:lang w:val="en-US"/>
              </w:rPr>
              <w:t>1</w:t>
            </w:r>
            <w:r w:rsidRPr="00136A23">
              <w:rPr>
                <w:lang w:val="en-US"/>
              </w:rPr>
              <w:t xml:space="preserve">2), </w:t>
            </w:r>
            <w:r w:rsidRPr="00136A23">
              <w:rPr>
                <w:i/>
                <w:lang w:val="en-US"/>
              </w:rPr>
              <w:t>Canada and World Order:</w:t>
            </w:r>
            <w:r w:rsidRPr="00136A23">
              <w:rPr>
                <w:lang w:val="en-US"/>
              </w:rPr>
              <w:t xml:space="preserve"> </w:t>
            </w:r>
            <w:r w:rsidRPr="00136A23">
              <w:rPr>
                <w:i/>
                <w:lang w:val="en-US"/>
              </w:rPr>
              <w:t>The Multilateralist Tradition in Canadian Foreign Policy</w:t>
            </w:r>
            <w:r w:rsidRPr="00136A23">
              <w:rPr>
                <w:lang w:val="en-US"/>
              </w:rPr>
              <w:t xml:space="preserve">, </w:t>
            </w:r>
            <w:r>
              <w:rPr>
                <w:lang w:val="en-US"/>
              </w:rPr>
              <w:t>3</w:t>
            </w:r>
            <w:r w:rsidRPr="00136A23">
              <w:rPr>
                <w:vertAlign w:val="superscript"/>
                <w:lang w:val="en-US"/>
              </w:rPr>
              <w:t>rd</w:t>
            </w:r>
            <w:r>
              <w:rPr>
                <w:lang w:val="en-US"/>
              </w:rPr>
              <w:t xml:space="preserve"> </w:t>
            </w:r>
            <w:r w:rsidRPr="00136A23">
              <w:rPr>
                <w:lang w:val="en-US"/>
              </w:rPr>
              <w:t>edition</w:t>
            </w:r>
            <w:r>
              <w:rPr>
                <w:lang w:val="en-US"/>
              </w:rPr>
              <w:t xml:space="preserve"> (Oxford: Oxford University Press)</w:t>
            </w:r>
            <w:r w:rsidRPr="00136A23">
              <w:rPr>
                <w:lang w:val="en-US"/>
              </w:rPr>
              <w:t>.</w:t>
            </w:r>
          </w:p>
        </w:tc>
      </w:tr>
      <w:tr w:rsidR="003030EC" w:rsidRPr="00232B14" w14:paraId="76CEC749" w14:textId="77777777" w:rsidTr="00CE1630">
        <w:tc>
          <w:tcPr>
            <w:tcW w:w="1843" w:type="dxa"/>
            <w:shd w:val="clear" w:color="auto" w:fill="auto"/>
          </w:tcPr>
          <w:p w14:paraId="19EEA185" w14:textId="77777777" w:rsidR="00D14BFB" w:rsidRPr="003030EC" w:rsidRDefault="00B90F3D" w:rsidP="003030EC">
            <w:pPr>
              <w:rPr>
                <w:lang w:val="en-US"/>
              </w:rPr>
            </w:pPr>
            <w:r>
              <w:rPr>
                <w:lang w:val="en-US"/>
              </w:rPr>
              <w:t>Assignment</w:t>
            </w:r>
          </w:p>
        </w:tc>
        <w:tc>
          <w:tcPr>
            <w:tcW w:w="7567" w:type="dxa"/>
            <w:shd w:val="clear" w:color="auto" w:fill="auto"/>
          </w:tcPr>
          <w:p w14:paraId="72B72336" w14:textId="1C6C3044" w:rsidR="00D14BFB" w:rsidRPr="003030EC" w:rsidRDefault="008A6C54" w:rsidP="008F4ACF">
            <w:pPr>
              <w:rPr>
                <w:lang w:val="en-US"/>
              </w:rPr>
            </w:pPr>
            <w:r>
              <w:rPr>
                <w:lang w:val="en-US"/>
              </w:rPr>
              <w:t>Contribution to online debate</w:t>
            </w:r>
            <w:r w:rsidR="00A908A1">
              <w:rPr>
                <w:lang w:val="en-US"/>
              </w:rPr>
              <w:t xml:space="preserve"> (open </w:t>
            </w:r>
            <w:r w:rsidR="008F4ACF">
              <w:rPr>
                <w:lang w:val="en-US"/>
              </w:rPr>
              <w:t xml:space="preserve">July </w:t>
            </w:r>
            <w:r w:rsidR="006018B2">
              <w:rPr>
                <w:lang w:val="en-US"/>
              </w:rPr>
              <w:t>1</w:t>
            </w:r>
            <w:r w:rsidR="00CB715C">
              <w:rPr>
                <w:lang w:val="en-US"/>
              </w:rPr>
              <w:t>8</w:t>
            </w:r>
            <w:r w:rsidR="008F4ACF">
              <w:rPr>
                <w:lang w:val="en-US"/>
              </w:rPr>
              <w:t>-2</w:t>
            </w:r>
            <w:r w:rsidR="00CB715C">
              <w:rPr>
                <w:lang w:val="en-US"/>
              </w:rPr>
              <w:t>5</w:t>
            </w:r>
            <w:r w:rsidR="00AF66C3">
              <w:rPr>
                <w:lang w:val="en-US"/>
              </w:rPr>
              <w:t>)</w:t>
            </w:r>
            <w:r w:rsidR="0086580D">
              <w:rPr>
                <w:lang w:val="en-US"/>
              </w:rPr>
              <w:t>, discussing future of Canadian foreign policy based on general-audience books listed above</w:t>
            </w:r>
            <w:r w:rsidR="00D14BFB" w:rsidRPr="003030EC">
              <w:rPr>
                <w:lang w:val="en-US"/>
              </w:rPr>
              <w:t xml:space="preserve"> – </w:t>
            </w:r>
            <w:r w:rsidR="004654B0">
              <w:rPr>
                <w:highlight w:val="yellow"/>
                <w:lang w:val="en-US"/>
              </w:rPr>
              <w:t>Two</w:t>
            </w:r>
            <w:r w:rsidR="00521527" w:rsidRPr="00521527">
              <w:rPr>
                <w:highlight w:val="yellow"/>
                <w:lang w:val="en-US"/>
              </w:rPr>
              <w:t xml:space="preserve"> </w:t>
            </w:r>
            <w:r w:rsidR="00521527" w:rsidRPr="00AF66C3">
              <w:rPr>
                <w:highlight w:val="yellow"/>
                <w:lang w:val="en-US"/>
              </w:rPr>
              <w:t>contribution</w:t>
            </w:r>
            <w:r w:rsidR="004654B0">
              <w:rPr>
                <w:highlight w:val="yellow"/>
                <w:lang w:val="en-US"/>
              </w:rPr>
              <w:t>s</w:t>
            </w:r>
            <w:r w:rsidR="00A908A1">
              <w:rPr>
                <w:highlight w:val="yellow"/>
                <w:lang w:val="en-US"/>
              </w:rPr>
              <w:t xml:space="preserve"> due by </w:t>
            </w:r>
            <w:r w:rsidR="008F4ACF">
              <w:rPr>
                <w:highlight w:val="yellow"/>
                <w:lang w:val="en-US"/>
              </w:rPr>
              <w:t>July 2</w:t>
            </w:r>
            <w:r w:rsidR="00CB715C">
              <w:rPr>
                <w:highlight w:val="yellow"/>
                <w:lang w:val="en-US"/>
              </w:rPr>
              <w:t>1</w:t>
            </w:r>
            <w:r w:rsidR="00521527" w:rsidRPr="00AF66C3">
              <w:rPr>
                <w:highlight w:val="yellow"/>
                <w:lang w:val="en-US"/>
              </w:rPr>
              <w:t xml:space="preserve">; </w:t>
            </w:r>
            <w:r w:rsidR="004654B0">
              <w:rPr>
                <w:highlight w:val="yellow"/>
                <w:lang w:val="en-US"/>
              </w:rPr>
              <w:t>three</w:t>
            </w:r>
            <w:r w:rsidR="00521527" w:rsidRPr="00AF66C3">
              <w:rPr>
                <w:highlight w:val="yellow"/>
                <w:lang w:val="en-US"/>
              </w:rPr>
              <w:t xml:space="preserve"> more by </w:t>
            </w:r>
            <w:r w:rsidR="008F4ACF">
              <w:rPr>
                <w:highlight w:val="yellow"/>
                <w:lang w:val="en-US"/>
              </w:rPr>
              <w:t>July 2</w:t>
            </w:r>
            <w:r w:rsidR="00CB715C">
              <w:rPr>
                <w:highlight w:val="yellow"/>
                <w:lang w:val="en-US"/>
              </w:rPr>
              <w:t>5</w:t>
            </w:r>
            <w:r w:rsidR="00D14BFB" w:rsidRPr="00AF66C3">
              <w:rPr>
                <w:highlight w:val="yellow"/>
                <w:lang w:val="en-US"/>
              </w:rPr>
              <w:t>, 20</w:t>
            </w:r>
            <w:r w:rsidR="006018B2">
              <w:rPr>
                <w:highlight w:val="yellow"/>
                <w:lang w:val="en-US"/>
              </w:rPr>
              <w:t>2</w:t>
            </w:r>
            <w:r w:rsidR="00CB715C">
              <w:rPr>
                <w:highlight w:val="yellow"/>
                <w:lang w:val="en-US"/>
              </w:rPr>
              <w:t>2</w:t>
            </w:r>
          </w:p>
        </w:tc>
      </w:tr>
      <w:tr w:rsidR="0002466A" w:rsidRPr="00232B14" w14:paraId="6AF3B7A0" w14:textId="77777777" w:rsidTr="00CE1630">
        <w:tc>
          <w:tcPr>
            <w:tcW w:w="9410" w:type="dxa"/>
            <w:gridSpan w:val="2"/>
            <w:shd w:val="clear" w:color="auto" w:fill="auto"/>
          </w:tcPr>
          <w:p w14:paraId="75C03D11" w14:textId="2F00E3D8" w:rsidR="0002466A" w:rsidRDefault="0002466A" w:rsidP="002046D2">
            <w:pPr>
              <w:rPr>
                <w:lang w:val="en-US"/>
              </w:rPr>
            </w:pPr>
            <w:r w:rsidRPr="0002466A">
              <w:rPr>
                <w:lang w:val="en-US"/>
              </w:rPr>
              <w:t xml:space="preserve">Estimated time required to complete the module: </w:t>
            </w:r>
            <w:r>
              <w:rPr>
                <w:lang w:val="en-US"/>
              </w:rPr>
              <w:t>1</w:t>
            </w:r>
            <w:r w:rsidR="00BA17E8">
              <w:rPr>
                <w:lang w:val="en-US"/>
              </w:rPr>
              <w:t>2</w:t>
            </w:r>
            <w:r w:rsidRPr="0002466A">
              <w:rPr>
                <w:lang w:val="en-US"/>
              </w:rPr>
              <w:t xml:space="preserve"> hours (</w:t>
            </w:r>
            <w:r w:rsidR="00BA17E8">
              <w:rPr>
                <w:lang w:val="en-US"/>
              </w:rPr>
              <w:t>1</w:t>
            </w:r>
            <w:r w:rsidRPr="0002466A">
              <w:rPr>
                <w:lang w:val="en-US"/>
              </w:rPr>
              <w:t xml:space="preserve"> hour teaching/activities</w:t>
            </w:r>
            <w:r>
              <w:rPr>
                <w:lang w:val="en-US"/>
              </w:rPr>
              <w:t>;</w:t>
            </w:r>
            <w:r w:rsidRPr="0002466A">
              <w:rPr>
                <w:lang w:val="en-US"/>
              </w:rPr>
              <w:t xml:space="preserve"> </w:t>
            </w:r>
            <w:r w:rsidR="00BA17E8">
              <w:rPr>
                <w:lang w:val="en-US"/>
              </w:rPr>
              <w:t>4</w:t>
            </w:r>
            <w:r w:rsidRPr="0002466A">
              <w:rPr>
                <w:lang w:val="en-US"/>
              </w:rPr>
              <w:t xml:space="preserve"> hours required readings</w:t>
            </w:r>
            <w:r w:rsidR="00BA17E8">
              <w:rPr>
                <w:lang w:val="en-US"/>
              </w:rPr>
              <w:t xml:space="preserve">; 7 hours online debate, </w:t>
            </w:r>
            <w:proofErr w:type="gramStart"/>
            <w:r w:rsidR="00BA17E8">
              <w:rPr>
                <w:lang w:val="en-US"/>
              </w:rPr>
              <w:t>preparation</w:t>
            </w:r>
            <w:proofErr w:type="gramEnd"/>
            <w:r w:rsidR="00BA17E8">
              <w:rPr>
                <w:lang w:val="en-US"/>
              </w:rPr>
              <w:t xml:space="preserve"> and participation</w:t>
            </w:r>
            <w:r w:rsidRPr="0002466A">
              <w:rPr>
                <w:lang w:val="en-US"/>
              </w:rPr>
              <w:t>)</w:t>
            </w:r>
            <w:r>
              <w:rPr>
                <w:lang w:val="en-US"/>
              </w:rPr>
              <w:t xml:space="preserve">. </w:t>
            </w:r>
          </w:p>
        </w:tc>
      </w:tr>
    </w:tbl>
    <w:p w14:paraId="22D8581B" w14:textId="77777777" w:rsidR="005605CC" w:rsidRDefault="005605CC">
      <w:pPr>
        <w:rPr>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14"/>
        <w:gridCol w:w="8"/>
        <w:gridCol w:w="7588"/>
      </w:tblGrid>
      <w:tr w:rsidR="003030EC" w:rsidRPr="00232B14" w14:paraId="2ED13E57" w14:textId="77777777" w:rsidTr="0042586A">
        <w:tc>
          <w:tcPr>
            <w:tcW w:w="9410" w:type="dxa"/>
            <w:gridSpan w:val="3"/>
            <w:shd w:val="solid" w:color="000000" w:fill="FFFFFF"/>
          </w:tcPr>
          <w:p w14:paraId="60B8DBB3" w14:textId="139F5006" w:rsidR="00761293" w:rsidRPr="003030EC" w:rsidRDefault="00761293" w:rsidP="0047517D">
            <w:pPr>
              <w:rPr>
                <w:b/>
                <w:bCs/>
                <w:lang w:val="en-US"/>
              </w:rPr>
            </w:pPr>
            <w:r w:rsidRPr="003030EC">
              <w:rPr>
                <w:b/>
                <w:bCs/>
                <w:lang w:val="en-US"/>
              </w:rPr>
              <w:t>Module 4: C</w:t>
            </w:r>
            <w:r w:rsidR="0047517D">
              <w:rPr>
                <w:b/>
                <w:bCs/>
                <w:lang w:val="en-US"/>
              </w:rPr>
              <w:t>anada and the EU as Global Actors</w:t>
            </w:r>
            <w:r w:rsidR="00245750">
              <w:rPr>
                <w:b/>
                <w:bCs/>
                <w:lang w:val="en-US"/>
              </w:rPr>
              <w:t xml:space="preserve"> (July 2</w:t>
            </w:r>
            <w:r w:rsidR="00CB715C">
              <w:rPr>
                <w:b/>
                <w:bCs/>
                <w:lang w:val="en-US"/>
              </w:rPr>
              <w:t>5</w:t>
            </w:r>
            <w:r w:rsidR="00245750">
              <w:rPr>
                <w:b/>
                <w:bCs/>
                <w:lang w:val="en-US"/>
              </w:rPr>
              <w:t>-</w:t>
            </w:r>
            <w:r w:rsidR="00E15744">
              <w:rPr>
                <w:b/>
                <w:bCs/>
                <w:lang w:val="en-US"/>
              </w:rPr>
              <w:t xml:space="preserve">August </w:t>
            </w:r>
            <w:r w:rsidR="00CB715C">
              <w:rPr>
                <w:b/>
                <w:bCs/>
                <w:lang w:val="en-US"/>
              </w:rPr>
              <w:t>1</w:t>
            </w:r>
            <w:r w:rsidR="00245750">
              <w:rPr>
                <w:b/>
                <w:bCs/>
                <w:lang w:val="en-US"/>
              </w:rPr>
              <w:t>, 20</w:t>
            </w:r>
            <w:r w:rsidR="00BB40BF">
              <w:rPr>
                <w:b/>
                <w:bCs/>
                <w:lang w:val="en-US"/>
              </w:rPr>
              <w:t>2</w:t>
            </w:r>
            <w:r w:rsidR="00CB715C">
              <w:rPr>
                <w:b/>
                <w:bCs/>
                <w:lang w:val="en-US"/>
              </w:rPr>
              <w:t>2</w:t>
            </w:r>
            <w:r w:rsidR="00245750">
              <w:rPr>
                <w:b/>
                <w:bCs/>
                <w:lang w:val="en-US"/>
              </w:rPr>
              <w:t>)</w:t>
            </w:r>
          </w:p>
        </w:tc>
      </w:tr>
      <w:tr w:rsidR="003030EC" w:rsidRPr="00232B14" w14:paraId="1DB8441F" w14:textId="77777777" w:rsidTr="0042586A">
        <w:tc>
          <w:tcPr>
            <w:tcW w:w="1822" w:type="dxa"/>
            <w:gridSpan w:val="2"/>
            <w:shd w:val="clear" w:color="auto" w:fill="auto"/>
          </w:tcPr>
          <w:p w14:paraId="2C51610E" w14:textId="77777777" w:rsidR="00761293" w:rsidRPr="003030EC" w:rsidRDefault="003343E6" w:rsidP="003030EC">
            <w:pPr>
              <w:rPr>
                <w:lang w:val="en-US"/>
              </w:rPr>
            </w:pPr>
            <w:proofErr w:type="gramStart"/>
            <w:r>
              <w:rPr>
                <w:lang w:val="en-US"/>
              </w:rPr>
              <w:t>M</w:t>
            </w:r>
            <w:r w:rsidR="00761293" w:rsidRPr="003030EC">
              <w:rPr>
                <w:lang w:val="en-US"/>
              </w:rPr>
              <w:t>ini-lecture</w:t>
            </w:r>
            <w:r>
              <w:rPr>
                <w:lang w:val="en-US"/>
              </w:rPr>
              <w:t>s</w:t>
            </w:r>
            <w:proofErr w:type="gramEnd"/>
          </w:p>
        </w:tc>
        <w:tc>
          <w:tcPr>
            <w:tcW w:w="7588" w:type="dxa"/>
            <w:shd w:val="clear" w:color="auto" w:fill="auto"/>
          </w:tcPr>
          <w:p w14:paraId="49051A92" w14:textId="40FAC8C0" w:rsidR="00761293" w:rsidRDefault="00DB4A05" w:rsidP="000C58B9">
            <w:pPr>
              <w:numPr>
                <w:ilvl w:val="0"/>
                <w:numId w:val="16"/>
              </w:numPr>
              <w:rPr>
                <w:lang w:val="en-US"/>
              </w:rPr>
            </w:pPr>
            <w:r>
              <w:rPr>
                <w:lang w:val="en-US"/>
              </w:rPr>
              <w:t>Canada: “</w:t>
            </w:r>
            <w:r w:rsidR="00B46714">
              <w:rPr>
                <w:lang w:val="en-US"/>
              </w:rPr>
              <w:t>M</w:t>
            </w:r>
            <w:r>
              <w:rPr>
                <w:lang w:val="en-US"/>
              </w:rPr>
              <w:t xml:space="preserve">iddle </w:t>
            </w:r>
            <w:r w:rsidR="00094FF4">
              <w:rPr>
                <w:lang w:val="en-US"/>
              </w:rPr>
              <w:t>p</w:t>
            </w:r>
            <w:r>
              <w:rPr>
                <w:lang w:val="en-US"/>
              </w:rPr>
              <w:t xml:space="preserve">ower” – </w:t>
            </w:r>
            <w:r w:rsidR="00B46714">
              <w:rPr>
                <w:lang w:val="en-US"/>
              </w:rPr>
              <w:t xml:space="preserve">“satellite” – </w:t>
            </w:r>
            <w:r>
              <w:rPr>
                <w:lang w:val="en-US"/>
              </w:rPr>
              <w:t>“</w:t>
            </w:r>
            <w:r w:rsidR="00094FF4">
              <w:rPr>
                <w:lang w:val="en-US"/>
              </w:rPr>
              <w:t>p</w:t>
            </w:r>
            <w:r>
              <w:rPr>
                <w:lang w:val="en-US"/>
              </w:rPr>
              <w:t xml:space="preserve">rincipal </w:t>
            </w:r>
            <w:r w:rsidR="00094FF4">
              <w:rPr>
                <w:lang w:val="en-US"/>
              </w:rPr>
              <w:t>p</w:t>
            </w:r>
            <w:r w:rsidR="00CB715C">
              <w:rPr>
                <w:lang w:val="en-US"/>
              </w:rPr>
              <w:t>o</w:t>
            </w:r>
            <w:r>
              <w:rPr>
                <w:lang w:val="en-US"/>
              </w:rPr>
              <w:t>wer”?</w:t>
            </w:r>
          </w:p>
          <w:p w14:paraId="63D92DA0" w14:textId="79CE109A" w:rsidR="003343E6" w:rsidRPr="003030EC" w:rsidRDefault="003343E6" w:rsidP="000C58B9">
            <w:pPr>
              <w:numPr>
                <w:ilvl w:val="0"/>
                <w:numId w:val="16"/>
              </w:numPr>
              <w:rPr>
                <w:lang w:val="en-US"/>
              </w:rPr>
            </w:pPr>
            <w:r>
              <w:rPr>
                <w:lang w:val="en-US"/>
              </w:rPr>
              <w:t xml:space="preserve">What </w:t>
            </w:r>
            <w:r w:rsidR="00094FF4">
              <w:rPr>
                <w:lang w:val="en-US"/>
              </w:rPr>
              <w:t>k</w:t>
            </w:r>
            <w:r>
              <w:rPr>
                <w:lang w:val="en-US"/>
              </w:rPr>
              <w:t xml:space="preserve">ind of </w:t>
            </w:r>
            <w:r w:rsidR="00094FF4">
              <w:rPr>
                <w:lang w:val="en-US"/>
              </w:rPr>
              <w:t>p</w:t>
            </w:r>
            <w:r>
              <w:rPr>
                <w:lang w:val="en-US"/>
              </w:rPr>
              <w:t>ower is the EU?</w:t>
            </w:r>
          </w:p>
        </w:tc>
      </w:tr>
      <w:tr w:rsidR="003030EC" w:rsidRPr="00232B14" w14:paraId="3C1AEF5D" w14:textId="77777777" w:rsidTr="0042586A">
        <w:tc>
          <w:tcPr>
            <w:tcW w:w="1822" w:type="dxa"/>
            <w:gridSpan w:val="2"/>
            <w:shd w:val="clear" w:color="auto" w:fill="auto"/>
          </w:tcPr>
          <w:p w14:paraId="411A0971" w14:textId="77777777" w:rsidR="00761293" w:rsidRPr="003030EC" w:rsidRDefault="00761293" w:rsidP="003030EC">
            <w:pPr>
              <w:rPr>
                <w:lang w:val="en-US"/>
              </w:rPr>
            </w:pPr>
            <w:r w:rsidRPr="003030EC">
              <w:rPr>
                <w:lang w:val="en-US"/>
              </w:rPr>
              <w:t>Required readings</w:t>
            </w:r>
          </w:p>
        </w:tc>
        <w:tc>
          <w:tcPr>
            <w:tcW w:w="7588" w:type="dxa"/>
            <w:shd w:val="clear" w:color="auto" w:fill="auto"/>
          </w:tcPr>
          <w:p w14:paraId="1EE90606" w14:textId="1FC429FA" w:rsidR="007E6B58" w:rsidRDefault="00814AEE" w:rsidP="00DE28A7">
            <w:pPr>
              <w:rPr>
                <w:lang w:val="en-US"/>
              </w:rPr>
            </w:pPr>
            <w:r>
              <w:rPr>
                <w:lang w:val="en-US"/>
              </w:rPr>
              <w:t>Canada: “Satellite”</w:t>
            </w:r>
            <w:r w:rsidR="00DB4A05">
              <w:rPr>
                <w:lang w:val="en-US"/>
              </w:rPr>
              <w:t xml:space="preserve"> – </w:t>
            </w:r>
            <w:r w:rsidR="003343E6">
              <w:rPr>
                <w:lang w:val="en-US"/>
              </w:rPr>
              <w:t>“</w:t>
            </w:r>
            <w:r w:rsidR="00094FF4">
              <w:rPr>
                <w:lang w:val="en-US"/>
              </w:rPr>
              <w:t>m</w:t>
            </w:r>
            <w:r w:rsidR="003343E6">
              <w:rPr>
                <w:lang w:val="en-US"/>
              </w:rPr>
              <w:t xml:space="preserve">iddle </w:t>
            </w:r>
            <w:r w:rsidR="00094FF4">
              <w:rPr>
                <w:lang w:val="en-US"/>
              </w:rPr>
              <w:t>p</w:t>
            </w:r>
            <w:r w:rsidR="003343E6">
              <w:rPr>
                <w:lang w:val="en-US"/>
              </w:rPr>
              <w:t>ower”</w:t>
            </w:r>
            <w:r w:rsidR="00DB4A05">
              <w:rPr>
                <w:lang w:val="en-US"/>
              </w:rPr>
              <w:t xml:space="preserve"> – </w:t>
            </w:r>
            <w:r>
              <w:rPr>
                <w:lang w:val="en-US"/>
              </w:rPr>
              <w:t>“</w:t>
            </w:r>
            <w:r w:rsidR="00094FF4">
              <w:rPr>
                <w:lang w:val="en-US"/>
              </w:rPr>
              <w:t>p</w:t>
            </w:r>
            <w:r>
              <w:rPr>
                <w:lang w:val="en-US"/>
              </w:rPr>
              <w:t xml:space="preserve">rincipal </w:t>
            </w:r>
            <w:r w:rsidR="00094FF4">
              <w:rPr>
                <w:lang w:val="en-US"/>
              </w:rPr>
              <w:t>p</w:t>
            </w:r>
            <w:r>
              <w:rPr>
                <w:lang w:val="en-US"/>
              </w:rPr>
              <w:t>ower”?</w:t>
            </w:r>
          </w:p>
          <w:p w14:paraId="6C98E314" w14:textId="77777777" w:rsidR="00DB4A05" w:rsidRDefault="00DB4A05" w:rsidP="000C58B9">
            <w:pPr>
              <w:numPr>
                <w:ilvl w:val="0"/>
                <w:numId w:val="22"/>
              </w:numPr>
              <w:rPr>
                <w:lang w:val="en-US"/>
              </w:rPr>
            </w:pPr>
            <w:r>
              <w:rPr>
                <w:lang w:val="en-US"/>
              </w:rPr>
              <w:t>Nossal, K. R. (2010), “‘</w:t>
            </w:r>
            <w:proofErr w:type="spellStart"/>
            <w:r>
              <w:rPr>
                <w:lang w:val="en-US"/>
              </w:rPr>
              <w:t>Middlepowerhood</w:t>
            </w:r>
            <w:proofErr w:type="spellEnd"/>
            <w:r>
              <w:rPr>
                <w:lang w:val="en-US"/>
              </w:rPr>
              <w:t>’ and ‘</w:t>
            </w:r>
            <w:proofErr w:type="spellStart"/>
            <w:r>
              <w:rPr>
                <w:lang w:val="en-US"/>
              </w:rPr>
              <w:t>Middlepowermanship</w:t>
            </w:r>
            <w:proofErr w:type="spellEnd"/>
            <w:r>
              <w:rPr>
                <w:lang w:val="en-US"/>
              </w:rPr>
              <w:t xml:space="preserve">’ in Canadian Foreign Policy”, in: N. Hynek and D. </w:t>
            </w:r>
            <w:proofErr w:type="spellStart"/>
            <w:r>
              <w:rPr>
                <w:lang w:val="en-US"/>
              </w:rPr>
              <w:t>Bosold</w:t>
            </w:r>
            <w:proofErr w:type="spellEnd"/>
            <w:r>
              <w:rPr>
                <w:lang w:val="en-US"/>
              </w:rPr>
              <w:t xml:space="preserve">, eds., </w:t>
            </w:r>
            <w:r w:rsidRPr="00814AEE">
              <w:rPr>
                <w:i/>
                <w:lang w:val="en-US"/>
              </w:rPr>
              <w:t>Canada’s Foreign and Security Policy: Soft and Hard Strategies of a Middle Power</w:t>
            </w:r>
            <w:r>
              <w:rPr>
                <w:lang w:val="en-US"/>
              </w:rPr>
              <w:t xml:space="preserve"> (Toronto: University of Toronto Press), 20-34.</w:t>
            </w:r>
          </w:p>
          <w:p w14:paraId="404C5A5F" w14:textId="0CD6FD28" w:rsidR="00294026" w:rsidRPr="00A519C7" w:rsidRDefault="00294026" w:rsidP="000C58B9">
            <w:pPr>
              <w:numPr>
                <w:ilvl w:val="0"/>
                <w:numId w:val="22"/>
              </w:numPr>
              <w:rPr>
                <w:lang w:val="en-CA"/>
              </w:rPr>
            </w:pPr>
            <w:proofErr w:type="spellStart"/>
            <w:r w:rsidRPr="003B5C9A">
              <w:rPr>
                <w:lang w:val="en-CA"/>
              </w:rPr>
              <w:t>Albo</w:t>
            </w:r>
            <w:proofErr w:type="spellEnd"/>
            <w:r w:rsidRPr="003B5C9A">
              <w:rPr>
                <w:lang w:val="en-CA"/>
              </w:rPr>
              <w:t>, G. (20</w:t>
            </w:r>
            <w:r w:rsidR="003B5C9A" w:rsidRPr="003B5C9A">
              <w:rPr>
                <w:lang w:val="en-CA"/>
              </w:rPr>
              <w:t>13</w:t>
            </w:r>
            <w:r w:rsidRPr="003B5C9A">
              <w:rPr>
                <w:lang w:val="en-CA"/>
              </w:rPr>
              <w:t>), “</w:t>
            </w:r>
            <w:r w:rsidR="003B5C9A" w:rsidRPr="003B5C9A">
              <w:rPr>
                <w:lang w:val="en-CA"/>
              </w:rPr>
              <w:t>Fewer Illus</w:t>
            </w:r>
            <w:r w:rsidR="003B5C9A">
              <w:rPr>
                <w:lang w:val="en-CA"/>
              </w:rPr>
              <w:t>ions: Canadian Foreign Policy since 2001</w:t>
            </w:r>
            <w:r w:rsidRPr="003B5C9A">
              <w:rPr>
                <w:lang w:val="en-CA"/>
              </w:rPr>
              <w:t>”,</w:t>
            </w:r>
            <w:r w:rsidR="003B5C9A">
              <w:rPr>
                <w:lang w:val="en-CA"/>
              </w:rPr>
              <w:t xml:space="preserve"> in: J. Klassen and G. </w:t>
            </w:r>
            <w:proofErr w:type="spellStart"/>
            <w:r w:rsidR="003B5C9A">
              <w:rPr>
                <w:lang w:val="en-CA"/>
              </w:rPr>
              <w:t>Albo</w:t>
            </w:r>
            <w:proofErr w:type="spellEnd"/>
            <w:r w:rsidR="003B5C9A">
              <w:rPr>
                <w:lang w:val="en-CA"/>
              </w:rPr>
              <w:t xml:space="preserve">, eds., </w:t>
            </w:r>
            <w:r w:rsidR="003B5C9A">
              <w:rPr>
                <w:i/>
                <w:lang w:val="en-CA"/>
              </w:rPr>
              <w:t>Empire’s Ally: Canada and the War in Afghanistan</w:t>
            </w:r>
            <w:r w:rsidRPr="003B5C9A">
              <w:rPr>
                <w:lang w:val="en-CA"/>
              </w:rPr>
              <w:t xml:space="preserve"> </w:t>
            </w:r>
            <w:r w:rsidR="003B5C9A">
              <w:rPr>
                <w:lang w:val="en-CA"/>
              </w:rPr>
              <w:t>(Toronto: University of Toronto Press), 241-</w:t>
            </w:r>
            <w:r w:rsidR="00A519C7">
              <w:rPr>
                <w:lang w:val="en-CA"/>
              </w:rPr>
              <w:t>2</w:t>
            </w:r>
            <w:r w:rsidR="003B5C9A">
              <w:rPr>
                <w:lang w:val="en-CA"/>
              </w:rPr>
              <w:t xml:space="preserve">74. </w:t>
            </w:r>
          </w:p>
          <w:p w14:paraId="4C33BBC3" w14:textId="77777777" w:rsidR="00AC1763" w:rsidRDefault="00AC1763" w:rsidP="000C58B9">
            <w:pPr>
              <w:numPr>
                <w:ilvl w:val="0"/>
                <w:numId w:val="22"/>
              </w:numPr>
              <w:rPr>
                <w:lang w:val="en-US"/>
              </w:rPr>
            </w:pPr>
            <w:r>
              <w:rPr>
                <w:lang w:val="en-US"/>
              </w:rPr>
              <w:t>Kirton, J. J. (2012),</w:t>
            </w:r>
            <w:r w:rsidRPr="00814AEE">
              <w:rPr>
                <w:lang w:val="en-US"/>
              </w:rPr>
              <w:t xml:space="preserve"> </w:t>
            </w:r>
            <w:r>
              <w:rPr>
                <w:lang w:val="en-US"/>
              </w:rPr>
              <w:t>“</w:t>
            </w:r>
            <w:r w:rsidRPr="00814AEE">
              <w:rPr>
                <w:lang w:val="en-US"/>
              </w:rPr>
              <w:t xml:space="preserve">Vulnerable America, </w:t>
            </w:r>
            <w:r>
              <w:rPr>
                <w:lang w:val="en-US"/>
              </w:rPr>
              <w:t>C</w:t>
            </w:r>
            <w:r w:rsidRPr="00814AEE">
              <w:rPr>
                <w:lang w:val="en-US"/>
              </w:rPr>
              <w:t xml:space="preserve">apable Canada: Convergent </w:t>
            </w:r>
            <w:r>
              <w:rPr>
                <w:lang w:val="en-US"/>
              </w:rPr>
              <w:t>L</w:t>
            </w:r>
            <w:r w:rsidRPr="00814AEE">
              <w:rPr>
                <w:lang w:val="en-US"/>
              </w:rPr>
              <w:t xml:space="preserve">eadership for an </w:t>
            </w:r>
            <w:r>
              <w:rPr>
                <w:lang w:val="en-US"/>
              </w:rPr>
              <w:t>I</w:t>
            </w:r>
            <w:r w:rsidRPr="00814AEE">
              <w:rPr>
                <w:lang w:val="en-US"/>
              </w:rPr>
              <w:t xml:space="preserve">nterconnected </w:t>
            </w:r>
            <w:r>
              <w:rPr>
                <w:lang w:val="en-US"/>
              </w:rPr>
              <w:t>W</w:t>
            </w:r>
            <w:r w:rsidRPr="00814AEE">
              <w:rPr>
                <w:lang w:val="en-US"/>
              </w:rPr>
              <w:t>orld</w:t>
            </w:r>
            <w:r>
              <w:rPr>
                <w:lang w:val="en-US"/>
              </w:rPr>
              <w:t>”,</w:t>
            </w:r>
            <w:r w:rsidRPr="00814AEE">
              <w:rPr>
                <w:lang w:val="en-US"/>
              </w:rPr>
              <w:t xml:space="preserve"> </w:t>
            </w:r>
            <w:r w:rsidRPr="00814AEE">
              <w:rPr>
                <w:i/>
                <w:lang w:val="en-US"/>
              </w:rPr>
              <w:t>Canadian Foreign Policy Journal</w:t>
            </w:r>
            <w:r w:rsidRPr="00814AEE">
              <w:rPr>
                <w:lang w:val="en-US"/>
              </w:rPr>
              <w:t xml:space="preserve"> 18</w:t>
            </w:r>
            <w:r>
              <w:rPr>
                <w:lang w:val="en-US"/>
              </w:rPr>
              <w:t>:1</w:t>
            </w:r>
            <w:r w:rsidRPr="00814AEE">
              <w:rPr>
                <w:lang w:val="en-US"/>
              </w:rPr>
              <w:t>, 133-144.</w:t>
            </w:r>
          </w:p>
          <w:p w14:paraId="77B70C17" w14:textId="77777777" w:rsidR="00364DF2" w:rsidRPr="00775748" w:rsidRDefault="00364DF2" w:rsidP="00364DF2">
            <w:pPr>
              <w:rPr>
                <w:sz w:val="12"/>
                <w:szCs w:val="12"/>
                <w:lang w:val="en-US"/>
              </w:rPr>
            </w:pPr>
          </w:p>
          <w:p w14:paraId="4457CFE8" w14:textId="31B08E4D" w:rsidR="003343E6" w:rsidRDefault="003343E6" w:rsidP="00DE28A7">
            <w:pPr>
              <w:rPr>
                <w:lang w:val="en-US"/>
              </w:rPr>
            </w:pPr>
            <w:r>
              <w:rPr>
                <w:lang w:val="en-US"/>
              </w:rPr>
              <w:lastRenderedPageBreak/>
              <w:t xml:space="preserve">What </w:t>
            </w:r>
            <w:r w:rsidR="00094FF4">
              <w:rPr>
                <w:lang w:val="en-US"/>
              </w:rPr>
              <w:t>k</w:t>
            </w:r>
            <w:r>
              <w:rPr>
                <w:lang w:val="en-US"/>
              </w:rPr>
              <w:t xml:space="preserve">ind of </w:t>
            </w:r>
            <w:r w:rsidR="00094FF4">
              <w:rPr>
                <w:lang w:val="en-US"/>
              </w:rPr>
              <w:t>p</w:t>
            </w:r>
            <w:r>
              <w:rPr>
                <w:lang w:val="en-US"/>
              </w:rPr>
              <w:t>ower is the EU?</w:t>
            </w:r>
          </w:p>
          <w:p w14:paraId="77CFD35D" w14:textId="77777777" w:rsidR="00DE05D4" w:rsidRPr="008C35BA" w:rsidRDefault="00DE05D4" w:rsidP="000C58B9">
            <w:pPr>
              <w:numPr>
                <w:ilvl w:val="0"/>
                <w:numId w:val="22"/>
              </w:numPr>
              <w:rPr>
                <w:lang w:val="en-US"/>
              </w:rPr>
            </w:pPr>
            <w:r>
              <w:rPr>
                <w:lang w:val="en-US"/>
              </w:rPr>
              <w:t xml:space="preserve">Manners, I. (2010), “Global Europa: Mythology of the European Union in World Politics”, </w:t>
            </w:r>
            <w:r w:rsidRPr="00EF2AAC">
              <w:rPr>
                <w:i/>
                <w:lang w:val="en-US"/>
              </w:rPr>
              <w:t>Journal of Common Market Studies</w:t>
            </w:r>
            <w:r>
              <w:rPr>
                <w:lang w:val="en-US"/>
              </w:rPr>
              <w:t xml:space="preserve"> 48:1, 67-87.</w:t>
            </w:r>
          </w:p>
          <w:p w14:paraId="62C509EF" w14:textId="18B141AB" w:rsidR="000C2BDE" w:rsidRPr="003B5C9A" w:rsidRDefault="00CF440A" w:rsidP="003B5C9A">
            <w:pPr>
              <w:numPr>
                <w:ilvl w:val="0"/>
                <w:numId w:val="22"/>
              </w:numPr>
              <w:rPr>
                <w:lang w:val="en-US"/>
              </w:rPr>
            </w:pPr>
            <w:r w:rsidRPr="008C35BA">
              <w:rPr>
                <w:lang w:val="en-US"/>
              </w:rPr>
              <w:t xml:space="preserve">Moravcsik, A. (2017), “Europe Is Still a Superpower – And It’s Going to Remain One for Decades to Come”, </w:t>
            </w:r>
            <w:r w:rsidRPr="008C35BA">
              <w:rPr>
                <w:i/>
                <w:lang w:val="en-US"/>
              </w:rPr>
              <w:t>Foreign Policy</w:t>
            </w:r>
            <w:r w:rsidRPr="008C35BA">
              <w:rPr>
                <w:lang w:val="en-US"/>
              </w:rPr>
              <w:t xml:space="preserve">, April 13, 2017, </w:t>
            </w:r>
            <w:hyperlink r:id="rId21" w:history="1">
              <w:r w:rsidR="003B5C9A" w:rsidRPr="00E72914">
                <w:rPr>
                  <w:rStyle w:val="Hyperlink"/>
                  <w:lang w:val="en-US"/>
                </w:rPr>
                <w:t>http://foreignpolicy.com/2017/04/13/europe-is-still-a-superpower/</w:t>
              </w:r>
            </w:hyperlink>
            <w:r w:rsidRPr="008C35BA">
              <w:rPr>
                <w:lang w:val="en-US"/>
              </w:rPr>
              <w:t xml:space="preserve">. </w:t>
            </w:r>
          </w:p>
        </w:tc>
      </w:tr>
      <w:tr w:rsidR="00AF0781" w:rsidRPr="00232B14" w14:paraId="04EFE854" w14:textId="77777777" w:rsidTr="0042586A">
        <w:tc>
          <w:tcPr>
            <w:tcW w:w="1822" w:type="dxa"/>
            <w:gridSpan w:val="2"/>
            <w:shd w:val="clear" w:color="auto" w:fill="auto"/>
          </w:tcPr>
          <w:p w14:paraId="705D9EF2" w14:textId="77777777" w:rsidR="00AF0781" w:rsidRPr="003030EC" w:rsidRDefault="001B26C0" w:rsidP="003030EC">
            <w:pPr>
              <w:rPr>
                <w:lang w:val="en-US"/>
              </w:rPr>
            </w:pPr>
            <w:r>
              <w:rPr>
                <w:lang w:val="en-US"/>
              </w:rPr>
              <w:lastRenderedPageBreak/>
              <w:t>Supplementary literature</w:t>
            </w:r>
          </w:p>
        </w:tc>
        <w:tc>
          <w:tcPr>
            <w:tcW w:w="7588" w:type="dxa"/>
            <w:shd w:val="clear" w:color="auto" w:fill="auto"/>
          </w:tcPr>
          <w:p w14:paraId="52A793C9" w14:textId="77777777" w:rsidR="00A55298" w:rsidRPr="008550A3" w:rsidRDefault="00A55298" w:rsidP="009576FD">
            <w:pPr>
              <w:numPr>
                <w:ilvl w:val="0"/>
                <w:numId w:val="23"/>
              </w:numPr>
              <w:rPr>
                <w:lang w:val="en-US"/>
              </w:rPr>
            </w:pPr>
            <w:r w:rsidRPr="008550A3">
              <w:rPr>
                <w:lang w:val="en-US"/>
              </w:rPr>
              <w:t>Bretherton</w:t>
            </w:r>
            <w:r w:rsidR="00DB4A05">
              <w:rPr>
                <w:lang w:val="en-US"/>
              </w:rPr>
              <w:t>,</w:t>
            </w:r>
            <w:r w:rsidRPr="008550A3">
              <w:rPr>
                <w:lang w:val="en-US"/>
              </w:rPr>
              <w:t xml:space="preserve"> C</w:t>
            </w:r>
            <w:r w:rsidR="00DB4A05">
              <w:rPr>
                <w:lang w:val="en-US"/>
              </w:rPr>
              <w:t>.</w:t>
            </w:r>
            <w:r w:rsidRPr="008550A3">
              <w:rPr>
                <w:lang w:val="en-US"/>
              </w:rPr>
              <w:t xml:space="preserve"> and Vogler</w:t>
            </w:r>
            <w:r w:rsidR="00DB4A05">
              <w:rPr>
                <w:lang w:val="en-US"/>
              </w:rPr>
              <w:t>,</w:t>
            </w:r>
            <w:r w:rsidRPr="008550A3">
              <w:rPr>
                <w:lang w:val="en-US"/>
              </w:rPr>
              <w:t xml:space="preserve"> J</w:t>
            </w:r>
            <w:r w:rsidR="00DB4A05">
              <w:rPr>
                <w:lang w:val="en-US"/>
              </w:rPr>
              <w:t>.</w:t>
            </w:r>
            <w:r w:rsidRPr="008550A3">
              <w:rPr>
                <w:lang w:val="en-US"/>
              </w:rPr>
              <w:t xml:space="preserve"> (2006)</w:t>
            </w:r>
            <w:r w:rsidR="00DB4A05">
              <w:rPr>
                <w:lang w:val="en-US"/>
              </w:rPr>
              <w:t>,</w:t>
            </w:r>
            <w:r w:rsidRPr="008550A3">
              <w:rPr>
                <w:lang w:val="en-US"/>
              </w:rPr>
              <w:t xml:space="preserve"> </w:t>
            </w:r>
            <w:r w:rsidRPr="00DB4A05">
              <w:rPr>
                <w:i/>
                <w:lang w:val="en-US"/>
              </w:rPr>
              <w:t>The European Union as a Global Actor</w:t>
            </w:r>
            <w:r w:rsidR="00DB4A05">
              <w:rPr>
                <w:lang w:val="en-US"/>
              </w:rPr>
              <w:t xml:space="preserve"> (London</w:t>
            </w:r>
            <w:r w:rsidRPr="008550A3">
              <w:rPr>
                <w:lang w:val="en-US"/>
              </w:rPr>
              <w:t>: Routledge</w:t>
            </w:r>
            <w:r w:rsidR="00DB4A05">
              <w:rPr>
                <w:lang w:val="en-US"/>
              </w:rPr>
              <w:t>)</w:t>
            </w:r>
            <w:r w:rsidRPr="008550A3">
              <w:rPr>
                <w:lang w:val="en-US"/>
              </w:rPr>
              <w:t>.</w:t>
            </w:r>
          </w:p>
          <w:p w14:paraId="01DD7930" w14:textId="77777777" w:rsidR="00F40E95" w:rsidRDefault="00F40E95" w:rsidP="009576FD">
            <w:pPr>
              <w:numPr>
                <w:ilvl w:val="0"/>
                <w:numId w:val="23"/>
              </w:numPr>
              <w:rPr>
                <w:lang w:val="en-US"/>
              </w:rPr>
            </w:pPr>
            <w:proofErr w:type="spellStart"/>
            <w:r w:rsidRPr="00136A23">
              <w:rPr>
                <w:lang w:val="en-US"/>
              </w:rPr>
              <w:t>C</w:t>
            </w:r>
            <w:r>
              <w:rPr>
                <w:lang w:val="en-US"/>
              </w:rPr>
              <w:t>hapnick</w:t>
            </w:r>
            <w:proofErr w:type="spellEnd"/>
            <w:r w:rsidRPr="00136A23">
              <w:rPr>
                <w:lang w:val="en-US"/>
              </w:rPr>
              <w:t>, A. (2005)</w:t>
            </w:r>
            <w:r>
              <w:rPr>
                <w:lang w:val="en-US"/>
              </w:rPr>
              <w:t>,</w:t>
            </w:r>
            <w:r w:rsidRPr="00136A23">
              <w:rPr>
                <w:lang w:val="en-US"/>
              </w:rPr>
              <w:t xml:space="preserve"> </w:t>
            </w:r>
            <w:r w:rsidRPr="00F40E95">
              <w:rPr>
                <w:i/>
                <w:lang w:val="en-US"/>
              </w:rPr>
              <w:t>The Middle Power Project. Canada and the Founding of the United Nations</w:t>
            </w:r>
            <w:r>
              <w:rPr>
                <w:lang w:val="en-US"/>
              </w:rPr>
              <w:t xml:space="preserve"> (Vancouver: UBC Press).</w:t>
            </w:r>
          </w:p>
          <w:p w14:paraId="287EE0E2" w14:textId="77777777" w:rsidR="00CB60C7" w:rsidRDefault="00CB60C7" w:rsidP="009576FD">
            <w:pPr>
              <w:numPr>
                <w:ilvl w:val="0"/>
                <w:numId w:val="23"/>
              </w:numPr>
              <w:rPr>
                <w:lang w:val="en-US"/>
              </w:rPr>
            </w:pPr>
            <w:r>
              <w:rPr>
                <w:lang w:val="en-US"/>
              </w:rPr>
              <w:t xml:space="preserve">Dewitt, D. B. and Kirton, J. J. (1983), </w:t>
            </w:r>
            <w:r w:rsidRPr="00CB60C7">
              <w:rPr>
                <w:i/>
                <w:lang w:val="en-US"/>
              </w:rPr>
              <w:t>Canada as a Principal Power: A Study of Foreign Policy and International Relations</w:t>
            </w:r>
            <w:r>
              <w:rPr>
                <w:lang w:val="en-US"/>
              </w:rPr>
              <w:t xml:space="preserve"> (Toronto: Wiley).</w:t>
            </w:r>
          </w:p>
          <w:p w14:paraId="26860BA8" w14:textId="2867902D" w:rsidR="00684A73" w:rsidRDefault="00684A73" w:rsidP="009576FD">
            <w:pPr>
              <w:numPr>
                <w:ilvl w:val="0"/>
                <w:numId w:val="23"/>
              </w:numPr>
              <w:rPr>
                <w:lang w:val="en-US"/>
              </w:rPr>
            </w:pPr>
            <w:r w:rsidRPr="00684A73">
              <w:rPr>
                <w:lang w:val="en-US"/>
              </w:rPr>
              <w:t xml:space="preserve">Kagan, R. (2003), </w:t>
            </w:r>
            <w:r w:rsidRPr="00684A73">
              <w:rPr>
                <w:i/>
                <w:lang w:val="en-US"/>
              </w:rPr>
              <w:t>Of Paradise and Power: America and Europe in the New World Order</w:t>
            </w:r>
            <w:r w:rsidRPr="00684A73">
              <w:rPr>
                <w:lang w:val="en-US"/>
              </w:rPr>
              <w:t xml:space="preserve"> (</w:t>
            </w:r>
            <w:r>
              <w:rPr>
                <w:lang w:val="en-US"/>
              </w:rPr>
              <w:t>New York</w:t>
            </w:r>
            <w:r w:rsidRPr="00684A73">
              <w:rPr>
                <w:lang w:val="en-US"/>
              </w:rPr>
              <w:t>: Knopf</w:t>
            </w:r>
            <w:r>
              <w:rPr>
                <w:lang w:val="en-US"/>
              </w:rPr>
              <w:t>)</w:t>
            </w:r>
            <w:r w:rsidRPr="00684A73">
              <w:rPr>
                <w:lang w:val="en-US"/>
              </w:rPr>
              <w:t>.</w:t>
            </w:r>
          </w:p>
          <w:p w14:paraId="73D05FBE" w14:textId="77777777" w:rsidR="009576FD" w:rsidRDefault="009576FD" w:rsidP="009576FD">
            <w:pPr>
              <w:numPr>
                <w:ilvl w:val="0"/>
                <w:numId w:val="23"/>
              </w:numPr>
              <w:rPr>
                <w:szCs w:val="24"/>
                <w:lang w:val="en-US"/>
              </w:rPr>
            </w:pPr>
            <w:proofErr w:type="spellStart"/>
            <w:r w:rsidRPr="00514851">
              <w:rPr>
                <w:szCs w:val="24"/>
                <w:lang w:val="en-US"/>
              </w:rPr>
              <w:t>Tocci</w:t>
            </w:r>
            <w:proofErr w:type="spellEnd"/>
            <w:r>
              <w:rPr>
                <w:szCs w:val="24"/>
                <w:lang w:val="en-US"/>
              </w:rPr>
              <w:t>, N.</w:t>
            </w:r>
            <w:r w:rsidRPr="00514851">
              <w:rPr>
                <w:szCs w:val="24"/>
                <w:lang w:val="en-US"/>
              </w:rPr>
              <w:t xml:space="preserve"> (2017), </w:t>
            </w:r>
            <w:r w:rsidRPr="00514851">
              <w:rPr>
                <w:i/>
                <w:iCs/>
                <w:szCs w:val="24"/>
                <w:lang w:val="en-US"/>
              </w:rPr>
              <w:t>Framing the EU Global Strategy: A Stronger Europe in a Fragile World</w:t>
            </w:r>
            <w:r w:rsidRPr="00514851">
              <w:rPr>
                <w:szCs w:val="24"/>
                <w:lang w:val="en-US"/>
              </w:rPr>
              <w:t xml:space="preserve"> (Basingstoke: Palgrave Macmillan).</w:t>
            </w:r>
          </w:p>
          <w:p w14:paraId="7F79F66E" w14:textId="77777777" w:rsidR="00AF0781" w:rsidRPr="003030EC" w:rsidRDefault="00684A73" w:rsidP="009576FD">
            <w:pPr>
              <w:numPr>
                <w:ilvl w:val="0"/>
                <w:numId w:val="23"/>
              </w:numPr>
              <w:rPr>
                <w:lang w:val="en-US"/>
              </w:rPr>
            </w:pPr>
            <w:r>
              <w:rPr>
                <w:lang w:val="en-US"/>
              </w:rPr>
              <w:t xml:space="preserve">Whitman, R. G., ed. (2011), </w:t>
            </w:r>
            <w:r w:rsidRPr="00684A73">
              <w:rPr>
                <w:i/>
                <w:lang w:val="en-US"/>
              </w:rPr>
              <w:t>Normative Power Europe: Empirical and Theoretical Perspectives</w:t>
            </w:r>
            <w:r w:rsidRPr="00684A73">
              <w:rPr>
                <w:lang w:val="en-US"/>
              </w:rPr>
              <w:t xml:space="preserve"> </w:t>
            </w:r>
            <w:r>
              <w:rPr>
                <w:lang w:val="en-US"/>
              </w:rPr>
              <w:t>(Basingstoke: Palgrave Macmillan)</w:t>
            </w:r>
            <w:r w:rsidRPr="00684A73">
              <w:rPr>
                <w:lang w:val="en-US"/>
              </w:rPr>
              <w:t>.</w:t>
            </w:r>
          </w:p>
        </w:tc>
      </w:tr>
      <w:tr w:rsidR="003030EC" w:rsidRPr="00232B14" w14:paraId="094284C0" w14:textId="77777777" w:rsidTr="0042586A">
        <w:tc>
          <w:tcPr>
            <w:tcW w:w="1814" w:type="dxa"/>
            <w:shd w:val="clear" w:color="auto" w:fill="auto"/>
          </w:tcPr>
          <w:p w14:paraId="02B0967E" w14:textId="77777777" w:rsidR="00761293" w:rsidRPr="003030EC" w:rsidRDefault="00442990" w:rsidP="003030EC">
            <w:pPr>
              <w:rPr>
                <w:lang w:val="en-US"/>
              </w:rPr>
            </w:pPr>
            <w:r w:rsidRPr="008129A4">
              <w:rPr>
                <w:lang w:val="en-US"/>
              </w:rPr>
              <w:br w:type="page"/>
            </w:r>
            <w:r w:rsidR="00B90F3D">
              <w:rPr>
                <w:lang w:val="en-US"/>
              </w:rPr>
              <w:t>Assignment</w:t>
            </w:r>
          </w:p>
        </w:tc>
        <w:tc>
          <w:tcPr>
            <w:tcW w:w="7596" w:type="dxa"/>
            <w:gridSpan w:val="2"/>
            <w:shd w:val="clear" w:color="auto" w:fill="auto"/>
          </w:tcPr>
          <w:p w14:paraId="4B8A072F" w14:textId="2E411DD4" w:rsidR="00761293" w:rsidRPr="003030EC" w:rsidRDefault="00761293" w:rsidP="008F4ACF">
            <w:pPr>
              <w:rPr>
                <w:lang w:val="en-US"/>
              </w:rPr>
            </w:pPr>
            <w:r w:rsidRPr="003030EC">
              <w:rPr>
                <w:lang w:val="en-US"/>
              </w:rPr>
              <w:t xml:space="preserve">Policy brief </w:t>
            </w:r>
            <w:r w:rsidR="0047517D">
              <w:rPr>
                <w:lang w:val="en-US"/>
              </w:rPr>
              <w:t xml:space="preserve">or discussion paper </w:t>
            </w:r>
            <w:r w:rsidRPr="003030EC">
              <w:rPr>
                <w:lang w:val="en-US"/>
              </w:rPr>
              <w:t xml:space="preserve">– </w:t>
            </w:r>
            <w:r w:rsidR="00A908A1">
              <w:rPr>
                <w:highlight w:val="yellow"/>
                <w:lang w:val="en-US"/>
              </w:rPr>
              <w:t xml:space="preserve">Due </w:t>
            </w:r>
            <w:r w:rsidR="00E4481F">
              <w:rPr>
                <w:highlight w:val="yellow"/>
                <w:lang w:val="en-US"/>
              </w:rPr>
              <w:t xml:space="preserve">August </w:t>
            </w:r>
            <w:r w:rsidR="00CB715C">
              <w:rPr>
                <w:highlight w:val="yellow"/>
                <w:lang w:val="en-US"/>
              </w:rPr>
              <w:t>1</w:t>
            </w:r>
            <w:r w:rsidRPr="003030EC">
              <w:rPr>
                <w:highlight w:val="yellow"/>
                <w:lang w:val="en-US"/>
              </w:rPr>
              <w:t>, 20</w:t>
            </w:r>
            <w:r w:rsidR="00C2286B">
              <w:rPr>
                <w:highlight w:val="yellow"/>
                <w:lang w:val="en-US"/>
              </w:rPr>
              <w:t>2</w:t>
            </w:r>
            <w:r w:rsidR="00CB715C">
              <w:rPr>
                <w:highlight w:val="yellow"/>
                <w:lang w:val="en-US"/>
              </w:rPr>
              <w:t>2</w:t>
            </w:r>
          </w:p>
        </w:tc>
      </w:tr>
      <w:tr w:rsidR="0002466A" w:rsidRPr="00232B14" w14:paraId="7D1DA380" w14:textId="77777777" w:rsidTr="0042586A">
        <w:tc>
          <w:tcPr>
            <w:tcW w:w="9410" w:type="dxa"/>
            <w:gridSpan w:val="3"/>
            <w:shd w:val="clear" w:color="auto" w:fill="auto"/>
          </w:tcPr>
          <w:p w14:paraId="57EB68BB" w14:textId="77B17C46" w:rsidR="0002466A" w:rsidRDefault="0002466A" w:rsidP="0086580D">
            <w:pPr>
              <w:rPr>
                <w:lang w:val="en-US"/>
              </w:rPr>
            </w:pPr>
            <w:r w:rsidRPr="0002466A">
              <w:rPr>
                <w:lang w:val="en-US"/>
              </w:rPr>
              <w:t xml:space="preserve">Estimated time required to complete the module: </w:t>
            </w:r>
            <w:r w:rsidR="007012F7">
              <w:rPr>
                <w:lang w:val="en-US"/>
              </w:rPr>
              <w:t>5</w:t>
            </w:r>
            <w:r w:rsidRPr="0002466A">
              <w:rPr>
                <w:lang w:val="en-US"/>
              </w:rPr>
              <w:t xml:space="preserve"> hours (</w:t>
            </w:r>
            <w:r w:rsidR="007012F7">
              <w:rPr>
                <w:lang w:val="en-US"/>
              </w:rPr>
              <w:t>30 minutes lectures</w:t>
            </w:r>
            <w:r w:rsidRPr="0002466A">
              <w:rPr>
                <w:lang w:val="en-US"/>
              </w:rPr>
              <w:t xml:space="preserve">, </w:t>
            </w:r>
            <w:r w:rsidR="007012F7">
              <w:rPr>
                <w:lang w:val="en-US"/>
              </w:rPr>
              <w:t>30 minutes independent research, 240 minutes</w:t>
            </w:r>
            <w:r w:rsidRPr="0002466A">
              <w:rPr>
                <w:lang w:val="en-US"/>
              </w:rPr>
              <w:t xml:space="preserve"> required readings)</w:t>
            </w:r>
            <w:r>
              <w:rPr>
                <w:lang w:val="en-US"/>
              </w:rPr>
              <w:t>. Note: Research for discussion paper/policy brief is not included in this calculation</w:t>
            </w:r>
            <w:r w:rsidR="0086580D">
              <w:rPr>
                <w:lang w:val="en-US"/>
              </w:rPr>
              <w:t>; it is expected that students devote a significant amount of time to this while completing Module 4.</w:t>
            </w:r>
          </w:p>
        </w:tc>
      </w:tr>
    </w:tbl>
    <w:p w14:paraId="54DD9CBC" w14:textId="77777777" w:rsidR="0091734A" w:rsidRDefault="0091734A" w:rsidP="00BB23D0">
      <w:pPr>
        <w:rPr>
          <w:b/>
          <w:i/>
          <w:u w:val="single"/>
          <w:lang w:val="en-US"/>
        </w:rPr>
      </w:pPr>
    </w:p>
    <w:p w14:paraId="7406E1A4" w14:textId="5BB6ABBD" w:rsidR="00B4642A" w:rsidRPr="00E31713" w:rsidRDefault="00E82DED" w:rsidP="000C58B9">
      <w:pPr>
        <w:numPr>
          <w:ilvl w:val="0"/>
          <w:numId w:val="3"/>
        </w:numPr>
        <w:rPr>
          <w:b/>
          <w:i/>
          <w:u w:val="single"/>
          <w:lang w:val="en-CA"/>
        </w:rPr>
      </w:pPr>
      <w:r w:rsidRPr="00E31713">
        <w:rPr>
          <w:b/>
          <w:i/>
          <w:u w:val="single"/>
          <w:lang w:val="en-CA"/>
        </w:rPr>
        <w:t>Online seminars (</w:t>
      </w:r>
      <w:r w:rsidR="00CB715C">
        <w:rPr>
          <w:b/>
          <w:i/>
          <w:u w:val="single"/>
          <w:lang w:val="en-CA"/>
        </w:rPr>
        <w:t>3228 Richcraft Hall</w:t>
      </w:r>
      <w:r w:rsidRPr="00E31713">
        <w:rPr>
          <w:b/>
          <w:i/>
          <w:u w:val="single"/>
          <w:lang w:val="en-CA"/>
        </w:rPr>
        <w:t xml:space="preserve">) </w:t>
      </w:r>
    </w:p>
    <w:p w14:paraId="470B36DB" w14:textId="77777777" w:rsidR="00B4642A" w:rsidRPr="00BA17E8" w:rsidRDefault="00B4642A">
      <w:pPr>
        <w:rPr>
          <w:sz w:val="12"/>
          <w:szCs w:val="12"/>
          <w:lang w:val="en-CA"/>
        </w:rPr>
      </w:pPr>
    </w:p>
    <w:p w14:paraId="14444727" w14:textId="361DCED3" w:rsidR="00446DAF" w:rsidRDefault="00446DAF">
      <w:pPr>
        <w:rPr>
          <w:lang w:val="en-US"/>
        </w:rPr>
      </w:pPr>
      <w:r>
        <w:rPr>
          <w:lang w:val="en-US"/>
        </w:rPr>
        <w:t>Seminar sessions will be held in an intensive f</w:t>
      </w:r>
      <w:r w:rsidR="00A908A1">
        <w:rPr>
          <w:lang w:val="en-US"/>
        </w:rPr>
        <w:t xml:space="preserve">ormat in the week of August </w:t>
      </w:r>
      <w:r w:rsidR="00CB715C">
        <w:rPr>
          <w:lang w:val="en-US"/>
        </w:rPr>
        <w:t>2</w:t>
      </w:r>
      <w:r w:rsidR="00A908A1">
        <w:rPr>
          <w:lang w:val="en-US"/>
        </w:rPr>
        <w:t>-</w:t>
      </w:r>
      <w:r w:rsidR="00CB715C">
        <w:rPr>
          <w:lang w:val="en-US"/>
        </w:rPr>
        <w:t>5</w:t>
      </w:r>
      <w:r w:rsidR="00A908A1">
        <w:rPr>
          <w:lang w:val="en-US"/>
        </w:rPr>
        <w:t>, 20</w:t>
      </w:r>
      <w:r w:rsidR="00E82DED">
        <w:rPr>
          <w:lang w:val="en-US"/>
        </w:rPr>
        <w:t>2</w:t>
      </w:r>
      <w:r w:rsidR="00CB715C">
        <w:rPr>
          <w:lang w:val="en-US"/>
        </w:rPr>
        <w:t>2</w:t>
      </w:r>
      <w:r>
        <w:rPr>
          <w:lang w:val="en-US"/>
        </w:rPr>
        <w:t>.</w:t>
      </w:r>
      <w:r w:rsidR="00C413DA">
        <w:rPr>
          <w:lang w:val="en-US"/>
        </w:rPr>
        <w:t xml:space="preserve"> These will be held </w:t>
      </w:r>
      <w:r w:rsidR="00CB715C" w:rsidRPr="00CB715C">
        <w:rPr>
          <w:u w:val="single"/>
          <w:lang w:val="en-US"/>
        </w:rPr>
        <w:t>in person</w:t>
      </w:r>
      <w:r w:rsidR="00CB715C">
        <w:rPr>
          <w:lang w:val="en-US"/>
        </w:rPr>
        <w:t xml:space="preserve"> in 3228 Richcraft Hall</w:t>
      </w:r>
      <w:r w:rsidR="00C413DA">
        <w:rPr>
          <w:lang w:val="en-US"/>
        </w:rPr>
        <w:t>.</w:t>
      </w:r>
      <w:r>
        <w:rPr>
          <w:lang w:val="en-US"/>
        </w:rPr>
        <w:t xml:space="preserve"> </w:t>
      </w:r>
      <w:r w:rsidRPr="00CC5ABF">
        <w:rPr>
          <w:u w:val="single"/>
          <w:lang w:val="en-US"/>
        </w:rPr>
        <w:t xml:space="preserve">Participation in all sessions is mandatory. </w:t>
      </w:r>
      <w:r w:rsidR="00CC5ABF" w:rsidRPr="00CC5ABF">
        <w:rPr>
          <w:u w:val="single"/>
          <w:lang w:val="en-US"/>
        </w:rPr>
        <w:t>Students should note that</w:t>
      </w:r>
      <w:r w:rsidR="00CC5ABF">
        <w:rPr>
          <w:u w:val="single"/>
          <w:lang w:val="en-US"/>
        </w:rPr>
        <w:t>, in addition to the seminar sessions,</w:t>
      </w:r>
      <w:r w:rsidR="00CC5ABF" w:rsidRPr="00CC5ABF">
        <w:rPr>
          <w:u w:val="single"/>
          <w:lang w:val="en-US"/>
        </w:rPr>
        <w:t xml:space="preserve"> they need to budget </w:t>
      </w:r>
      <w:r w:rsidR="00C205F6">
        <w:rPr>
          <w:u w:val="single"/>
          <w:lang w:val="en-US"/>
        </w:rPr>
        <w:t xml:space="preserve">approximately </w:t>
      </w:r>
      <w:r w:rsidR="00BA17E8">
        <w:rPr>
          <w:u w:val="single"/>
          <w:lang w:val="en-US"/>
        </w:rPr>
        <w:t>1-</w:t>
      </w:r>
      <w:r w:rsidR="00CC5ABF" w:rsidRPr="00CC5ABF">
        <w:rPr>
          <w:u w:val="single"/>
          <w:lang w:val="en-US"/>
        </w:rPr>
        <w:t>2 hours</w:t>
      </w:r>
      <w:r w:rsidR="00C205F6">
        <w:rPr>
          <w:u w:val="single"/>
          <w:lang w:val="en-US"/>
        </w:rPr>
        <w:t xml:space="preserve"> each </w:t>
      </w:r>
      <w:r w:rsidR="00CC5ABF" w:rsidRPr="00CC5ABF">
        <w:rPr>
          <w:u w:val="single"/>
          <w:lang w:val="en-US"/>
        </w:rPr>
        <w:t>day for required readings</w:t>
      </w:r>
      <w:r w:rsidR="00C205F6">
        <w:rPr>
          <w:u w:val="single"/>
          <w:lang w:val="en-US"/>
        </w:rPr>
        <w:t xml:space="preserve"> and preparation of the next day’s session</w:t>
      </w:r>
      <w:r w:rsidR="00CC5ABF" w:rsidRPr="00CC5ABF">
        <w:rPr>
          <w:u w:val="single"/>
          <w:lang w:val="en-US"/>
        </w:rPr>
        <w:t>.</w:t>
      </w:r>
    </w:p>
    <w:p w14:paraId="1A6A639C" w14:textId="77777777" w:rsidR="00446DAF" w:rsidRDefault="00446DAF">
      <w:pPr>
        <w:rPr>
          <w:lang w:val="en-US"/>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86"/>
        <w:gridCol w:w="7570"/>
      </w:tblGrid>
      <w:tr w:rsidR="003030EC" w:rsidRPr="003030EC" w14:paraId="78FAF482" w14:textId="77777777" w:rsidTr="00432E6E">
        <w:tc>
          <w:tcPr>
            <w:tcW w:w="9356" w:type="dxa"/>
            <w:gridSpan w:val="2"/>
            <w:shd w:val="solid" w:color="000000" w:fill="FFFFFF"/>
          </w:tcPr>
          <w:p w14:paraId="7E7C133D" w14:textId="627AC5E7" w:rsidR="00870052" w:rsidRPr="003030EC" w:rsidRDefault="00D5466D" w:rsidP="00D5466D">
            <w:pPr>
              <w:rPr>
                <w:b/>
                <w:bCs/>
                <w:lang w:val="en-US"/>
              </w:rPr>
            </w:pPr>
            <w:r>
              <w:rPr>
                <w:b/>
                <w:bCs/>
                <w:lang w:val="en-US"/>
              </w:rPr>
              <w:t>Tuesday</w:t>
            </w:r>
            <w:r w:rsidR="00870052" w:rsidRPr="003030EC">
              <w:rPr>
                <w:b/>
                <w:bCs/>
                <w:lang w:val="en-US"/>
              </w:rPr>
              <w:t xml:space="preserve">, </w:t>
            </w:r>
            <w:r>
              <w:rPr>
                <w:b/>
                <w:bCs/>
                <w:lang w:val="en-US"/>
              </w:rPr>
              <w:t xml:space="preserve">August </w:t>
            </w:r>
            <w:r w:rsidR="00CB715C">
              <w:rPr>
                <w:b/>
                <w:bCs/>
                <w:lang w:val="en-US"/>
              </w:rPr>
              <w:t>2</w:t>
            </w:r>
            <w:r w:rsidR="00870052" w:rsidRPr="003030EC">
              <w:rPr>
                <w:b/>
                <w:bCs/>
                <w:lang w:val="en-US"/>
              </w:rPr>
              <w:t>, 20</w:t>
            </w:r>
            <w:r w:rsidR="00E82DED">
              <w:rPr>
                <w:b/>
                <w:bCs/>
                <w:lang w:val="en-US"/>
              </w:rPr>
              <w:t>2</w:t>
            </w:r>
            <w:r w:rsidR="00CB715C">
              <w:rPr>
                <w:b/>
                <w:bCs/>
                <w:lang w:val="en-US"/>
              </w:rPr>
              <w:t>2</w:t>
            </w:r>
          </w:p>
        </w:tc>
      </w:tr>
      <w:tr w:rsidR="003030EC" w:rsidRPr="003030EC" w14:paraId="48397360" w14:textId="77777777" w:rsidTr="00432E6E">
        <w:tc>
          <w:tcPr>
            <w:tcW w:w="1786" w:type="dxa"/>
            <w:shd w:val="clear" w:color="auto" w:fill="auto"/>
          </w:tcPr>
          <w:p w14:paraId="4E83080D" w14:textId="17ED2411" w:rsidR="00870052" w:rsidRPr="003030EC" w:rsidRDefault="00C36D00" w:rsidP="003030EC">
            <w:pPr>
              <w:rPr>
                <w:lang w:val="en-US"/>
              </w:rPr>
            </w:pPr>
            <w:r w:rsidRPr="003030EC">
              <w:rPr>
                <w:lang w:val="en-US"/>
              </w:rPr>
              <w:t xml:space="preserve">Time </w:t>
            </w:r>
          </w:p>
        </w:tc>
        <w:tc>
          <w:tcPr>
            <w:tcW w:w="7570" w:type="dxa"/>
            <w:shd w:val="clear" w:color="auto" w:fill="auto"/>
          </w:tcPr>
          <w:p w14:paraId="64C8CCC7" w14:textId="77777777" w:rsidR="00C2286B" w:rsidRDefault="00C36D00" w:rsidP="0042586A">
            <w:pPr>
              <w:rPr>
                <w:lang w:val="en-US"/>
              </w:rPr>
            </w:pPr>
            <w:r w:rsidRPr="003030EC">
              <w:rPr>
                <w:lang w:val="en-US"/>
              </w:rPr>
              <w:t xml:space="preserve">10:00 a.m. – 12:00 noon </w:t>
            </w:r>
          </w:p>
          <w:p w14:paraId="7C404239" w14:textId="79B81F3F" w:rsidR="00C36D00" w:rsidRPr="003030EC" w:rsidRDefault="00C36D00" w:rsidP="0042586A">
            <w:pPr>
              <w:rPr>
                <w:lang w:val="en-US"/>
              </w:rPr>
            </w:pPr>
            <w:r w:rsidRPr="003030EC">
              <w:rPr>
                <w:lang w:val="en-US"/>
              </w:rPr>
              <w:t>1:00 – 3:00 p.m.</w:t>
            </w:r>
          </w:p>
        </w:tc>
      </w:tr>
      <w:tr w:rsidR="00C36D00" w:rsidRPr="00232B14" w14:paraId="19AB03DB" w14:textId="77777777" w:rsidTr="00432E6E">
        <w:tc>
          <w:tcPr>
            <w:tcW w:w="1786" w:type="dxa"/>
            <w:shd w:val="clear" w:color="auto" w:fill="auto"/>
          </w:tcPr>
          <w:p w14:paraId="5F0C0EA7" w14:textId="77777777" w:rsidR="00C36D00" w:rsidRPr="003030EC" w:rsidRDefault="00C36D00" w:rsidP="003030EC">
            <w:pPr>
              <w:rPr>
                <w:lang w:val="en-US"/>
              </w:rPr>
            </w:pPr>
            <w:r w:rsidRPr="003030EC">
              <w:rPr>
                <w:lang w:val="en-US"/>
              </w:rPr>
              <w:t>Topic</w:t>
            </w:r>
            <w:r w:rsidR="00947722" w:rsidRPr="003030EC">
              <w:rPr>
                <w:lang w:val="en-US"/>
              </w:rPr>
              <w:t>s</w:t>
            </w:r>
          </w:p>
        </w:tc>
        <w:tc>
          <w:tcPr>
            <w:tcW w:w="7570" w:type="dxa"/>
            <w:shd w:val="clear" w:color="auto" w:fill="auto"/>
          </w:tcPr>
          <w:p w14:paraId="6C9B0245" w14:textId="0C1D63A2" w:rsidR="00434745" w:rsidRPr="00434745" w:rsidRDefault="00434745" w:rsidP="00434745">
            <w:pPr>
              <w:ind w:left="330" w:hanging="330"/>
              <w:rPr>
                <w:lang w:val="en-US"/>
              </w:rPr>
            </w:pPr>
            <w:r w:rsidRPr="00434745">
              <w:rPr>
                <w:lang w:val="en-US"/>
              </w:rPr>
              <w:t xml:space="preserve">Morning session: Opening </w:t>
            </w:r>
            <w:r w:rsidR="00094FF4">
              <w:rPr>
                <w:lang w:val="en-US"/>
              </w:rPr>
              <w:t>d</w:t>
            </w:r>
            <w:r w:rsidRPr="00434745">
              <w:rPr>
                <w:lang w:val="en-US"/>
              </w:rPr>
              <w:t>iscussion: Canada and the EU</w:t>
            </w:r>
            <w:r w:rsidR="00D03B38">
              <w:rPr>
                <w:lang w:val="en-US"/>
              </w:rPr>
              <w:t>:</w:t>
            </w:r>
            <w:r w:rsidRPr="00434745">
              <w:rPr>
                <w:lang w:val="en-US"/>
              </w:rPr>
              <w:t xml:space="preserve"> Global </w:t>
            </w:r>
            <w:r w:rsidR="00094FF4">
              <w:rPr>
                <w:lang w:val="en-US"/>
              </w:rPr>
              <w:t>a</w:t>
            </w:r>
            <w:r w:rsidRPr="00434745">
              <w:rPr>
                <w:lang w:val="en-US"/>
              </w:rPr>
              <w:t>ctors</w:t>
            </w:r>
            <w:r w:rsidR="00D03B38" w:rsidRPr="00D03B38">
              <w:rPr>
                <w:lang w:val="en-CA"/>
              </w:rPr>
              <w:t xml:space="preserve"> </w:t>
            </w:r>
            <w:r w:rsidR="00D03B38">
              <w:rPr>
                <w:lang w:val="en-US"/>
              </w:rPr>
              <w:t xml:space="preserve">in </w:t>
            </w:r>
            <w:r w:rsidR="00D03B38" w:rsidRPr="00D03B38">
              <w:rPr>
                <w:lang w:val="en-US"/>
              </w:rPr>
              <w:t xml:space="preserve">an </w:t>
            </w:r>
            <w:r w:rsidR="00094FF4">
              <w:rPr>
                <w:lang w:val="en-US"/>
              </w:rPr>
              <w:t>u</w:t>
            </w:r>
            <w:r w:rsidR="00D03B38" w:rsidRPr="00D03B38">
              <w:rPr>
                <w:lang w:val="en-US"/>
              </w:rPr>
              <w:t xml:space="preserve">ncertain </w:t>
            </w:r>
            <w:r w:rsidR="00094FF4">
              <w:rPr>
                <w:lang w:val="en-US"/>
              </w:rPr>
              <w:t>i</w:t>
            </w:r>
            <w:r w:rsidR="00D03B38" w:rsidRPr="00D03B38">
              <w:rPr>
                <w:lang w:val="en-US"/>
              </w:rPr>
              <w:t xml:space="preserve">nternational </w:t>
            </w:r>
            <w:r w:rsidR="00094FF4">
              <w:rPr>
                <w:lang w:val="en-US"/>
              </w:rPr>
              <w:t>e</w:t>
            </w:r>
            <w:r w:rsidR="00D03B38" w:rsidRPr="00D03B38">
              <w:rPr>
                <w:lang w:val="en-US"/>
              </w:rPr>
              <w:t>nvironment</w:t>
            </w:r>
          </w:p>
          <w:p w14:paraId="11B2F699" w14:textId="743E6C62" w:rsidR="00947722" w:rsidRPr="003030EC" w:rsidRDefault="00434745" w:rsidP="00D03B38">
            <w:pPr>
              <w:ind w:left="330" w:hanging="330"/>
              <w:rPr>
                <w:lang w:val="en-US"/>
              </w:rPr>
            </w:pPr>
            <w:r w:rsidRPr="00434745">
              <w:rPr>
                <w:lang w:val="en-US"/>
              </w:rPr>
              <w:t>Afternoon session: Canada</w:t>
            </w:r>
            <w:r w:rsidR="007F3DEB">
              <w:rPr>
                <w:lang w:val="en-US"/>
              </w:rPr>
              <w:t xml:space="preserve">-EU </w:t>
            </w:r>
            <w:r w:rsidR="00094FF4">
              <w:rPr>
                <w:lang w:val="en-US"/>
              </w:rPr>
              <w:t>r</w:t>
            </w:r>
            <w:r w:rsidR="007F3DEB">
              <w:rPr>
                <w:lang w:val="en-US"/>
              </w:rPr>
              <w:t>elations</w:t>
            </w:r>
            <w:r w:rsidR="00D03B38">
              <w:rPr>
                <w:lang w:val="en-US"/>
              </w:rPr>
              <w:t xml:space="preserve"> from </w:t>
            </w:r>
            <w:r w:rsidR="00D03B38" w:rsidRPr="00920A45">
              <w:rPr>
                <w:lang w:val="en-US"/>
              </w:rPr>
              <w:t xml:space="preserve">a Canadian </w:t>
            </w:r>
            <w:r w:rsidR="00094FF4" w:rsidRPr="00920A45">
              <w:rPr>
                <w:lang w:val="en-US"/>
              </w:rPr>
              <w:t>p</w:t>
            </w:r>
            <w:r w:rsidR="00D03B38" w:rsidRPr="00920A45">
              <w:rPr>
                <w:lang w:val="en-US"/>
              </w:rPr>
              <w:t>erspective</w:t>
            </w:r>
            <w:r w:rsidRPr="00920A45">
              <w:rPr>
                <w:lang w:val="en-US"/>
              </w:rPr>
              <w:t xml:space="preserve">; Discussion with </w:t>
            </w:r>
            <w:r w:rsidR="00920A45" w:rsidRPr="00920A45">
              <w:rPr>
                <w:lang w:val="en-US"/>
              </w:rPr>
              <w:t xml:space="preserve">Jarrett </w:t>
            </w:r>
            <w:proofErr w:type="spellStart"/>
            <w:r w:rsidR="00920A45" w:rsidRPr="00920A45">
              <w:rPr>
                <w:lang w:val="en-US"/>
              </w:rPr>
              <w:t>Reckseidler</w:t>
            </w:r>
            <w:proofErr w:type="spellEnd"/>
            <w:r w:rsidR="0044042C" w:rsidRPr="00920A45">
              <w:rPr>
                <w:lang w:val="en-US"/>
              </w:rPr>
              <w:t xml:space="preserve">, </w:t>
            </w:r>
            <w:r w:rsidR="00920A45" w:rsidRPr="00920A45">
              <w:rPr>
                <w:lang w:val="en-US"/>
              </w:rPr>
              <w:t>Senior Political Affairs Officer</w:t>
            </w:r>
            <w:r w:rsidR="0044042C" w:rsidRPr="00920A45">
              <w:rPr>
                <w:lang w:val="en-US"/>
              </w:rPr>
              <w:t xml:space="preserve">, </w:t>
            </w:r>
            <w:r w:rsidR="00920A45" w:rsidRPr="00920A45">
              <w:rPr>
                <w:lang w:val="en-US"/>
              </w:rPr>
              <w:t>Mission of Canada to the EU (via Zoom)</w:t>
            </w:r>
            <w:r w:rsidR="0044042C" w:rsidRPr="00920A45">
              <w:rPr>
                <w:lang w:val="en-US"/>
              </w:rPr>
              <w:t>.</w:t>
            </w:r>
            <w:r w:rsidR="0044042C">
              <w:rPr>
                <w:highlight w:val="yellow"/>
                <w:lang w:val="en-US"/>
              </w:rPr>
              <w:t xml:space="preserve"> </w:t>
            </w:r>
          </w:p>
        </w:tc>
      </w:tr>
      <w:tr w:rsidR="00434745" w:rsidRPr="00232B14" w14:paraId="5B236A8F" w14:textId="77777777" w:rsidTr="00432E6E">
        <w:tc>
          <w:tcPr>
            <w:tcW w:w="1786" w:type="dxa"/>
            <w:shd w:val="clear" w:color="auto" w:fill="auto"/>
          </w:tcPr>
          <w:p w14:paraId="50BFABD8" w14:textId="77777777" w:rsidR="00434745" w:rsidRPr="003030EC" w:rsidRDefault="00434745" w:rsidP="00434745">
            <w:pPr>
              <w:rPr>
                <w:lang w:val="en-US"/>
              </w:rPr>
            </w:pPr>
            <w:r w:rsidRPr="003030EC">
              <w:rPr>
                <w:lang w:val="en-US"/>
              </w:rPr>
              <w:t xml:space="preserve">Required readings </w:t>
            </w:r>
          </w:p>
        </w:tc>
        <w:tc>
          <w:tcPr>
            <w:tcW w:w="7570" w:type="dxa"/>
            <w:shd w:val="clear" w:color="auto" w:fill="auto"/>
          </w:tcPr>
          <w:p w14:paraId="5D4EFAF9" w14:textId="39FF17DF" w:rsidR="001E0942" w:rsidRPr="001E0942" w:rsidRDefault="001E0942" w:rsidP="001E0942">
            <w:pPr>
              <w:numPr>
                <w:ilvl w:val="0"/>
                <w:numId w:val="6"/>
              </w:numPr>
              <w:rPr>
                <w:szCs w:val="24"/>
                <w:lang w:val="en-US" w:eastAsia="en-US"/>
              </w:rPr>
            </w:pPr>
            <w:proofErr w:type="spellStart"/>
            <w:r w:rsidRPr="001E0942">
              <w:rPr>
                <w:szCs w:val="24"/>
                <w:lang w:val="en-US" w:eastAsia="en-US"/>
              </w:rPr>
              <w:t>Lehne</w:t>
            </w:r>
            <w:proofErr w:type="spellEnd"/>
            <w:r w:rsidRPr="001E0942">
              <w:rPr>
                <w:szCs w:val="24"/>
                <w:lang w:val="en-US" w:eastAsia="en-US"/>
              </w:rPr>
              <w:t xml:space="preserve">, S. (2020), “How the EU Can Survive in a Geopolitical Age”, </w:t>
            </w:r>
            <w:r w:rsidRPr="001E0942">
              <w:rPr>
                <w:i/>
                <w:iCs/>
                <w:szCs w:val="24"/>
                <w:lang w:val="en-US" w:eastAsia="en-US"/>
              </w:rPr>
              <w:t>Carnegie Europe</w:t>
            </w:r>
            <w:r w:rsidRPr="001E0942">
              <w:rPr>
                <w:szCs w:val="24"/>
                <w:lang w:val="en-US" w:eastAsia="en-US"/>
              </w:rPr>
              <w:t xml:space="preserve">, February 25, </w:t>
            </w:r>
            <w:hyperlink r:id="rId22" w:history="1">
              <w:r w:rsidRPr="001E0942">
                <w:rPr>
                  <w:rStyle w:val="Hyperlink"/>
                  <w:szCs w:val="24"/>
                  <w:lang w:val="en-US" w:eastAsia="en-US"/>
                </w:rPr>
                <w:t>https://carnegieendowment.org/files/2-24_Lehne-EU_Geopolitics.pdf</w:t>
              </w:r>
            </w:hyperlink>
            <w:r w:rsidRPr="001E0942">
              <w:rPr>
                <w:szCs w:val="24"/>
                <w:lang w:val="en-US" w:eastAsia="en-US"/>
              </w:rPr>
              <w:t>.</w:t>
            </w:r>
          </w:p>
          <w:p w14:paraId="717929A7" w14:textId="13B7496B" w:rsidR="001E0942" w:rsidRDefault="001E0942" w:rsidP="001E0942">
            <w:pPr>
              <w:numPr>
                <w:ilvl w:val="0"/>
                <w:numId w:val="6"/>
              </w:numPr>
              <w:rPr>
                <w:szCs w:val="24"/>
                <w:lang w:val="en-US" w:eastAsia="en-US"/>
              </w:rPr>
            </w:pPr>
            <w:proofErr w:type="spellStart"/>
            <w:r w:rsidRPr="00BF0C9F">
              <w:rPr>
                <w:szCs w:val="24"/>
                <w:lang w:val="en-CA" w:eastAsia="en-US"/>
              </w:rPr>
              <w:t>Nimijean</w:t>
            </w:r>
            <w:proofErr w:type="spellEnd"/>
            <w:r w:rsidRPr="00BF0C9F">
              <w:rPr>
                <w:szCs w:val="24"/>
                <w:lang w:val="en-CA" w:eastAsia="en-US"/>
              </w:rPr>
              <w:t xml:space="preserve">, R., </w:t>
            </w:r>
            <w:proofErr w:type="spellStart"/>
            <w:r w:rsidRPr="00BF0C9F">
              <w:rPr>
                <w:szCs w:val="24"/>
                <w:lang w:val="en-CA" w:eastAsia="en-US"/>
              </w:rPr>
              <w:t>Carment</w:t>
            </w:r>
            <w:proofErr w:type="spellEnd"/>
            <w:r w:rsidRPr="00BF0C9F">
              <w:rPr>
                <w:szCs w:val="24"/>
                <w:lang w:val="en-CA" w:eastAsia="en-US"/>
              </w:rPr>
              <w:t xml:space="preserve">, D., and Stewart, S. (2021), “Will Canada Forge Its Own Path in a Turbulent World?”, </w:t>
            </w:r>
            <w:r w:rsidRPr="00BF0C9F">
              <w:rPr>
                <w:szCs w:val="24"/>
                <w:lang w:val="en-US" w:eastAsia="en-US"/>
              </w:rPr>
              <w:t xml:space="preserve">in: D. </w:t>
            </w:r>
            <w:proofErr w:type="spellStart"/>
            <w:r w:rsidRPr="00BF0C9F">
              <w:rPr>
                <w:szCs w:val="24"/>
                <w:lang w:val="en-US" w:eastAsia="en-US"/>
              </w:rPr>
              <w:t>Carment</w:t>
            </w:r>
            <w:proofErr w:type="spellEnd"/>
            <w:r w:rsidRPr="00BF0C9F">
              <w:rPr>
                <w:szCs w:val="24"/>
                <w:lang w:val="en-US" w:eastAsia="en-US"/>
              </w:rPr>
              <w:t xml:space="preserve"> and R. </w:t>
            </w:r>
            <w:proofErr w:type="spellStart"/>
            <w:r w:rsidRPr="00BF0C9F">
              <w:rPr>
                <w:szCs w:val="24"/>
                <w:lang w:val="en-US" w:eastAsia="en-US"/>
              </w:rPr>
              <w:t>Nimijean</w:t>
            </w:r>
            <w:proofErr w:type="spellEnd"/>
            <w:r w:rsidRPr="00BF0C9F">
              <w:rPr>
                <w:szCs w:val="24"/>
                <w:lang w:val="en-US" w:eastAsia="en-US"/>
              </w:rPr>
              <w:t xml:space="preserve">, eds., </w:t>
            </w:r>
            <w:r w:rsidRPr="00BF0C9F">
              <w:rPr>
                <w:i/>
                <w:szCs w:val="24"/>
                <w:lang w:val="en-US" w:eastAsia="en-US"/>
              </w:rPr>
              <w:t>Political Turmoil in a Tumultuous World</w:t>
            </w:r>
            <w:r w:rsidRPr="00BF0C9F">
              <w:rPr>
                <w:szCs w:val="24"/>
                <w:lang w:val="en-US" w:eastAsia="en-US"/>
              </w:rPr>
              <w:t xml:space="preserve"> (Basingstoke: Palgrave Macmillan), 319-334.</w:t>
            </w:r>
          </w:p>
          <w:p w14:paraId="79884D08" w14:textId="77777777" w:rsidR="001E0942" w:rsidRPr="001E0942" w:rsidRDefault="001E0942" w:rsidP="001E0942">
            <w:pPr>
              <w:rPr>
                <w:sz w:val="10"/>
                <w:szCs w:val="10"/>
                <w:lang w:val="en-US" w:eastAsia="en-US"/>
              </w:rPr>
            </w:pPr>
          </w:p>
          <w:p w14:paraId="2E38FBDF" w14:textId="13E9DC0E" w:rsidR="001E0942" w:rsidRPr="001E0942" w:rsidRDefault="001E0942" w:rsidP="001E0942">
            <w:pPr>
              <w:numPr>
                <w:ilvl w:val="0"/>
                <w:numId w:val="6"/>
              </w:numPr>
              <w:rPr>
                <w:szCs w:val="24"/>
                <w:lang w:val="en-US" w:eastAsia="en-US"/>
              </w:rPr>
            </w:pPr>
            <w:r>
              <w:rPr>
                <w:szCs w:val="24"/>
                <w:lang w:val="en-US" w:eastAsia="en-US"/>
              </w:rPr>
              <w:lastRenderedPageBreak/>
              <w:t xml:space="preserve">Council of the EU and Global Affairs Canada (2022), “Joint Declaration Following the Third EU-Canada Joint Ministerial Committee Meeting”, May 16, 2022, </w:t>
            </w:r>
            <w:hyperlink r:id="rId23" w:history="1">
              <w:r w:rsidRPr="009873A4">
                <w:rPr>
                  <w:rStyle w:val="Hyperlink"/>
                  <w:szCs w:val="24"/>
                  <w:lang w:val="en-US" w:eastAsia="en-US"/>
                </w:rPr>
                <w:t>https://www.canada.ca/en/global-affairs/news/2022/05/joint-declaration-following-the-third-eu-canada-joint-ministerial-committee-meeting.html</w:t>
              </w:r>
            </w:hyperlink>
            <w:r>
              <w:rPr>
                <w:szCs w:val="24"/>
                <w:lang w:val="en-US" w:eastAsia="en-US"/>
              </w:rPr>
              <w:t xml:space="preserve">. </w:t>
            </w:r>
          </w:p>
        </w:tc>
      </w:tr>
      <w:tr w:rsidR="00434745" w:rsidRPr="00F13C3F" w14:paraId="6C17F5CA" w14:textId="77777777" w:rsidTr="00432E6E">
        <w:tc>
          <w:tcPr>
            <w:tcW w:w="1786" w:type="dxa"/>
            <w:shd w:val="clear" w:color="auto" w:fill="auto"/>
          </w:tcPr>
          <w:p w14:paraId="78BBD3E7" w14:textId="77777777" w:rsidR="00434745" w:rsidRPr="003030EC" w:rsidRDefault="00434745" w:rsidP="003030EC">
            <w:pPr>
              <w:rPr>
                <w:lang w:val="en-US"/>
              </w:rPr>
            </w:pPr>
            <w:r>
              <w:rPr>
                <w:lang w:val="en-US"/>
              </w:rPr>
              <w:lastRenderedPageBreak/>
              <w:t>Supplementary literature</w:t>
            </w:r>
          </w:p>
        </w:tc>
        <w:tc>
          <w:tcPr>
            <w:tcW w:w="7570" w:type="dxa"/>
            <w:shd w:val="clear" w:color="auto" w:fill="auto"/>
          </w:tcPr>
          <w:p w14:paraId="58BD2A98" w14:textId="5E20AE40" w:rsidR="00434745" w:rsidRPr="00434745" w:rsidRDefault="00434745" w:rsidP="00434745">
            <w:pPr>
              <w:ind w:left="330" w:hanging="330"/>
              <w:rPr>
                <w:lang w:val="en-US"/>
              </w:rPr>
            </w:pPr>
            <w:r w:rsidRPr="00434745">
              <w:rPr>
                <w:lang w:val="en-US"/>
              </w:rPr>
              <w:t xml:space="preserve">See above (Modules </w:t>
            </w:r>
            <w:r w:rsidR="00C957D3">
              <w:rPr>
                <w:lang w:val="en-US"/>
              </w:rPr>
              <w:t>1</w:t>
            </w:r>
            <w:r w:rsidRPr="00434745">
              <w:rPr>
                <w:lang w:val="en-US"/>
              </w:rPr>
              <w:t>-4)</w:t>
            </w:r>
          </w:p>
        </w:tc>
      </w:tr>
    </w:tbl>
    <w:p w14:paraId="6E3D27C9" w14:textId="77777777" w:rsidR="00434745" w:rsidRPr="00F13C3F" w:rsidRDefault="00434745">
      <w:pPr>
        <w:rPr>
          <w:lang w:val="en-CA"/>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17"/>
        <w:gridCol w:w="7539"/>
      </w:tblGrid>
      <w:tr w:rsidR="003030EC" w:rsidRPr="00F13C3F" w14:paraId="2DEBB5A9" w14:textId="77777777" w:rsidTr="00432E6E">
        <w:tc>
          <w:tcPr>
            <w:tcW w:w="9356" w:type="dxa"/>
            <w:gridSpan w:val="2"/>
            <w:shd w:val="solid" w:color="000000" w:fill="FFFFFF"/>
          </w:tcPr>
          <w:p w14:paraId="3B2C4F51" w14:textId="54B6F10D" w:rsidR="00947722" w:rsidRPr="003030EC" w:rsidRDefault="00D5466D" w:rsidP="00D5466D">
            <w:pPr>
              <w:rPr>
                <w:b/>
                <w:bCs/>
                <w:lang w:val="en-US"/>
              </w:rPr>
            </w:pPr>
            <w:r>
              <w:rPr>
                <w:b/>
                <w:bCs/>
                <w:lang w:val="en-US"/>
              </w:rPr>
              <w:t>Wednesday</w:t>
            </w:r>
            <w:r w:rsidR="00D303DE">
              <w:rPr>
                <w:b/>
                <w:bCs/>
                <w:lang w:val="en-US"/>
              </w:rPr>
              <w:t xml:space="preserve">, </w:t>
            </w:r>
            <w:r>
              <w:rPr>
                <w:b/>
                <w:bCs/>
                <w:lang w:val="en-US"/>
              </w:rPr>
              <w:t xml:space="preserve">August </w:t>
            </w:r>
            <w:r w:rsidR="00CB715C">
              <w:rPr>
                <w:b/>
                <w:bCs/>
                <w:lang w:val="en-US"/>
              </w:rPr>
              <w:t>3</w:t>
            </w:r>
            <w:r w:rsidR="00D303DE">
              <w:rPr>
                <w:b/>
                <w:bCs/>
                <w:lang w:val="en-US"/>
              </w:rPr>
              <w:t>, 20</w:t>
            </w:r>
            <w:r w:rsidR="00E82DED">
              <w:rPr>
                <w:b/>
                <w:bCs/>
                <w:lang w:val="en-US"/>
              </w:rPr>
              <w:t>2</w:t>
            </w:r>
            <w:r w:rsidR="00CB715C">
              <w:rPr>
                <w:b/>
                <w:bCs/>
                <w:lang w:val="en-US"/>
              </w:rPr>
              <w:t>2</w:t>
            </w:r>
          </w:p>
        </w:tc>
      </w:tr>
      <w:tr w:rsidR="003030EC" w:rsidRPr="003030EC" w14:paraId="596724C8" w14:textId="77777777" w:rsidTr="00432E6E">
        <w:tc>
          <w:tcPr>
            <w:tcW w:w="1817" w:type="dxa"/>
            <w:shd w:val="clear" w:color="auto" w:fill="auto"/>
          </w:tcPr>
          <w:p w14:paraId="46A4E910" w14:textId="47B58848" w:rsidR="00947722" w:rsidRPr="003030EC" w:rsidRDefault="00947722" w:rsidP="003030EC">
            <w:pPr>
              <w:rPr>
                <w:lang w:val="en-US"/>
              </w:rPr>
            </w:pPr>
            <w:r w:rsidRPr="003030EC">
              <w:rPr>
                <w:lang w:val="en-US"/>
              </w:rPr>
              <w:t xml:space="preserve">Time </w:t>
            </w:r>
          </w:p>
        </w:tc>
        <w:tc>
          <w:tcPr>
            <w:tcW w:w="7539" w:type="dxa"/>
            <w:shd w:val="clear" w:color="auto" w:fill="auto"/>
          </w:tcPr>
          <w:p w14:paraId="21C46970" w14:textId="77777777" w:rsidR="00C2286B" w:rsidRDefault="00947722" w:rsidP="003030EC">
            <w:pPr>
              <w:rPr>
                <w:lang w:val="en-US"/>
              </w:rPr>
            </w:pPr>
            <w:r w:rsidRPr="003030EC">
              <w:rPr>
                <w:lang w:val="en-US"/>
              </w:rPr>
              <w:t xml:space="preserve">10:00 a.m. – 12:00 noon </w:t>
            </w:r>
          </w:p>
          <w:p w14:paraId="42FF5B87" w14:textId="5E55EF26" w:rsidR="00947722" w:rsidRPr="003030EC" w:rsidRDefault="00947722" w:rsidP="003030EC">
            <w:pPr>
              <w:rPr>
                <w:lang w:val="en-US"/>
              </w:rPr>
            </w:pPr>
            <w:r w:rsidRPr="003030EC">
              <w:rPr>
                <w:lang w:val="en-US"/>
              </w:rPr>
              <w:t>1:00 – 3:00 p.m.</w:t>
            </w:r>
          </w:p>
        </w:tc>
      </w:tr>
      <w:tr w:rsidR="003030EC" w:rsidRPr="00232B14" w14:paraId="09C2A0A3" w14:textId="77777777" w:rsidTr="00432E6E">
        <w:tc>
          <w:tcPr>
            <w:tcW w:w="1817" w:type="dxa"/>
            <w:shd w:val="clear" w:color="auto" w:fill="auto"/>
          </w:tcPr>
          <w:p w14:paraId="64FAE538" w14:textId="77777777" w:rsidR="00947722" w:rsidRPr="003030EC" w:rsidRDefault="00947722" w:rsidP="003030EC">
            <w:pPr>
              <w:rPr>
                <w:lang w:val="en-US"/>
              </w:rPr>
            </w:pPr>
            <w:r w:rsidRPr="003030EC">
              <w:rPr>
                <w:lang w:val="en-US"/>
              </w:rPr>
              <w:t>Topics</w:t>
            </w:r>
          </w:p>
        </w:tc>
        <w:tc>
          <w:tcPr>
            <w:tcW w:w="7539" w:type="dxa"/>
            <w:shd w:val="clear" w:color="auto" w:fill="auto"/>
          </w:tcPr>
          <w:p w14:paraId="08388A03" w14:textId="03CC2F36" w:rsidR="00434745" w:rsidRPr="00434745" w:rsidRDefault="00434745" w:rsidP="00434745">
            <w:pPr>
              <w:ind w:left="330" w:hanging="330"/>
              <w:rPr>
                <w:lang w:val="en-US"/>
              </w:rPr>
            </w:pPr>
            <w:r w:rsidRPr="00434745">
              <w:rPr>
                <w:lang w:val="en-US"/>
              </w:rPr>
              <w:t xml:space="preserve">Morning session: Economic </w:t>
            </w:r>
            <w:r w:rsidR="00094FF4">
              <w:rPr>
                <w:lang w:val="en-US"/>
              </w:rPr>
              <w:t>c</w:t>
            </w:r>
            <w:r w:rsidRPr="00434745">
              <w:rPr>
                <w:lang w:val="en-US"/>
              </w:rPr>
              <w:t xml:space="preserve">ooperation, with </w:t>
            </w:r>
            <w:r w:rsidR="00094FF4">
              <w:rPr>
                <w:lang w:val="en-US"/>
              </w:rPr>
              <w:t>s</w:t>
            </w:r>
            <w:r w:rsidRPr="00434745">
              <w:rPr>
                <w:lang w:val="en-US"/>
              </w:rPr>
              <w:t xml:space="preserve">pecial </w:t>
            </w:r>
            <w:r w:rsidR="00094FF4">
              <w:rPr>
                <w:lang w:val="en-US"/>
              </w:rPr>
              <w:t>e</w:t>
            </w:r>
            <w:r w:rsidRPr="00434745">
              <w:rPr>
                <w:lang w:val="en-US"/>
              </w:rPr>
              <w:t>mphasis on the Comprehensive Economic and Trade Agreement (CETA)</w:t>
            </w:r>
          </w:p>
          <w:p w14:paraId="7C134172" w14:textId="01020736" w:rsidR="00BC44EB" w:rsidRPr="003030EC" w:rsidRDefault="00434745" w:rsidP="009F259C">
            <w:pPr>
              <w:ind w:left="330" w:hanging="330"/>
              <w:rPr>
                <w:lang w:val="en-US"/>
              </w:rPr>
            </w:pPr>
            <w:r w:rsidRPr="00434745">
              <w:rPr>
                <w:lang w:val="en-US"/>
              </w:rPr>
              <w:t xml:space="preserve">Afternoon session: </w:t>
            </w:r>
            <w:r w:rsidR="00D1101B">
              <w:rPr>
                <w:lang w:val="en-US"/>
              </w:rPr>
              <w:t xml:space="preserve">Canada-EU </w:t>
            </w:r>
            <w:r w:rsidR="00094FF4">
              <w:rPr>
                <w:lang w:val="en-US"/>
              </w:rPr>
              <w:t>r</w:t>
            </w:r>
            <w:r w:rsidR="00D1101B">
              <w:rPr>
                <w:lang w:val="en-US"/>
              </w:rPr>
              <w:t>elations</w:t>
            </w:r>
            <w:r w:rsidRPr="00434745">
              <w:rPr>
                <w:lang w:val="en-US"/>
              </w:rPr>
              <w:t xml:space="preserve"> from a European </w:t>
            </w:r>
            <w:r w:rsidR="00094FF4">
              <w:rPr>
                <w:lang w:val="en-US"/>
              </w:rPr>
              <w:t>p</w:t>
            </w:r>
            <w:r w:rsidRPr="00434745">
              <w:rPr>
                <w:lang w:val="en-US"/>
              </w:rPr>
              <w:t xml:space="preserve">erspective; Discussion with </w:t>
            </w:r>
            <w:r w:rsidR="003B057F" w:rsidRPr="003B057F">
              <w:rPr>
                <w:lang w:val="en-US"/>
              </w:rPr>
              <w:t xml:space="preserve">Maud </w:t>
            </w:r>
            <w:proofErr w:type="spellStart"/>
            <w:r w:rsidR="003B057F" w:rsidRPr="003B057F">
              <w:rPr>
                <w:lang w:val="en-US"/>
              </w:rPr>
              <w:t>Labat</w:t>
            </w:r>
            <w:proofErr w:type="spellEnd"/>
            <w:r w:rsidR="003B057F" w:rsidRPr="003B057F">
              <w:rPr>
                <w:lang w:val="en-US"/>
              </w:rPr>
              <w:t>, Trade Counsellor, Delegation of the European Union to Canada</w:t>
            </w:r>
          </w:p>
        </w:tc>
      </w:tr>
      <w:tr w:rsidR="00434745" w:rsidRPr="00232B14" w14:paraId="2D681B56" w14:textId="77777777" w:rsidTr="00432E6E">
        <w:tc>
          <w:tcPr>
            <w:tcW w:w="1817" w:type="dxa"/>
            <w:shd w:val="clear" w:color="auto" w:fill="auto"/>
          </w:tcPr>
          <w:p w14:paraId="0A994830" w14:textId="77777777" w:rsidR="00434745" w:rsidRPr="003030EC" w:rsidRDefault="00434745" w:rsidP="00434745">
            <w:pPr>
              <w:rPr>
                <w:lang w:val="en-US"/>
              </w:rPr>
            </w:pPr>
            <w:r w:rsidRPr="003030EC">
              <w:rPr>
                <w:lang w:val="en-US"/>
              </w:rPr>
              <w:t xml:space="preserve">Required readings </w:t>
            </w:r>
          </w:p>
        </w:tc>
        <w:tc>
          <w:tcPr>
            <w:tcW w:w="7539" w:type="dxa"/>
            <w:shd w:val="clear" w:color="auto" w:fill="auto"/>
          </w:tcPr>
          <w:p w14:paraId="640CB0E7" w14:textId="77777777" w:rsidR="00FE2247" w:rsidRDefault="00FE2247" w:rsidP="00FE2247">
            <w:pPr>
              <w:numPr>
                <w:ilvl w:val="0"/>
                <w:numId w:val="6"/>
              </w:numPr>
              <w:rPr>
                <w:lang w:val="en-US"/>
              </w:rPr>
            </w:pPr>
            <w:r w:rsidRPr="00B1333C">
              <w:rPr>
                <w:lang w:val="en-US"/>
              </w:rPr>
              <w:t>White</w:t>
            </w:r>
            <w:r>
              <w:rPr>
                <w:lang w:val="en-US"/>
              </w:rPr>
              <w:t>, E. (2017), “</w:t>
            </w:r>
            <w:r w:rsidRPr="00B1333C">
              <w:rPr>
                <w:lang w:val="en-US"/>
              </w:rPr>
              <w:t>The Obstacles to Concluding the EU-Canada Comprehensive Economic and Trade Agreement and Lessons for the Future</w:t>
            </w:r>
            <w:r>
              <w:rPr>
                <w:lang w:val="en-US"/>
              </w:rPr>
              <w:t xml:space="preserve">”, </w:t>
            </w:r>
            <w:r w:rsidRPr="00B1333C">
              <w:rPr>
                <w:i/>
                <w:lang w:val="en-US"/>
              </w:rPr>
              <w:t>Global Trade and Customs Journal</w:t>
            </w:r>
            <w:r>
              <w:rPr>
                <w:lang w:val="en-US"/>
              </w:rPr>
              <w:t xml:space="preserve"> 12:5, 176-</w:t>
            </w:r>
            <w:r w:rsidRPr="00B1333C">
              <w:rPr>
                <w:lang w:val="en-US"/>
              </w:rPr>
              <w:t>183</w:t>
            </w:r>
            <w:r>
              <w:rPr>
                <w:lang w:val="en-US"/>
              </w:rPr>
              <w:t>.</w:t>
            </w:r>
          </w:p>
          <w:p w14:paraId="197B61EA" w14:textId="2F825427" w:rsidR="00CE1630" w:rsidRPr="003032E6" w:rsidRDefault="003032E6" w:rsidP="000C58B9">
            <w:pPr>
              <w:numPr>
                <w:ilvl w:val="0"/>
                <w:numId w:val="17"/>
              </w:numPr>
              <w:rPr>
                <w:lang w:val="en-US"/>
              </w:rPr>
            </w:pPr>
            <w:r w:rsidRPr="003032E6">
              <w:rPr>
                <w:lang w:val="en-US"/>
              </w:rPr>
              <w:t xml:space="preserve">Sinclair, S. and </w:t>
            </w:r>
            <w:proofErr w:type="spellStart"/>
            <w:r w:rsidRPr="003032E6">
              <w:rPr>
                <w:lang w:val="en-US"/>
              </w:rPr>
              <w:t>Trew</w:t>
            </w:r>
            <w:proofErr w:type="spellEnd"/>
            <w:r w:rsidRPr="003032E6">
              <w:rPr>
                <w:lang w:val="en-US"/>
              </w:rPr>
              <w:t>, S. (2019), “Taking Stock of CETA: Early Impacts of the EU-Canada Comprehensive Economic and Trade Agreement</w:t>
            </w:r>
            <w:r>
              <w:rPr>
                <w:lang w:val="en-US"/>
              </w:rPr>
              <w:t xml:space="preserve">”, Friedrich Ebert Foundation Study, </w:t>
            </w:r>
            <w:hyperlink r:id="rId24" w:history="1">
              <w:r w:rsidRPr="00ED0E24">
                <w:rPr>
                  <w:rStyle w:val="Hyperlink"/>
                  <w:lang w:val="en-US"/>
                </w:rPr>
                <w:t>http://library.fes.de/pdf-files/id/ipa/15694-20191014.pdf</w:t>
              </w:r>
            </w:hyperlink>
            <w:r>
              <w:rPr>
                <w:lang w:val="en-US"/>
              </w:rPr>
              <w:t xml:space="preserve">. </w:t>
            </w:r>
          </w:p>
        </w:tc>
      </w:tr>
      <w:tr w:rsidR="00434745" w:rsidRPr="00232B14" w14:paraId="0F878DD1" w14:textId="77777777" w:rsidTr="00432E6E">
        <w:tc>
          <w:tcPr>
            <w:tcW w:w="1817" w:type="dxa"/>
            <w:shd w:val="clear" w:color="auto" w:fill="auto"/>
          </w:tcPr>
          <w:p w14:paraId="0DED771B" w14:textId="0CD07C5D" w:rsidR="00434745" w:rsidRPr="003030EC" w:rsidRDefault="00434745" w:rsidP="00434745">
            <w:pPr>
              <w:rPr>
                <w:lang w:val="en-US"/>
              </w:rPr>
            </w:pPr>
            <w:r>
              <w:rPr>
                <w:lang w:val="en-US"/>
              </w:rPr>
              <w:t>Supplementary literature</w:t>
            </w:r>
          </w:p>
        </w:tc>
        <w:tc>
          <w:tcPr>
            <w:tcW w:w="7539" w:type="dxa"/>
            <w:shd w:val="clear" w:color="auto" w:fill="auto"/>
          </w:tcPr>
          <w:p w14:paraId="1DD04BBA" w14:textId="77777777" w:rsidR="00FE2247" w:rsidRDefault="00FE2247" w:rsidP="00FE2247">
            <w:pPr>
              <w:numPr>
                <w:ilvl w:val="0"/>
                <w:numId w:val="6"/>
              </w:numPr>
              <w:rPr>
                <w:lang w:val="en-US"/>
              </w:rPr>
            </w:pPr>
            <w:r>
              <w:rPr>
                <w:lang w:val="en-US"/>
              </w:rPr>
              <w:t xml:space="preserve">Campbell, N., O’Hara, J. and Cullen, T. (2015), “The Impact of New Transatlantic Trade Agreements on Commercial and Investment Transactions”, </w:t>
            </w:r>
            <w:r w:rsidRPr="00724A3D">
              <w:rPr>
                <w:i/>
                <w:lang w:val="en-US"/>
              </w:rPr>
              <w:t>Business Law International</w:t>
            </w:r>
            <w:r>
              <w:rPr>
                <w:lang w:val="en-US"/>
              </w:rPr>
              <w:t xml:space="preserve"> 16:3, 185-212.</w:t>
            </w:r>
          </w:p>
          <w:p w14:paraId="756A38F9" w14:textId="6A4C1488" w:rsidR="00707D36" w:rsidRDefault="00707D36" w:rsidP="00FE2247">
            <w:pPr>
              <w:keepLines/>
              <w:numPr>
                <w:ilvl w:val="0"/>
                <w:numId w:val="6"/>
              </w:numPr>
              <w:ind w:right="-22"/>
              <w:rPr>
                <w:lang w:val="en-US"/>
              </w:rPr>
            </w:pPr>
            <w:r>
              <w:rPr>
                <w:lang w:val="en-CA"/>
              </w:rPr>
              <w:t>European Commission (20</w:t>
            </w:r>
            <w:r w:rsidR="00FE2247">
              <w:rPr>
                <w:lang w:val="en-CA"/>
              </w:rPr>
              <w:t>21</w:t>
            </w:r>
            <w:r>
              <w:rPr>
                <w:lang w:val="en-CA"/>
              </w:rPr>
              <w:t xml:space="preserve">), </w:t>
            </w:r>
            <w:r w:rsidR="00FE2247">
              <w:rPr>
                <w:lang w:val="en-CA"/>
              </w:rPr>
              <w:t>“</w:t>
            </w:r>
            <w:r w:rsidR="00FE2247" w:rsidRPr="00FE2247">
              <w:rPr>
                <w:iCs/>
                <w:lang w:val="en-CA"/>
              </w:rPr>
              <w:t>Trade Policy Review – An Open, Sustainable and Assertive Trade Policy</w:t>
            </w:r>
            <w:r w:rsidR="00FE2247">
              <w:rPr>
                <w:iCs/>
                <w:lang w:val="en-CA"/>
              </w:rPr>
              <w:t>”</w:t>
            </w:r>
            <w:r w:rsidRPr="00FE2247">
              <w:rPr>
                <w:iCs/>
                <w:lang w:val="en-CA"/>
              </w:rPr>
              <w:t xml:space="preserve">, </w:t>
            </w:r>
            <w:r w:rsidR="00FE2247" w:rsidRPr="00FE2247">
              <w:rPr>
                <w:iCs/>
                <w:lang w:val="en-CA"/>
              </w:rPr>
              <w:t>C</w:t>
            </w:r>
            <w:r w:rsidR="00FE2247">
              <w:rPr>
                <w:iCs/>
                <w:lang w:val="en-CA"/>
              </w:rPr>
              <w:t xml:space="preserve">ommunication from the Commission to the European Parliament, the Council, the European Economic and Social Committee and the Committee of the Regions, </w:t>
            </w:r>
            <w:r w:rsidR="00FE2247" w:rsidRPr="00FE2247">
              <w:rPr>
                <w:iCs/>
                <w:lang w:val="en-CA"/>
              </w:rPr>
              <w:t>COM(2021) 66 final</w:t>
            </w:r>
            <w:r w:rsidR="00FE2247">
              <w:rPr>
                <w:iCs/>
                <w:lang w:val="en-CA"/>
              </w:rPr>
              <w:t xml:space="preserve">, </w:t>
            </w:r>
            <w:hyperlink r:id="rId25" w:history="1">
              <w:r w:rsidR="00FE2247" w:rsidRPr="00E72914">
                <w:rPr>
                  <w:rStyle w:val="Hyperlink"/>
                  <w:iCs/>
                  <w:lang w:val="en-CA"/>
                </w:rPr>
                <w:t>https://trade.ec.europa.eu/doclib/html/159438.htm</w:t>
              </w:r>
            </w:hyperlink>
            <w:r>
              <w:rPr>
                <w:lang w:val="en-CA"/>
              </w:rPr>
              <w:t>.</w:t>
            </w:r>
          </w:p>
          <w:p w14:paraId="408DA7A5" w14:textId="77777777" w:rsidR="00FE2247" w:rsidRDefault="00FE2247" w:rsidP="00FE2247">
            <w:pPr>
              <w:numPr>
                <w:ilvl w:val="0"/>
                <w:numId w:val="6"/>
              </w:numPr>
              <w:rPr>
                <w:lang w:val="en-US"/>
              </w:rPr>
            </w:pPr>
            <w:proofErr w:type="spellStart"/>
            <w:r w:rsidRPr="00761ECA">
              <w:rPr>
                <w:lang w:val="en-US"/>
              </w:rPr>
              <w:t>Hübner</w:t>
            </w:r>
            <w:proofErr w:type="spellEnd"/>
            <w:r w:rsidRPr="00761ECA">
              <w:rPr>
                <w:lang w:val="en-US"/>
              </w:rPr>
              <w:t xml:space="preserve">, K., </w:t>
            </w:r>
            <w:proofErr w:type="spellStart"/>
            <w:r w:rsidRPr="00761ECA">
              <w:rPr>
                <w:lang w:val="en-US"/>
              </w:rPr>
              <w:t>Deman</w:t>
            </w:r>
            <w:proofErr w:type="spellEnd"/>
            <w:r w:rsidRPr="00761ECA">
              <w:rPr>
                <w:lang w:val="en-US"/>
              </w:rPr>
              <w:t xml:space="preserve">, A.-S., and </w:t>
            </w:r>
            <w:proofErr w:type="spellStart"/>
            <w:r w:rsidRPr="00761ECA">
              <w:rPr>
                <w:lang w:val="en-US"/>
              </w:rPr>
              <w:t>Balik</w:t>
            </w:r>
            <w:proofErr w:type="spellEnd"/>
            <w:r w:rsidRPr="00761ECA">
              <w:rPr>
                <w:lang w:val="en-US"/>
              </w:rPr>
              <w:t xml:space="preserve">, T. (2017), </w:t>
            </w:r>
            <w:r>
              <w:rPr>
                <w:lang w:val="en-US"/>
              </w:rPr>
              <w:t>“E</w:t>
            </w:r>
            <w:r w:rsidRPr="00761ECA">
              <w:rPr>
                <w:lang w:val="en-US"/>
              </w:rPr>
              <w:t xml:space="preserve">U and </w:t>
            </w:r>
            <w:r>
              <w:rPr>
                <w:lang w:val="en-US"/>
              </w:rPr>
              <w:t>T</w:t>
            </w:r>
            <w:r w:rsidRPr="00761ECA">
              <w:rPr>
                <w:lang w:val="en-US"/>
              </w:rPr>
              <w:t xml:space="preserve">rade </w:t>
            </w:r>
            <w:r>
              <w:rPr>
                <w:lang w:val="en-US"/>
              </w:rPr>
              <w:t>P</w:t>
            </w:r>
            <w:r w:rsidRPr="00761ECA">
              <w:rPr>
                <w:lang w:val="en-US"/>
              </w:rPr>
              <w:t>olicy-</w:t>
            </w:r>
            <w:r>
              <w:rPr>
                <w:lang w:val="en-US"/>
              </w:rPr>
              <w:t>M</w:t>
            </w:r>
            <w:r w:rsidRPr="00761ECA">
              <w:rPr>
                <w:lang w:val="en-US"/>
              </w:rPr>
              <w:t xml:space="preserve">aking: </w:t>
            </w:r>
            <w:r>
              <w:rPr>
                <w:lang w:val="en-US"/>
              </w:rPr>
              <w:t>T</w:t>
            </w:r>
            <w:r w:rsidRPr="00761ECA">
              <w:rPr>
                <w:lang w:val="en-US"/>
              </w:rPr>
              <w:t xml:space="preserve">he </w:t>
            </w:r>
            <w:r>
              <w:rPr>
                <w:lang w:val="en-US"/>
              </w:rPr>
              <w:t>C</w:t>
            </w:r>
            <w:r w:rsidRPr="00761ECA">
              <w:rPr>
                <w:lang w:val="en-US"/>
              </w:rPr>
              <w:t xml:space="preserve">ontentious </w:t>
            </w:r>
            <w:r>
              <w:rPr>
                <w:lang w:val="en-US"/>
              </w:rPr>
              <w:t>C</w:t>
            </w:r>
            <w:r w:rsidRPr="00761ECA">
              <w:rPr>
                <w:lang w:val="en-US"/>
              </w:rPr>
              <w:t>ase of CETA</w:t>
            </w:r>
            <w:r>
              <w:rPr>
                <w:lang w:val="en-US"/>
              </w:rPr>
              <w:t xml:space="preserve">”, </w:t>
            </w:r>
            <w:r w:rsidRPr="00E00F64">
              <w:rPr>
                <w:i/>
                <w:lang w:val="en-US"/>
              </w:rPr>
              <w:t>Journal of European Integration</w:t>
            </w:r>
            <w:r>
              <w:rPr>
                <w:lang w:val="en-US"/>
              </w:rPr>
              <w:t xml:space="preserve"> 39:7, 843-857.</w:t>
            </w:r>
          </w:p>
          <w:p w14:paraId="3DD9C78B" w14:textId="20CE6C69" w:rsidR="003032E6" w:rsidRDefault="003032E6" w:rsidP="00FE2247">
            <w:pPr>
              <w:numPr>
                <w:ilvl w:val="0"/>
                <w:numId w:val="6"/>
              </w:numPr>
              <w:rPr>
                <w:lang w:val="en-US"/>
              </w:rPr>
            </w:pPr>
            <w:proofErr w:type="spellStart"/>
            <w:r w:rsidRPr="00CE1630">
              <w:rPr>
                <w:lang w:val="en-US"/>
              </w:rPr>
              <w:t>Kukucha</w:t>
            </w:r>
            <w:proofErr w:type="spellEnd"/>
            <w:r w:rsidRPr="00CE1630">
              <w:rPr>
                <w:lang w:val="en-US"/>
              </w:rPr>
              <w:t xml:space="preserve">, C. J. (2018), “Neither Adapting nor Innovating: The Limited Transformation of Canadian </w:t>
            </w:r>
            <w:r>
              <w:rPr>
                <w:lang w:val="en-US"/>
              </w:rPr>
              <w:t>F</w:t>
            </w:r>
            <w:r w:rsidRPr="00CE1630">
              <w:rPr>
                <w:lang w:val="en-US"/>
              </w:rPr>
              <w:t xml:space="preserve">oreign </w:t>
            </w:r>
            <w:r>
              <w:rPr>
                <w:lang w:val="en-US"/>
              </w:rPr>
              <w:t>T</w:t>
            </w:r>
            <w:r w:rsidRPr="00CE1630">
              <w:rPr>
                <w:lang w:val="en-US"/>
              </w:rPr>
              <w:t xml:space="preserve">rade </w:t>
            </w:r>
            <w:r>
              <w:rPr>
                <w:lang w:val="en-US"/>
              </w:rPr>
              <w:t>P</w:t>
            </w:r>
            <w:r w:rsidRPr="00CE1630">
              <w:rPr>
                <w:lang w:val="en-US"/>
              </w:rPr>
              <w:t>olicy since 1984</w:t>
            </w:r>
            <w:r>
              <w:rPr>
                <w:lang w:val="en-US"/>
              </w:rPr>
              <w:t xml:space="preserve">”, </w:t>
            </w:r>
            <w:r w:rsidRPr="00CE1630">
              <w:rPr>
                <w:i/>
                <w:lang w:val="en-US"/>
              </w:rPr>
              <w:t>Canadian Foreign Policy Journal</w:t>
            </w:r>
            <w:r>
              <w:rPr>
                <w:lang w:val="en-US"/>
              </w:rPr>
              <w:t xml:space="preserve"> 24:3, 301-315.</w:t>
            </w:r>
          </w:p>
          <w:p w14:paraId="0718A73D" w14:textId="2BBAF1C4" w:rsidR="00AA6816" w:rsidRDefault="00AA6816" w:rsidP="00FE2247">
            <w:pPr>
              <w:numPr>
                <w:ilvl w:val="0"/>
                <w:numId w:val="6"/>
              </w:numPr>
              <w:rPr>
                <w:lang w:val="en-US"/>
              </w:rPr>
            </w:pPr>
            <w:r>
              <w:rPr>
                <w:lang w:val="en-US"/>
              </w:rPr>
              <w:t>Lilly, M. (2018), “</w:t>
            </w:r>
            <w:r w:rsidRPr="00AA6816">
              <w:rPr>
                <w:lang w:val="en-US"/>
              </w:rPr>
              <w:t>International Trade: The Rhetoric and Reality of the Trudeau Government’s Progressive Trade Agenda</w:t>
            </w:r>
            <w:r>
              <w:rPr>
                <w:lang w:val="en-US"/>
              </w:rPr>
              <w:t xml:space="preserve">”, </w:t>
            </w:r>
            <w:r w:rsidRPr="00AA6816">
              <w:rPr>
                <w:lang w:val="en-US"/>
              </w:rPr>
              <w:t xml:space="preserve">in: N. </w:t>
            </w:r>
            <w:proofErr w:type="spellStart"/>
            <w:r w:rsidRPr="00AA6816">
              <w:rPr>
                <w:lang w:val="en-US"/>
              </w:rPr>
              <w:t>Hillmer</w:t>
            </w:r>
            <w:proofErr w:type="spellEnd"/>
            <w:r w:rsidRPr="00AA6816">
              <w:rPr>
                <w:lang w:val="en-US"/>
              </w:rPr>
              <w:t xml:space="preserve"> and P. </w:t>
            </w:r>
            <w:proofErr w:type="spellStart"/>
            <w:r w:rsidRPr="00AA6816">
              <w:rPr>
                <w:lang w:val="en-US"/>
              </w:rPr>
              <w:t>Lagassé</w:t>
            </w:r>
            <w:proofErr w:type="spellEnd"/>
            <w:r w:rsidRPr="00AA6816">
              <w:rPr>
                <w:lang w:val="en-US"/>
              </w:rPr>
              <w:t xml:space="preserve">, eds., </w:t>
            </w:r>
            <w:r w:rsidRPr="00834912">
              <w:rPr>
                <w:i/>
                <w:lang w:val="en-US"/>
              </w:rPr>
              <w:t>Justin Trudeau and Canadian Foreign Policy</w:t>
            </w:r>
            <w:r w:rsidRPr="00AA6816">
              <w:rPr>
                <w:lang w:val="en-US"/>
              </w:rPr>
              <w:t xml:space="preserve"> (Basingstoke: Palgrave Macmillan), </w:t>
            </w:r>
            <w:r>
              <w:rPr>
                <w:lang w:val="en-US"/>
              </w:rPr>
              <w:t>125</w:t>
            </w:r>
            <w:r w:rsidRPr="00AA6816">
              <w:rPr>
                <w:lang w:val="en-US"/>
              </w:rPr>
              <w:t>-</w:t>
            </w:r>
            <w:r>
              <w:rPr>
                <w:lang w:val="en-US"/>
              </w:rPr>
              <w:t>144</w:t>
            </w:r>
            <w:r w:rsidRPr="00AA6816">
              <w:rPr>
                <w:lang w:val="en-US"/>
              </w:rPr>
              <w:t>.</w:t>
            </w:r>
          </w:p>
          <w:p w14:paraId="5C4A1FD1" w14:textId="0752DEC2" w:rsidR="00E17795" w:rsidRPr="00232B14" w:rsidRDefault="00E17795" w:rsidP="00FE2247">
            <w:pPr>
              <w:keepLines/>
              <w:numPr>
                <w:ilvl w:val="0"/>
                <w:numId w:val="6"/>
              </w:numPr>
              <w:rPr>
                <w:lang w:val="fr-CA"/>
              </w:rPr>
            </w:pPr>
            <w:r w:rsidRPr="00232B14">
              <w:rPr>
                <w:lang w:val="fr-CA"/>
              </w:rPr>
              <w:t xml:space="preserve">Magnette, P. (2017), </w:t>
            </w:r>
            <w:r w:rsidRPr="00232B14">
              <w:rPr>
                <w:i/>
                <w:lang w:val="fr-CA"/>
              </w:rPr>
              <w:t>CETA: Quand l’Europe déraille</w:t>
            </w:r>
            <w:r w:rsidRPr="00232B14">
              <w:rPr>
                <w:lang w:val="fr-CA"/>
              </w:rPr>
              <w:t xml:space="preserve"> (Waterloo: Éditions Luc Pire).</w:t>
            </w:r>
          </w:p>
          <w:p w14:paraId="57D48F86" w14:textId="010FF582" w:rsidR="00B1333C" w:rsidRDefault="00B1333C" w:rsidP="00FE2247">
            <w:pPr>
              <w:keepLines/>
              <w:numPr>
                <w:ilvl w:val="0"/>
                <w:numId w:val="6"/>
              </w:numPr>
              <w:rPr>
                <w:lang w:val="en-US"/>
              </w:rPr>
            </w:pPr>
            <w:r>
              <w:rPr>
                <w:lang w:val="en-US"/>
              </w:rPr>
              <w:t>Office of the Parliamentary Budget Officer (2017), “</w:t>
            </w:r>
            <w:r w:rsidRPr="001450FA">
              <w:rPr>
                <w:lang w:val="en-US"/>
              </w:rPr>
              <w:t>The Canada-EU Comprehensive Economic and Trade Agreement</w:t>
            </w:r>
            <w:r>
              <w:rPr>
                <w:lang w:val="en-US"/>
              </w:rPr>
              <w:t>:</w:t>
            </w:r>
            <w:r w:rsidRPr="001450FA">
              <w:rPr>
                <w:lang w:val="en-US"/>
              </w:rPr>
              <w:t xml:space="preserve"> A Prospective Analysis</w:t>
            </w:r>
            <w:r>
              <w:rPr>
                <w:lang w:val="en-US"/>
              </w:rPr>
              <w:t xml:space="preserve">”, May 2, 2017, </w:t>
            </w:r>
            <w:hyperlink r:id="rId26" w:history="1">
              <w:r w:rsidR="00920A45" w:rsidRPr="009873A4">
                <w:rPr>
                  <w:rStyle w:val="Hyperlink"/>
                  <w:lang w:val="en-US"/>
                </w:rPr>
                <w:t>http://www.pbo-dpb.gc.ca/web/default/files /Documents/Reports/2017/CETA/CETA_EN.pdf</w:t>
              </w:r>
            </w:hyperlink>
            <w:r>
              <w:rPr>
                <w:lang w:val="en-US"/>
              </w:rPr>
              <w:t>.</w:t>
            </w:r>
          </w:p>
          <w:p w14:paraId="37533E3D" w14:textId="77777777" w:rsidR="00850FCF" w:rsidRPr="00C956A2" w:rsidRDefault="00850FCF" w:rsidP="00FE2247">
            <w:pPr>
              <w:numPr>
                <w:ilvl w:val="0"/>
                <w:numId w:val="6"/>
              </w:numPr>
              <w:rPr>
                <w:lang w:val="en-US"/>
              </w:rPr>
            </w:pPr>
            <w:r w:rsidRPr="00850FCF">
              <w:rPr>
                <w:lang w:val="en-US"/>
              </w:rPr>
              <w:lastRenderedPageBreak/>
              <w:t>Young, A</w:t>
            </w:r>
            <w:r>
              <w:rPr>
                <w:lang w:val="en-US"/>
              </w:rPr>
              <w:t>. R. (2017</w:t>
            </w:r>
            <w:r w:rsidRPr="00850FCF">
              <w:rPr>
                <w:lang w:val="en-US"/>
              </w:rPr>
              <w:t>)</w:t>
            </w:r>
            <w:r>
              <w:rPr>
                <w:lang w:val="en-US"/>
              </w:rPr>
              <w:t>,</w:t>
            </w:r>
            <w:r w:rsidRPr="00850FCF">
              <w:rPr>
                <w:lang w:val="en-US"/>
              </w:rPr>
              <w:t xml:space="preserve"> </w:t>
            </w:r>
            <w:r w:rsidRPr="00850FCF">
              <w:rPr>
                <w:i/>
                <w:lang w:val="en-US"/>
              </w:rPr>
              <w:t>The New Politics of Trade: Lessons from TTIP</w:t>
            </w:r>
            <w:r w:rsidRPr="00850FCF">
              <w:rPr>
                <w:lang w:val="en-US"/>
              </w:rPr>
              <w:t xml:space="preserve"> </w:t>
            </w:r>
            <w:r>
              <w:rPr>
                <w:lang w:val="en-US"/>
              </w:rPr>
              <w:t>(</w:t>
            </w:r>
            <w:r w:rsidRPr="00850FCF">
              <w:rPr>
                <w:lang w:val="en-US"/>
              </w:rPr>
              <w:t>Newcastle upon Tyne: Agenda</w:t>
            </w:r>
            <w:r>
              <w:rPr>
                <w:lang w:val="en-US"/>
              </w:rPr>
              <w:t>)</w:t>
            </w:r>
            <w:r w:rsidRPr="00850FCF">
              <w:rPr>
                <w:lang w:val="en-US"/>
              </w:rPr>
              <w:t>.</w:t>
            </w:r>
          </w:p>
        </w:tc>
      </w:tr>
    </w:tbl>
    <w:p w14:paraId="7454D34E" w14:textId="77777777" w:rsidR="00E17795" w:rsidRPr="00232B14" w:rsidRDefault="00E17795">
      <w:pPr>
        <w:rPr>
          <w:lang w:val="en-CA"/>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86"/>
        <w:gridCol w:w="7570"/>
      </w:tblGrid>
      <w:tr w:rsidR="003030EC" w:rsidRPr="003030EC" w14:paraId="7EFFDA29" w14:textId="77777777" w:rsidTr="00432E6E">
        <w:tc>
          <w:tcPr>
            <w:tcW w:w="9356" w:type="dxa"/>
            <w:gridSpan w:val="2"/>
            <w:shd w:val="solid" w:color="000000" w:fill="FFFFFF"/>
          </w:tcPr>
          <w:p w14:paraId="7DB7608C" w14:textId="2F22F442" w:rsidR="00947722" w:rsidRPr="003030EC" w:rsidRDefault="00D5466D" w:rsidP="00D5466D">
            <w:pPr>
              <w:rPr>
                <w:b/>
                <w:bCs/>
                <w:lang w:val="en-US"/>
              </w:rPr>
            </w:pPr>
            <w:r>
              <w:rPr>
                <w:b/>
                <w:bCs/>
                <w:lang w:val="en-US"/>
              </w:rPr>
              <w:t>Thurs</w:t>
            </w:r>
            <w:r w:rsidR="0042586A">
              <w:rPr>
                <w:b/>
                <w:bCs/>
                <w:lang w:val="en-US"/>
              </w:rPr>
              <w:t>day</w:t>
            </w:r>
            <w:r w:rsidR="00947722" w:rsidRPr="003030EC">
              <w:rPr>
                <w:b/>
                <w:bCs/>
                <w:lang w:val="en-US"/>
              </w:rPr>
              <w:t xml:space="preserve">, </w:t>
            </w:r>
            <w:r>
              <w:rPr>
                <w:b/>
                <w:bCs/>
                <w:lang w:val="en-US"/>
              </w:rPr>
              <w:t xml:space="preserve">August </w:t>
            </w:r>
            <w:r w:rsidR="00CB715C">
              <w:rPr>
                <w:b/>
                <w:bCs/>
                <w:lang w:val="en-US"/>
              </w:rPr>
              <w:t>4</w:t>
            </w:r>
            <w:r w:rsidR="00947722" w:rsidRPr="003030EC">
              <w:rPr>
                <w:b/>
                <w:bCs/>
                <w:lang w:val="en-US"/>
              </w:rPr>
              <w:t>, 20</w:t>
            </w:r>
            <w:r w:rsidR="00E82DED">
              <w:rPr>
                <w:b/>
                <w:bCs/>
                <w:lang w:val="en-US"/>
              </w:rPr>
              <w:t>2</w:t>
            </w:r>
            <w:r w:rsidR="00CB715C">
              <w:rPr>
                <w:b/>
                <w:bCs/>
                <w:lang w:val="en-US"/>
              </w:rPr>
              <w:t>2</w:t>
            </w:r>
          </w:p>
        </w:tc>
      </w:tr>
      <w:tr w:rsidR="003030EC" w:rsidRPr="003030EC" w14:paraId="4C62386D" w14:textId="77777777" w:rsidTr="00432E6E">
        <w:tc>
          <w:tcPr>
            <w:tcW w:w="1786" w:type="dxa"/>
            <w:shd w:val="clear" w:color="auto" w:fill="auto"/>
          </w:tcPr>
          <w:p w14:paraId="3861481D" w14:textId="684B8398" w:rsidR="00947722" w:rsidRPr="003030EC" w:rsidRDefault="00947722" w:rsidP="003030EC">
            <w:pPr>
              <w:rPr>
                <w:lang w:val="en-US"/>
              </w:rPr>
            </w:pPr>
            <w:r w:rsidRPr="003030EC">
              <w:rPr>
                <w:lang w:val="en-US"/>
              </w:rPr>
              <w:t xml:space="preserve">Time </w:t>
            </w:r>
          </w:p>
        </w:tc>
        <w:tc>
          <w:tcPr>
            <w:tcW w:w="7570" w:type="dxa"/>
            <w:shd w:val="clear" w:color="auto" w:fill="auto"/>
          </w:tcPr>
          <w:p w14:paraId="01E01A06" w14:textId="77777777" w:rsidR="00C2286B" w:rsidRDefault="00947722" w:rsidP="003030EC">
            <w:pPr>
              <w:rPr>
                <w:lang w:val="en-US"/>
              </w:rPr>
            </w:pPr>
            <w:r w:rsidRPr="003030EC">
              <w:rPr>
                <w:lang w:val="en-US"/>
              </w:rPr>
              <w:t xml:space="preserve">10:00 a.m. – 12:00 noon </w:t>
            </w:r>
          </w:p>
          <w:p w14:paraId="49368A3E" w14:textId="4854624A" w:rsidR="00947722" w:rsidRPr="003030EC" w:rsidRDefault="00947722" w:rsidP="003030EC">
            <w:pPr>
              <w:rPr>
                <w:lang w:val="en-US"/>
              </w:rPr>
            </w:pPr>
            <w:r w:rsidRPr="003030EC">
              <w:rPr>
                <w:lang w:val="en-US"/>
              </w:rPr>
              <w:t>1:00 – 3:00 p.m.</w:t>
            </w:r>
          </w:p>
        </w:tc>
      </w:tr>
      <w:tr w:rsidR="003030EC" w:rsidRPr="00232B14" w14:paraId="682590DC" w14:textId="77777777" w:rsidTr="00432E6E">
        <w:tc>
          <w:tcPr>
            <w:tcW w:w="1786" w:type="dxa"/>
            <w:shd w:val="clear" w:color="auto" w:fill="auto"/>
          </w:tcPr>
          <w:p w14:paraId="6F1B8782" w14:textId="77777777" w:rsidR="00947722" w:rsidRPr="003030EC" w:rsidRDefault="00947722" w:rsidP="003030EC">
            <w:pPr>
              <w:rPr>
                <w:lang w:val="en-US"/>
              </w:rPr>
            </w:pPr>
            <w:r w:rsidRPr="003030EC">
              <w:rPr>
                <w:lang w:val="en-US"/>
              </w:rPr>
              <w:t>Topics</w:t>
            </w:r>
          </w:p>
        </w:tc>
        <w:tc>
          <w:tcPr>
            <w:tcW w:w="7570" w:type="dxa"/>
            <w:shd w:val="clear" w:color="auto" w:fill="auto"/>
          </w:tcPr>
          <w:p w14:paraId="0E2A853C" w14:textId="77777777" w:rsidR="00C956A2" w:rsidRDefault="00947722" w:rsidP="003030EC">
            <w:pPr>
              <w:ind w:left="330" w:hanging="330"/>
              <w:rPr>
                <w:lang w:val="en-US"/>
              </w:rPr>
            </w:pPr>
            <w:r w:rsidRPr="003030EC">
              <w:rPr>
                <w:lang w:val="en-US"/>
              </w:rPr>
              <w:t xml:space="preserve">Morning session: </w:t>
            </w:r>
            <w:r w:rsidR="00C956A2" w:rsidRPr="00C956A2">
              <w:rPr>
                <w:lang w:val="en-US"/>
              </w:rPr>
              <w:t>Canada</w:t>
            </w:r>
            <w:r w:rsidR="00B171A5">
              <w:rPr>
                <w:lang w:val="en-US"/>
              </w:rPr>
              <w:t>, the EU and the UK after Brexit</w:t>
            </w:r>
            <w:r w:rsidR="00C956A2">
              <w:rPr>
                <w:lang w:val="en-US"/>
              </w:rPr>
              <w:t xml:space="preserve"> </w:t>
            </w:r>
          </w:p>
          <w:p w14:paraId="1045FDC8" w14:textId="2131651B" w:rsidR="00947722" w:rsidRPr="003030EC" w:rsidRDefault="00947722" w:rsidP="00B171A5">
            <w:pPr>
              <w:ind w:left="330" w:hanging="330"/>
              <w:rPr>
                <w:lang w:val="en-US"/>
              </w:rPr>
            </w:pPr>
            <w:r w:rsidRPr="003030EC">
              <w:rPr>
                <w:lang w:val="en-US"/>
              </w:rPr>
              <w:t xml:space="preserve">Afternoon session: </w:t>
            </w:r>
            <w:r w:rsidR="00C956A2">
              <w:rPr>
                <w:lang w:val="en-US"/>
              </w:rPr>
              <w:t xml:space="preserve">Selected </w:t>
            </w:r>
            <w:r w:rsidR="00094FF4">
              <w:rPr>
                <w:lang w:val="en-US"/>
              </w:rPr>
              <w:t>i</w:t>
            </w:r>
            <w:r w:rsidR="00C956A2">
              <w:rPr>
                <w:lang w:val="en-US"/>
              </w:rPr>
              <w:t xml:space="preserve">ssues in Canada-EU </w:t>
            </w:r>
            <w:r w:rsidR="00094FF4">
              <w:rPr>
                <w:lang w:val="en-US"/>
              </w:rPr>
              <w:t>r</w:t>
            </w:r>
            <w:r w:rsidR="00C956A2">
              <w:rPr>
                <w:lang w:val="en-US"/>
              </w:rPr>
              <w:t>elations – Group work</w:t>
            </w:r>
            <w:r w:rsidR="00E43B5E">
              <w:rPr>
                <w:lang w:val="en-US"/>
              </w:rPr>
              <w:t xml:space="preserve"> (Topics will </w:t>
            </w:r>
            <w:r w:rsidR="00C956A2">
              <w:rPr>
                <w:lang w:val="en-US"/>
              </w:rPr>
              <w:t>be determined based on student interest</w:t>
            </w:r>
            <w:r w:rsidR="00E43B5E">
              <w:rPr>
                <w:lang w:val="en-US"/>
              </w:rPr>
              <w:t xml:space="preserve">; they may include </w:t>
            </w:r>
            <w:r w:rsidR="00C956A2" w:rsidRPr="003030EC">
              <w:rPr>
                <w:lang w:val="en-US"/>
              </w:rPr>
              <w:t>Arctic</w:t>
            </w:r>
            <w:r w:rsidR="009732B2">
              <w:rPr>
                <w:lang w:val="en-US"/>
              </w:rPr>
              <w:t xml:space="preserve"> policy;</w:t>
            </w:r>
            <w:r w:rsidR="00C956A2" w:rsidRPr="003030EC">
              <w:rPr>
                <w:lang w:val="en-US"/>
              </w:rPr>
              <w:t xml:space="preserve"> </w:t>
            </w:r>
            <w:r w:rsidR="009732B2">
              <w:rPr>
                <w:lang w:val="en-US"/>
              </w:rPr>
              <w:t xml:space="preserve">energy/environment; </w:t>
            </w:r>
            <w:r w:rsidR="0097193C">
              <w:rPr>
                <w:lang w:val="en-US"/>
              </w:rPr>
              <w:t>feminist foreign policy</w:t>
            </w:r>
            <w:r w:rsidR="009732B2">
              <w:rPr>
                <w:lang w:val="en-US"/>
              </w:rPr>
              <w:t>; fisheries; migration/refugees; relations with China</w:t>
            </w:r>
            <w:r w:rsidR="00E43B5E">
              <w:rPr>
                <w:lang w:val="en-US"/>
              </w:rPr>
              <w:t>.</w:t>
            </w:r>
            <w:r w:rsidR="00C956A2" w:rsidRPr="003030EC">
              <w:rPr>
                <w:lang w:val="en-US"/>
              </w:rPr>
              <w:t>)</w:t>
            </w:r>
          </w:p>
        </w:tc>
      </w:tr>
      <w:tr w:rsidR="003030EC" w:rsidRPr="00232B14" w14:paraId="420317D1" w14:textId="77777777" w:rsidTr="00432E6E">
        <w:tc>
          <w:tcPr>
            <w:tcW w:w="1786" w:type="dxa"/>
            <w:shd w:val="clear" w:color="auto" w:fill="auto"/>
          </w:tcPr>
          <w:p w14:paraId="04333266" w14:textId="77777777" w:rsidR="00947722" w:rsidRPr="003030EC" w:rsidRDefault="00947722" w:rsidP="003030EC">
            <w:pPr>
              <w:rPr>
                <w:lang w:val="en-US"/>
              </w:rPr>
            </w:pPr>
            <w:r w:rsidRPr="003030EC">
              <w:rPr>
                <w:lang w:val="en-US"/>
              </w:rPr>
              <w:t xml:space="preserve">Required readings </w:t>
            </w:r>
          </w:p>
        </w:tc>
        <w:tc>
          <w:tcPr>
            <w:tcW w:w="7570" w:type="dxa"/>
            <w:shd w:val="clear" w:color="auto" w:fill="auto"/>
          </w:tcPr>
          <w:p w14:paraId="0273D9B6" w14:textId="4DC5E703" w:rsidR="00D5466D" w:rsidRPr="003708AB" w:rsidRDefault="00D5466D" w:rsidP="000C58B9">
            <w:pPr>
              <w:numPr>
                <w:ilvl w:val="0"/>
                <w:numId w:val="6"/>
              </w:numPr>
              <w:rPr>
                <w:lang w:val="en-US"/>
              </w:rPr>
            </w:pPr>
            <w:r w:rsidRPr="003708AB">
              <w:rPr>
                <w:lang w:val="en-US"/>
              </w:rPr>
              <w:t>Hurrelmann, A. (</w:t>
            </w:r>
            <w:r w:rsidR="0029003A">
              <w:rPr>
                <w:lang w:val="en-US"/>
              </w:rPr>
              <w:t>2020</w:t>
            </w:r>
            <w:r w:rsidRPr="003708AB">
              <w:rPr>
                <w:lang w:val="en-US"/>
              </w:rPr>
              <w:t xml:space="preserve">), “Canada’s Two </w:t>
            </w:r>
            <w:proofErr w:type="spellStart"/>
            <w:r w:rsidRPr="003708AB">
              <w:rPr>
                <w:lang w:val="en-US"/>
              </w:rPr>
              <w:t>Europes</w:t>
            </w:r>
            <w:proofErr w:type="spellEnd"/>
            <w:r w:rsidRPr="003708AB">
              <w:rPr>
                <w:lang w:val="en-US"/>
              </w:rPr>
              <w:t xml:space="preserve">: Brexit and the Prospect of Competing Transatlantic Relationships”, in </w:t>
            </w:r>
            <w:r w:rsidR="009B2CD2" w:rsidRPr="003708AB">
              <w:rPr>
                <w:lang w:val="en-US"/>
              </w:rPr>
              <w:t xml:space="preserve">N. Chaban, A. Niemann and J. Speyer, eds., </w:t>
            </w:r>
            <w:bookmarkStart w:id="0" w:name="_Hlk39781798"/>
            <w:r w:rsidR="003708AB" w:rsidRPr="003708AB">
              <w:rPr>
                <w:i/>
                <w:lang w:val="en-US"/>
              </w:rPr>
              <w:t xml:space="preserve">Changing </w:t>
            </w:r>
            <w:r w:rsidR="003708AB">
              <w:rPr>
                <w:i/>
                <w:lang w:val="en-US"/>
              </w:rPr>
              <w:t>P</w:t>
            </w:r>
            <w:r w:rsidR="003708AB" w:rsidRPr="003708AB">
              <w:rPr>
                <w:i/>
                <w:lang w:val="en-US"/>
              </w:rPr>
              <w:t xml:space="preserve">erceptions of the EU at </w:t>
            </w:r>
            <w:r w:rsidR="003708AB">
              <w:rPr>
                <w:i/>
                <w:lang w:val="en-US"/>
              </w:rPr>
              <w:t>T</w:t>
            </w:r>
            <w:r w:rsidR="003708AB" w:rsidRPr="003708AB">
              <w:rPr>
                <w:i/>
                <w:lang w:val="en-US"/>
              </w:rPr>
              <w:t>imes of Brexit: Global Perspectives</w:t>
            </w:r>
            <w:r w:rsidR="009B2CD2" w:rsidRPr="003708AB">
              <w:rPr>
                <w:lang w:val="en-US"/>
              </w:rPr>
              <w:t xml:space="preserve"> </w:t>
            </w:r>
            <w:bookmarkEnd w:id="0"/>
            <w:r w:rsidR="009B2CD2" w:rsidRPr="003708AB">
              <w:rPr>
                <w:lang w:val="en-US"/>
              </w:rPr>
              <w:t>(London: Routledge)</w:t>
            </w:r>
            <w:r w:rsidR="0029003A">
              <w:rPr>
                <w:lang w:val="en-US"/>
              </w:rPr>
              <w:t>, pp. 116-131</w:t>
            </w:r>
            <w:r w:rsidR="009B2CD2" w:rsidRPr="003708AB">
              <w:rPr>
                <w:lang w:val="en-US"/>
              </w:rPr>
              <w:t>.</w:t>
            </w:r>
          </w:p>
          <w:p w14:paraId="3173C96D" w14:textId="77777777" w:rsidR="00B61ABF" w:rsidRPr="00C956A2" w:rsidRDefault="0039246E" w:rsidP="000C58B9">
            <w:pPr>
              <w:numPr>
                <w:ilvl w:val="0"/>
                <w:numId w:val="6"/>
              </w:numPr>
              <w:rPr>
                <w:szCs w:val="24"/>
                <w:lang w:val="en-US" w:eastAsia="en-US"/>
              </w:rPr>
            </w:pPr>
            <w:r>
              <w:rPr>
                <w:szCs w:val="24"/>
                <w:highlight w:val="yellow"/>
                <w:lang w:val="en-US" w:eastAsia="en-US"/>
              </w:rPr>
              <w:t>For the group work, o</w:t>
            </w:r>
            <w:r w:rsidR="00B61ABF" w:rsidRPr="00B61ABF">
              <w:rPr>
                <w:szCs w:val="24"/>
                <w:highlight w:val="yellow"/>
                <w:lang w:val="en-US" w:eastAsia="en-US"/>
              </w:rPr>
              <w:t xml:space="preserve">ne group-specific reading from </w:t>
            </w:r>
            <w:r>
              <w:rPr>
                <w:szCs w:val="24"/>
                <w:highlight w:val="yellow"/>
                <w:lang w:val="en-US" w:eastAsia="en-US"/>
              </w:rPr>
              <w:t xml:space="preserve">the </w:t>
            </w:r>
            <w:r w:rsidR="00B61ABF" w:rsidRPr="00B61ABF">
              <w:rPr>
                <w:szCs w:val="24"/>
                <w:highlight w:val="yellow"/>
                <w:lang w:val="en-US" w:eastAsia="en-US"/>
              </w:rPr>
              <w:t>supplementary list will be added</w:t>
            </w:r>
            <w:r w:rsidR="00E43B5E" w:rsidRPr="00E43B5E">
              <w:rPr>
                <w:szCs w:val="24"/>
                <w:highlight w:val="yellow"/>
                <w:lang w:val="en-US" w:eastAsia="en-US"/>
              </w:rPr>
              <w:t>.</w:t>
            </w:r>
          </w:p>
        </w:tc>
      </w:tr>
      <w:tr w:rsidR="001B26C0" w:rsidRPr="00232B14" w14:paraId="062D3D48" w14:textId="77777777" w:rsidTr="00432E6E">
        <w:tc>
          <w:tcPr>
            <w:tcW w:w="1786" w:type="dxa"/>
            <w:shd w:val="clear" w:color="auto" w:fill="auto"/>
          </w:tcPr>
          <w:p w14:paraId="0BB586C5" w14:textId="77777777" w:rsidR="001B26C0" w:rsidRPr="003030EC" w:rsidRDefault="001B26C0" w:rsidP="003030EC">
            <w:pPr>
              <w:rPr>
                <w:lang w:val="en-US"/>
              </w:rPr>
            </w:pPr>
            <w:r>
              <w:rPr>
                <w:lang w:val="en-US"/>
              </w:rPr>
              <w:t>Supplementary literature</w:t>
            </w:r>
          </w:p>
        </w:tc>
        <w:tc>
          <w:tcPr>
            <w:tcW w:w="7570" w:type="dxa"/>
            <w:shd w:val="clear" w:color="auto" w:fill="auto"/>
          </w:tcPr>
          <w:p w14:paraId="28EE4947" w14:textId="7F18FF62" w:rsidR="0057468C" w:rsidRDefault="0057468C" w:rsidP="0057468C">
            <w:pPr>
              <w:rPr>
                <w:color w:val="000000"/>
                <w:szCs w:val="24"/>
                <w:lang w:val="en-US"/>
              </w:rPr>
            </w:pPr>
            <w:r>
              <w:rPr>
                <w:color w:val="000000"/>
                <w:szCs w:val="24"/>
                <w:lang w:val="en-US"/>
              </w:rPr>
              <w:t>Brexit</w:t>
            </w:r>
            <w:r w:rsidR="004F39A5">
              <w:rPr>
                <w:color w:val="000000"/>
                <w:szCs w:val="24"/>
                <w:lang w:val="en-US"/>
              </w:rPr>
              <w:t xml:space="preserve"> (including its impact on Canada-EU relations and Canadian perceptions of Europe)</w:t>
            </w:r>
          </w:p>
          <w:p w14:paraId="4B133F8A" w14:textId="076D71EE" w:rsidR="0057468C" w:rsidRPr="007F12CE" w:rsidRDefault="0057468C" w:rsidP="000C58B9">
            <w:pPr>
              <w:numPr>
                <w:ilvl w:val="0"/>
                <w:numId w:val="25"/>
              </w:numPr>
              <w:rPr>
                <w:szCs w:val="24"/>
                <w:lang w:val="en-US"/>
              </w:rPr>
            </w:pPr>
            <w:r w:rsidRPr="007F12CE">
              <w:rPr>
                <w:szCs w:val="24"/>
                <w:lang w:val="en-US"/>
              </w:rPr>
              <w:t xml:space="preserve">Bell, D. and Vucetic, S. (2019), “Brexit, CANZUK, and the Legacy of Empire”, </w:t>
            </w:r>
            <w:r w:rsidRPr="007F12CE">
              <w:rPr>
                <w:i/>
                <w:szCs w:val="24"/>
                <w:lang w:val="en-US"/>
              </w:rPr>
              <w:t>British Journal of Politics and International Relations</w:t>
            </w:r>
            <w:r w:rsidRPr="007F12CE">
              <w:rPr>
                <w:szCs w:val="24"/>
                <w:lang w:val="en-US"/>
              </w:rPr>
              <w:t xml:space="preserve"> </w:t>
            </w:r>
            <w:r w:rsidR="007F12CE" w:rsidRPr="007F12CE">
              <w:rPr>
                <w:szCs w:val="24"/>
                <w:lang w:val="en-US"/>
              </w:rPr>
              <w:t>21:2, 367-382</w:t>
            </w:r>
            <w:r w:rsidRPr="007F12CE">
              <w:rPr>
                <w:szCs w:val="24"/>
                <w:lang w:val="en-US"/>
              </w:rPr>
              <w:t xml:space="preserve">. </w:t>
            </w:r>
          </w:p>
          <w:p w14:paraId="10A89452" w14:textId="5BB8A1B1" w:rsidR="007F12CE" w:rsidRPr="007F12CE" w:rsidRDefault="007F12CE" w:rsidP="000C58B9">
            <w:pPr>
              <w:numPr>
                <w:ilvl w:val="0"/>
                <w:numId w:val="25"/>
              </w:numPr>
              <w:rPr>
                <w:color w:val="000000"/>
                <w:lang w:val="en-US"/>
              </w:rPr>
            </w:pPr>
            <w:r w:rsidRPr="007F12CE">
              <w:rPr>
                <w:color w:val="000000"/>
                <w:lang w:val="en-US"/>
              </w:rPr>
              <w:t xml:space="preserve">Chaban, N. (2020), “Perceptions, Expectations, Motivations: Evolution of Canadian </w:t>
            </w:r>
            <w:r>
              <w:rPr>
                <w:color w:val="000000"/>
                <w:lang w:val="en-US"/>
              </w:rPr>
              <w:t>V</w:t>
            </w:r>
            <w:r w:rsidRPr="007F12CE">
              <w:rPr>
                <w:color w:val="000000"/>
                <w:lang w:val="en-US"/>
              </w:rPr>
              <w:t>iews on the EU</w:t>
            </w:r>
            <w:r>
              <w:rPr>
                <w:color w:val="000000"/>
                <w:lang w:val="en-US"/>
              </w:rPr>
              <w:t xml:space="preserve">”, </w:t>
            </w:r>
            <w:r w:rsidRPr="007F12CE">
              <w:rPr>
                <w:i/>
                <w:iCs/>
                <w:color w:val="000000"/>
                <w:lang w:val="en-US"/>
              </w:rPr>
              <w:t>Australian and New Zealand Journal of European Studies</w:t>
            </w:r>
            <w:r>
              <w:rPr>
                <w:color w:val="000000"/>
                <w:lang w:val="en-US"/>
              </w:rPr>
              <w:t xml:space="preserve"> 11:3, 45-62.</w:t>
            </w:r>
          </w:p>
          <w:p w14:paraId="22311208" w14:textId="2658A105" w:rsidR="0057468C" w:rsidRDefault="0057468C" w:rsidP="000C58B9">
            <w:pPr>
              <w:numPr>
                <w:ilvl w:val="0"/>
                <w:numId w:val="25"/>
              </w:numPr>
              <w:rPr>
                <w:color w:val="000000"/>
                <w:lang w:val="en-US"/>
              </w:rPr>
            </w:pPr>
            <w:r w:rsidRPr="00D5466D">
              <w:rPr>
                <w:color w:val="000000"/>
                <w:lang w:val="en-US"/>
              </w:rPr>
              <w:t xml:space="preserve">Hurrelmann, A., Atikcan, E. Ö., Chalmers, A. W. and Viju-Miljusevic, C. </w:t>
            </w:r>
            <w:r>
              <w:rPr>
                <w:color w:val="000000"/>
                <w:lang w:val="en-US"/>
              </w:rPr>
              <w:t>(</w:t>
            </w:r>
            <w:r w:rsidRPr="00D5466D">
              <w:rPr>
                <w:color w:val="000000"/>
                <w:lang w:val="en-US"/>
              </w:rPr>
              <w:t>201</w:t>
            </w:r>
            <w:r w:rsidR="007F12CE">
              <w:rPr>
                <w:color w:val="000000"/>
                <w:lang w:val="en-US"/>
              </w:rPr>
              <w:t>9</w:t>
            </w:r>
            <w:r>
              <w:rPr>
                <w:color w:val="000000"/>
                <w:lang w:val="en-US"/>
              </w:rPr>
              <w:t>)</w:t>
            </w:r>
            <w:r w:rsidRPr="00D5466D">
              <w:rPr>
                <w:color w:val="000000"/>
                <w:lang w:val="en-US"/>
              </w:rPr>
              <w:t xml:space="preserve">, </w:t>
            </w:r>
            <w:r w:rsidR="007F12CE">
              <w:rPr>
                <w:color w:val="000000"/>
                <w:lang w:val="en-US"/>
              </w:rPr>
              <w:t>“</w:t>
            </w:r>
            <w:r w:rsidR="007F12CE" w:rsidRPr="007F12CE">
              <w:rPr>
                <w:color w:val="000000"/>
                <w:lang w:val="en-US"/>
              </w:rPr>
              <w:t xml:space="preserve">Political </w:t>
            </w:r>
            <w:r w:rsidR="007F12CE">
              <w:rPr>
                <w:color w:val="000000"/>
                <w:lang w:val="en-US"/>
              </w:rPr>
              <w:t>C</w:t>
            </w:r>
            <w:r w:rsidR="007F12CE" w:rsidRPr="007F12CE">
              <w:rPr>
                <w:color w:val="000000"/>
                <w:lang w:val="en-US"/>
              </w:rPr>
              <w:t xml:space="preserve">ontroversy about </w:t>
            </w:r>
            <w:r w:rsidR="007F12CE">
              <w:rPr>
                <w:color w:val="000000"/>
                <w:lang w:val="en-US"/>
              </w:rPr>
              <w:t>I</w:t>
            </w:r>
            <w:r w:rsidR="007F12CE" w:rsidRPr="007F12CE">
              <w:rPr>
                <w:color w:val="000000"/>
                <w:lang w:val="en-US"/>
              </w:rPr>
              <w:t xml:space="preserve">nternational </w:t>
            </w:r>
            <w:r w:rsidR="007F12CE">
              <w:rPr>
                <w:color w:val="000000"/>
                <w:lang w:val="en-US"/>
              </w:rPr>
              <w:t>E</w:t>
            </w:r>
            <w:r w:rsidR="007F12CE" w:rsidRPr="007F12CE">
              <w:rPr>
                <w:color w:val="000000"/>
                <w:lang w:val="en-US"/>
              </w:rPr>
              <w:t xml:space="preserve">conomic </w:t>
            </w:r>
            <w:r w:rsidR="007F12CE">
              <w:rPr>
                <w:color w:val="000000"/>
                <w:lang w:val="en-US"/>
              </w:rPr>
              <w:t>A</w:t>
            </w:r>
            <w:r w:rsidR="007F12CE" w:rsidRPr="007F12CE">
              <w:rPr>
                <w:color w:val="000000"/>
                <w:lang w:val="en-US"/>
              </w:rPr>
              <w:t>greements: Lessons for Canada</w:t>
            </w:r>
            <w:r w:rsidR="007F12CE">
              <w:rPr>
                <w:color w:val="000000"/>
                <w:lang w:val="en-US"/>
              </w:rPr>
              <w:t>-</w:t>
            </w:r>
            <w:r w:rsidR="007F12CE" w:rsidRPr="007F12CE">
              <w:rPr>
                <w:color w:val="000000"/>
                <w:lang w:val="en-US"/>
              </w:rPr>
              <w:t xml:space="preserve">UK </w:t>
            </w:r>
            <w:r w:rsidR="007F12CE">
              <w:rPr>
                <w:color w:val="000000"/>
                <w:lang w:val="en-US"/>
              </w:rPr>
              <w:t>T</w:t>
            </w:r>
            <w:r w:rsidR="007F12CE" w:rsidRPr="007F12CE">
              <w:rPr>
                <w:color w:val="000000"/>
                <w:lang w:val="en-US"/>
              </w:rPr>
              <w:t xml:space="preserve">rade </w:t>
            </w:r>
            <w:r w:rsidR="007F12CE">
              <w:rPr>
                <w:color w:val="000000"/>
                <w:lang w:val="en-US"/>
              </w:rPr>
              <w:t>N</w:t>
            </w:r>
            <w:r w:rsidR="007F12CE" w:rsidRPr="007F12CE">
              <w:rPr>
                <w:color w:val="000000"/>
                <w:lang w:val="en-US"/>
              </w:rPr>
              <w:t>egotiations after Brexit</w:t>
            </w:r>
            <w:r w:rsidR="007F12CE">
              <w:rPr>
                <w:color w:val="000000"/>
                <w:lang w:val="en-US"/>
              </w:rPr>
              <w:t xml:space="preserve">”, </w:t>
            </w:r>
            <w:r w:rsidR="007F12CE" w:rsidRPr="007F12CE">
              <w:rPr>
                <w:i/>
                <w:iCs/>
                <w:color w:val="000000"/>
                <w:lang w:val="en-US"/>
              </w:rPr>
              <w:t>International Journal</w:t>
            </w:r>
            <w:r w:rsidR="007F12CE">
              <w:rPr>
                <w:color w:val="000000"/>
                <w:lang w:val="en-US"/>
              </w:rPr>
              <w:t xml:space="preserve"> 74:3, </w:t>
            </w:r>
            <w:r w:rsidR="007F12CE" w:rsidRPr="007F12CE">
              <w:rPr>
                <w:color w:val="000000"/>
                <w:lang w:val="en-US"/>
              </w:rPr>
              <w:t>453-462</w:t>
            </w:r>
            <w:r w:rsidR="007F12CE">
              <w:rPr>
                <w:color w:val="000000"/>
                <w:lang w:val="en-US"/>
              </w:rPr>
              <w:t>.</w:t>
            </w:r>
          </w:p>
          <w:p w14:paraId="485E679D" w14:textId="61081BC5" w:rsidR="004566B6" w:rsidRDefault="004566B6" w:rsidP="000C58B9">
            <w:pPr>
              <w:numPr>
                <w:ilvl w:val="0"/>
                <w:numId w:val="25"/>
              </w:numPr>
              <w:rPr>
                <w:color w:val="000000"/>
                <w:lang w:val="en-US"/>
              </w:rPr>
            </w:pPr>
            <w:r>
              <w:rPr>
                <w:color w:val="000000"/>
                <w:lang w:val="en-US"/>
              </w:rPr>
              <w:t xml:space="preserve">Neuwahl, N. (2021), “Brexit and Canada: Stopgap Solutions for the EU-Canada Comprehensive Economic and Trade Agreement (CETA) or a New Beginning?”, </w:t>
            </w:r>
            <w:r w:rsidRPr="004566B6">
              <w:rPr>
                <w:i/>
                <w:color w:val="000000"/>
                <w:lang w:val="en-US"/>
              </w:rPr>
              <w:t>International Studies</w:t>
            </w:r>
            <w:r>
              <w:rPr>
                <w:color w:val="000000"/>
                <w:lang w:val="en-US"/>
              </w:rPr>
              <w:t xml:space="preserve"> 58:2, 248-264.</w:t>
            </w:r>
          </w:p>
          <w:p w14:paraId="3126019A" w14:textId="4CC54E6C" w:rsidR="00A271BD" w:rsidRPr="00A271BD" w:rsidRDefault="00A271BD" w:rsidP="000C58B9">
            <w:pPr>
              <w:numPr>
                <w:ilvl w:val="0"/>
                <w:numId w:val="25"/>
              </w:numPr>
              <w:rPr>
                <w:color w:val="000000"/>
                <w:lang w:val="en-US"/>
              </w:rPr>
            </w:pPr>
            <w:r w:rsidRPr="00A271BD">
              <w:rPr>
                <w:color w:val="000000"/>
                <w:lang w:val="en-US"/>
              </w:rPr>
              <w:t xml:space="preserve">Zyla, B. (2020), </w:t>
            </w:r>
            <w:r w:rsidRPr="00A271BD">
              <w:rPr>
                <w:i/>
                <w:iCs/>
                <w:color w:val="000000"/>
                <w:lang w:val="en-US"/>
              </w:rPr>
              <w:t xml:space="preserve">The End of European Security Institutions? The EU’s Common Foreign and Security Policy and NATO </w:t>
            </w:r>
            <w:r>
              <w:rPr>
                <w:i/>
                <w:iCs/>
                <w:color w:val="000000"/>
                <w:lang w:val="en-US"/>
              </w:rPr>
              <w:t>a</w:t>
            </w:r>
            <w:r w:rsidRPr="00A271BD">
              <w:rPr>
                <w:i/>
                <w:iCs/>
                <w:color w:val="000000"/>
                <w:lang w:val="en-US"/>
              </w:rPr>
              <w:t>fter Brexit</w:t>
            </w:r>
            <w:r>
              <w:rPr>
                <w:color w:val="000000"/>
                <w:lang w:val="en-US"/>
              </w:rPr>
              <w:t xml:space="preserve"> (Heidelberg: Springer).</w:t>
            </w:r>
          </w:p>
          <w:p w14:paraId="1734866D" w14:textId="77777777" w:rsidR="004F39A5" w:rsidRPr="004F39A5" w:rsidRDefault="004F39A5" w:rsidP="0057468C">
            <w:pPr>
              <w:rPr>
                <w:sz w:val="12"/>
                <w:szCs w:val="12"/>
                <w:lang w:val="en-US"/>
              </w:rPr>
            </w:pPr>
          </w:p>
          <w:p w14:paraId="3A10892A" w14:textId="3724BB5C" w:rsidR="0057468C" w:rsidRDefault="0057468C" w:rsidP="0057468C">
            <w:pPr>
              <w:rPr>
                <w:szCs w:val="24"/>
                <w:lang w:val="en-US"/>
              </w:rPr>
            </w:pPr>
            <w:r>
              <w:rPr>
                <w:szCs w:val="24"/>
                <w:lang w:val="en-US"/>
              </w:rPr>
              <w:t>Arctic policy</w:t>
            </w:r>
          </w:p>
          <w:p w14:paraId="7AE5A489" w14:textId="39AA13C5" w:rsidR="004566B6" w:rsidRPr="004566B6" w:rsidRDefault="004566B6" w:rsidP="000C58B9">
            <w:pPr>
              <w:numPr>
                <w:ilvl w:val="0"/>
                <w:numId w:val="25"/>
              </w:numPr>
              <w:rPr>
                <w:color w:val="000000"/>
                <w:szCs w:val="24"/>
                <w:lang w:val="en-CA"/>
              </w:rPr>
            </w:pPr>
            <w:proofErr w:type="spellStart"/>
            <w:r w:rsidRPr="004566B6">
              <w:rPr>
                <w:color w:val="000000"/>
                <w:szCs w:val="24"/>
                <w:lang w:val="en-CA"/>
              </w:rPr>
              <w:t>Chuffart</w:t>
            </w:r>
            <w:proofErr w:type="spellEnd"/>
            <w:r w:rsidRPr="004566B6">
              <w:rPr>
                <w:color w:val="000000"/>
                <w:szCs w:val="24"/>
                <w:lang w:val="en-CA"/>
              </w:rPr>
              <w:t xml:space="preserve">, R., Raspotnik, A., and </w:t>
            </w:r>
            <w:proofErr w:type="spellStart"/>
            <w:r w:rsidRPr="004566B6">
              <w:rPr>
                <w:color w:val="000000"/>
                <w:szCs w:val="24"/>
                <w:lang w:val="en-CA"/>
              </w:rPr>
              <w:t>Stępień</w:t>
            </w:r>
            <w:proofErr w:type="spellEnd"/>
            <w:r w:rsidRPr="004566B6">
              <w:rPr>
                <w:color w:val="000000"/>
                <w:szCs w:val="24"/>
                <w:lang w:val="en-CA"/>
              </w:rPr>
              <w:t>, A</w:t>
            </w:r>
            <w:r>
              <w:rPr>
                <w:color w:val="000000"/>
                <w:szCs w:val="24"/>
                <w:lang w:val="en-CA"/>
              </w:rPr>
              <w:t>. (2021), “</w:t>
            </w:r>
            <w:r w:rsidRPr="004566B6">
              <w:rPr>
                <w:color w:val="000000"/>
                <w:szCs w:val="24"/>
                <w:lang w:val="en-CA"/>
              </w:rPr>
              <w:t xml:space="preserve">Our </w:t>
            </w:r>
            <w:r>
              <w:rPr>
                <w:color w:val="000000"/>
                <w:szCs w:val="24"/>
                <w:lang w:val="en-CA"/>
              </w:rPr>
              <w:t>C</w:t>
            </w:r>
            <w:r w:rsidRPr="004566B6">
              <w:rPr>
                <w:color w:val="000000"/>
                <w:szCs w:val="24"/>
                <w:lang w:val="en-CA"/>
              </w:rPr>
              <w:t xml:space="preserve">ommon </w:t>
            </w:r>
            <w:r>
              <w:rPr>
                <w:color w:val="000000"/>
                <w:szCs w:val="24"/>
                <w:lang w:val="en-CA"/>
              </w:rPr>
              <w:t>A</w:t>
            </w:r>
            <w:r w:rsidRPr="004566B6">
              <w:rPr>
                <w:color w:val="000000"/>
                <w:szCs w:val="24"/>
                <w:lang w:val="en-CA"/>
              </w:rPr>
              <w:t xml:space="preserve">rctic? A </w:t>
            </w:r>
            <w:r>
              <w:rPr>
                <w:color w:val="000000"/>
                <w:szCs w:val="24"/>
                <w:lang w:val="en-CA"/>
              </w:rPr>
              <w:t>M</w:t>
            </w:r>
            <w:r w:rsidRPr="004566B6">
              <w:rPr>
                <w:color w:val="000000"/>
                <w:szCs w:val="24"/>
                <w:lang w:val="en-CA"/>
              </w:rPr>
              <w:t xml:space="preserve">ore </w:t>
            </w:r>
            <w:r>
              <w:rPr>
                <w:color w:val="000000"/>
                <w:szCs w:val="24"/>
                <w:lang w:val="en-CA"/>
              </w:rPr>
              <w:t>S</w:t>
            </w:r>
            <w:r w:rsidRPr="004566B6">
              <w:rPr>
                <w:color w:val="000000"/>
                <w:szCs w:val="24"/>
                <w:lang w:val="en-CA"/>
              </w:rPr>
              <w:t>ustainable EU-</w:t>
            </w:r>
            <w:r>
              <w:rPr>
                <w:color w:val="000000"/>
                <w:szCs w:val="24"/>
                <w:lang w:val="en-CA"/>
              </w:rPr>
              <w:t>A</w:t>
            </w:r>
            <w:r w:rsidRPr="004566B6">
              <w:rPr>
                <w:color w:val="000000"/>
                <w:szCs w:val="24"/>
                <w:lang w:val="en-CA"/>
              </w:rPr>
              <w:t xml:space="preserve">rctic </w:t>
            </w:r>
            <w:r>
              <w:rPr>
                <w:color w:val="000000"/>
                <w:szCs w:val="24"/>
                <w:lang w:val="en-CA"/>
              </w:rPr>
              <w:t>N</w:t>
            </w:r>
            <w:r w:rsidRPr="004566B6">
              <w:rPr>
                <w:color w:val="000000"/>
                <w:szCs w:val="24"/>
                <w:lang w:val="en-CA"/>
              </w:rPr>
              <w:t xml:space="preserve">exus in </w:t>
            </w:r>
            <w:r>
              <w:rPr>
                <w:color w:val="000000"/>
                <w:szCs w:val="24"/>
                <w:lang w:val="en-CA"/>
              </w:rPr>
              <w:t>L</w:t>
            </w:r>
            <w:r w:rsidRPr="004566B6">
              <w:rPr>
                <w:color w:val="000000"/>
                <w:szCs w:val="24"/>
                <w:lang w:val="en-CA"/>
              </w:rPr>
              <w:t xml:space="preserve">ight of the European </w:t>
            </w:r>
            <w:r>
              <w:rPr>
                <w:color w:val="000000"/>
                <w:szCs w:val="24"/>
                <w:lang w:val="en-CA"/>
              </w:rPr>
              <w:t>G</w:t>
            </w:r>
            <w:r w:rsidRPr="004566B6">
              <w:rPr>
                <w:color w:val="000000"/>
                <w:szCs w:val="24"/>
                <w:lang w:val="en-CA"/>
              </w:rPr>
              <w:t xml:space="preserve">reen </w:t>
            </w:r>
            <w:r>
              <w:rPr>
                <w:color w:val="000000"/>
                <w:szCs w:val="24"/>
                <w:lang w:val="en-CA"/>
              </w:rPr>
              <w:t>D</w:t>
            </w:r>
            <w:r w:rsidRPr="004566B6">
              <w:rPr>
                <w:color w:val="000000"/>
                <w:szCs w:val="24"/>
                <w:lang w:val="en-CA"/>
              </w:rPr>
              <w:t>eal</w:t>
            </w:r>
            <w:r>
              <w:rPr>
                <w:color w:val="000000"/>
                <w:szCs w:val="24"/>
                <w:lang w:val="en-CA"/>
              </w:rPr>
              <w:t xml:space="preserve">”, </w:t>
            </w:r>
            <w:r w:rsidRPr="004566B6">
              <w:rPr>
                <w:i/>
                <w:color w:val="000000"/>
                <w:szCs w:val="24"/>
                <w:lang w:val="en-CA"/>
              </w:rPr>
              <w:t>Polar Journal</w:t>
            </w:r>
            <w:r>
              <w:rPr>
                <w:color w:val="000000"/>
                <w:szCs w:val="24"/>
                <w:lang w:val="en-CA"/>
              </w:rPr>
              <w:t xml:space="preserve"> 11:2, 284-302.</w:t>
            </w:r>
          </w:p>
          <w:p w14:paraId="09AF0885" w14:textId="1E59ECFF" w:rsidR="0057468C" w:rsidRPr="0065788D" w:rsidRDefault="0057468C" w:rsidP="000C58B9">
            <w:pPr>
              <w:numPr>
                <w:ilvl w:val="0"/>
                <w:numId w:val="25"/>
              </w:numPr>
              <w:rPr>
                <w:color w:val="000000"/>
                <w:szCs w:val="24"/>
                <w:lang w:val="en-US"/>
              </w:rPr>
            </w:pPr>
            <w:proofErr w:type="spellStart"/>
            <w:r w:rsidRPr="008952E8">
              <w:rPr>
                <w:rFonts w:eastAsia="Cambria"/>
                <w:color w:val="000000"/>
                <w:szCs w:val="24"/>
                <w:lang w:val="en-US"/>
              </w:rPr>
              <w:t>Dodds</w:t>
            </w:r>
            <w:proofErr w:type="spellEnd"/>
            <w:r w:rsidRPr="008952E8">
              <w:rPr>
                <w:rFonts w:eastAsia="Cambria"/>
                <w:color w:val="000000"/>
                <w:szCs w:val="24"/>
                <w:lang w:val="en-US"/>
              </w:rPr>
              <w:t xml:space="preserve">, K. (2010), “Flag Planting and Finger Pointing: The Law of the Sea, the Arctic and the Political Geographies of the Outer Continental Shelf”, </w:t>
            </w:r>
            <w:r w:rsidRPr="008952E8">
              <w:rPr>
                <w:rFonts w:eastAsia="Cambria"/>
                <w:i/>
                <w:color w:val="000000"/>
                <w:szCs w:val="24"/>
                <w:lang w:val="en-US"/>
              </w:rPr>
              <w:t>Political Geography</w:t>
            </w:r>
            <w:r w:rsidRPr="008952E8">
              <w:rPr>
                <w:rFonts w:eastAsia="Cambria"/>
                <w:color w:val="000000"/>
                <w:szCs w:val="24"/>
                <w:lang w:val="en-US"/>
              </w:rPr>
              <w:t xml:space="preserve"> 29:2, 63-73.</w:t>
            </w:r>
          </w:p>
          <w:p w14:paraId="1D4CACB3" w14:textId="42FDD179" w:rsidR="0065788D" w:rsidRPr="004566B6" w:rsidRDefault="00294E5D" w:rsidP="00920A45">
            <w:pPr>
              <w:numPr>
                <w:ilvl w:val="0"/>
                <w:numId w:val="25"/>
              </w:numPr>
              <w:rPr>
                <w:color w:val="000000"/>
                <w:szCs w:val="24"/>
                <w:lang w:val="en-US"/>
              </w:rPr>
            </w:pPr>
            <w:r w:rsidRPr="004566B6">
              <w:rPr>
                <w:color w:val="000000"/>
                <w:szCs w:val="24"/>
                <w:lang w:val="en-US"/>
              </w:rPr>
              <w:t xml:space="preserve">Raspotnik, A. and </w:t>
            </w:r>
            <w:proofErr w:type="spellStart"/>
            <w:r w:rsidR="0065788D" w:rsidRPr="004566B6">
              <w:rPr>
                <w:color w:val="000000"/>
                <w:szCs w:val="24"/>
                <w:lang w:val="en-US"/>
              </w:rPr>
              <w:t>Østhagen</w:t>
            </w:r>
            <w:proofErr w:type="spellEnd"/>
            <w:r w:rsidR="0065788D" w:rsidRPr="004566B6">
              <w:rPr>
                <w:color w:val="000000"/>
                <w:szCs w:val="24"/>
                <w:lang w:val="en-US"/>
              </w:rPr>
              <w:t>, A</w:t>
            </w:r>
            <w:r w:rsidR="00A56AD4" w:rsidRPr="004566B6">
              <w:rPr>
                <w:color w:val="000000"/>
                <w:szCs w:val="24"/>
                <w:lang w:val="en-US"/>
              </w:rPr>
              <w:t>.</w:t>
            </w:r>
            <w:r w:rsidR="0065788D" w:rsidRPr="004566B6">
              <w:rPr>
                <w:color w:val="000000"/>
                <w:szCs w:val="24"/>
                <w:lang w:val="en-US"/>
              </w:rPr>
              <w:t xml:space="preserve"> (20</w:t>
            </w:r>
            <w:r w:rsidR="004566B6" w:rsidRPr="004566B6">
              <w:rPr>
                <w:color w:val="000000"/>
                <w:szCs w:val="24"/>
                <w:lang w:val="en-US"/>
              </w:rPr>
              <w:t>22</w:t>
            </w:r>
            <w:r w:rsidR="0065788D" w:rsidRPr="004566B6">
              <w:rPr>
                <w:color w:val="000000"/>
                <w:szCs w:val="24"/>
                <w:lang w:val="en-US"/>
              </w:rPr>
              <w:t>), “</w:t>
            </w:r>
            <w:r w:rsidR="004566B6" w:rsidRPr="004566B6">
              <w:rPr>
                <w:color w:val="000000"/>
                <w:szCs w:val="24"/>
                <w:lang w:val="en-US"/>
              </w:rPr>
              <w:t>The European Union and Arctic Security Governance</w:t>
            </w:r>
            <w:r w:rsidR="0065788D" w:rsidRPr="004566B6">
              <w:rPr>
                <w:color w:val="000000"/>
                <w:szCs w:val="24"/>
                <w:lang w:val="en-US"/>
              </w:rPr>
              <w:t xml:space="preserve">”, </w:t>
            </w:r>
            <w:r w:rsidR="004566B6" w:rsidRPr="004566B6">
              <w:rPr>
                <w:color w:val="000000"/>
                <w:szCs w:val="24"/>
                <w:lang w:val="en-US"/>
              </w:rPr>
              <w:t xml:space="preserve">in M. Finger and G. </w:t>
            </w:r>
            <w:proofErr w:type="spellStart"/>
            <w:r w:rsidR="004566B6" w:rsidRPr="004566B6">
              <w:rPr>
                <w:color w:val="000000"/>
                <w:szCs w:val="24"/>
                <w:lang w:val="en-US"/>
              </w:rPr>
              <w:t>Rekvíg</w:t>
            </w:r>
            <w:proofErr w:type="spellEnd"/>
            <w:r w:rsidR="004566B6" w:rsidRPr="004566B6">
              <w:rPr>
                <w:color w:val="000000"/>
                <w:szCs w:val="24"/>
                <w:lang w:val="en-US"/>
              </w:rPr>
              <w:t>, eds., Global Arctic: An Introduction to the Multifaceted Dynamics of the Arctic</w:t>
            </w:r>
            <w:r w:rsidR="004566B6">
              <w:rPr>
                <w:color w:val="000000"/>
                <w:szCs w:val="24"/>
                <w:lang w:val="en-US"/>
              </w:rPr>
              <w:t xml:space="preserve"> (Heidelberg: Springer), pp. 425-424.</w:t>
            </w:r>
          </w:p>
          <w:p w14:paraId="1A9FB2A5" w14:textId="77777777" w:rsidR="0057468C" w:rsidRPr="008952E8" w:rsidRDefault="0057468C" w:rsidP="000C58B9">
            <w:pPr>
              <w:numPr>
                <w:ilvl w:val="0"/>
                <w:numId w:val="25"/>
              </w:numPr>
              <w:rPr>
                <w:color w:val="000000"/>
                <w:szCs w:val="24"/>
                <w:lang w:val="en-US" w:eastAsia="en-US"/>
              </w:rPr>
            </w:pPr>
            <w:proofErr w:type="spellStart"/>
            <w:r w:rsidRPr="008952E8">
              <w:rPr>
                <w:color w:val="000000"/>
                <w:szCs w:val="24"/>
                <w:lang w:val="en-US" w:eastAsia="en-US"/>
              </w:rPr>
              <w:lastRenderedPageBreak/>
              <w:t>Wegge</w:t>
            </w:r>
            <w:proofErr w:type="spellEnd"/>
            <w:r w:rsidRPr="008952E8">
              <w:rPr>
                <w:color w:val="000000"/>
                <w:szCs w:val="24"/>
                <w:lang w:val="en-US" w:eastAsia="en-US"/>
              </w:rPr>
              <w:t xml:space="preserve">, N. (2012), “The EU and the Arctic: European Foreign Policy in the Making”, </w:t>
            </w:r>
            <w:r w:rsidRPr="008952E8">
              <w:rPr>
                <w:i/>
                <w:iCs/>
                <w:color w:val="000000"/>
                <w:szCs w:val="24"/>
                <w:lang w:val="en-US" w:eastAsia="en-US"/>
              </w:rPr>
              <w:t>Arctic Review</w:t>
            </w:r>
            <w:r w:rsidRPr="008952E8">
              <w:rPr>
                <w:color w:val="000000"/>
                <w:szCs w:val="24"/>
                <w:lang w:val="en-US" w:eastAsia="en-US"/>
              </w:rPr>
              <w:t xml:space="preserve"> </w:t>
            </w:r>
            <w:r w:rsidRPr="008952E8">
              <w:rPr>
                <w:i/>
                <w:iCs/>
                <w:color w:val="000000"/>
                <w:szCs w:val="24"/>
                <w:lang w:val="en-US" w:eastAsia="en-US"/>
              </w:rPr>
              <w:t>3</w:t>
            </w:r>
            <w:r w:rsidRPr="008952E8">
              <w:rPr>
                <w:color w:val="000000"/>
                <w:szCs w:val="24"/>
                <w:lang w:val="en-US" w:eastAsia="en-US"/>
              </w:rPr>
              <w:t>:1, 6-29.</w:t>
            </w:r>
          </w:p>
          <w:p w14:paraId="3B676C35" w14:textId="77777777" w:rsidR="0057468C" w:rsidRPr="009732B2" w:rsidRDefault="0057468C" w:rsidP="0057468C">
            <w:pPr>
              <w:rPr>
                <w:sz w:val="12"/>
                <w:szCs w:val="12"/>
                <w:lang w:val="en-US"/>
              </w:rPr>
            </w:pPr>
          </w:p>
          <w:p w14:paraId="36A94FC9" w14:textId="450660C5" w:rsidR="0057468C" w:rsidRDefault="0057468C" w:rsidP="00BA17E8">
            <w:pPr>
              <w:keepNext/>
              <w:rPr>
                <w:szCs w:val="24"/>
                <w:lang w:val="en-US"/>
              </w:rPr>
            </w:pPr>
            <w:r>
              <w:rPr>
                <w:szCs w:val="24"/>
                <w:lang w:val="en-US"/>
              </w:rPr>
              <w:t>Energy/environment</w:t>
            </w:r>
          </w:p>
          <w:p w14:paraId="3122F920" w14:textId="77777777" w:rsidR="00725BEC" w:rsidRPr="00725BEC" w:rsidRDefault="00725BEC" w:rsidP="000C58B9">
            <w:pPr>
              <w:pStyle w:val="ListParagraph"/>
              <w:numPr>
                <w:ilvl w:val="0"/>
                <w:numId w:val="28"/>
              </w:numPr>
              <w:rPr>
                <w:szCs w:val="24"/>
                <w:lang w:val="en-CA"/>
              </w:rPr>
            </w:pPr>
            <w:r w:rsidRPr="00725BEC">
              <w:rPr>
                <w:szCs w:val="24"/>
                <w:lang w:val="en-CA"/>
              </w:rPr>
              <w:t>Dolata-</w:t>
            </w:r>
            <w:proofErr w:type="spellStart"/>
            <w:r w:rsidRPr="00725BEC">
              <w:rPr>
                <w:szCs w:val="24"/>
                <w:lang w:val="en-CA"/>
              </w:rPr>
              <w:t>Kreutzkamp</w:t>
            </w:r>
            <w:proofErr w:type="spellEnd"/>
            <w:r w:rsidRPr="00725BEC">
              <w:rPr>
                <w:szCs w:val="24"/>
                <w:lang w:val="en-CA"/>
              </w:rPr>
              <w:t xml:space="preserve">, P. (2008), “Canada-Germany-EU: Energy Security and Climate Change”, </w:t>
            </w:r>
            <w:r w:rsidRPr="00725BEC">
              <w:rPr>
                <w:i/>
                <w:szCs w:val="24"/>
                <w:lang w:val="en-CA"/>
              </w:rPr>
              <w:t>International Journal</w:t>
            </w:r>
            <w:r w:rsidRPr="00725BEC">
              <w:rPr>
                <w:szCs w:val="24"/>
                <w:lang w:val="en-CA"/>
              </w:rPr>
              <w:t xml:space="preserve"> 63:3, 665-681.</w:t>
            </w:r>
          </w:p>
          <w:p w14:paraId="6763E941" w14:textId="66E5A213" w:rsidR="00725BEC" w:rsidRPr="00725BEC" w:rsidRDefault="00725BEC" w:rsidP="000C58B9">
            <w:pPr>
              <w:numPr>
                <w:ilvl w:val="0"/>
                <w:numId w:val="25"/>
              </w:numPr>
              <w:rPr>
                <w:color w:val="000000"/>
                <w:szCs w:val="24"/>
                <w:lang w:val="en-US" w:eastAsia="en-US"/>
              </w:rPr>
            </w:pPr>
            <w:proofErr w:type="spellStart"/>
            <w:r w:rsidRPr="00725BEC">
              <w:rPr>
                <w:szCs w:val="24"/>
                <w:lang w:val="en-CA"/>
              </w:rPr>
              <w:t>Urpelainen</w:t>
            </w:r>
            <w:proofErr w:type="spellEnd"/>
            <w:r w:rsidRPr="00725BEC">
              <w:rPr>
                <w:szCs w:val="24"/>
                <w:lang w:val="en-CA"/>
              </w:rPr>
              <w:t xml:space="preserve">, J. and Van de Graaf, T. (2018), “United States Non-cooperation and the Paris Agreement”, </w:t>
            </w:r>
            <w:r w:rsidRPr="00725BEC">
              <w:rPr>
                <w:i/>
                <w:szCs w:val="24"/>
                <w:lang w:val="en-CA"/>
              </w:rPr>
              <w:t>Climate Policy</w:t>
            </w:r>
            <w:r w:rsidRPr="00725BEC">
              <w:rPr>
                <w:szCs w:val="24"/>
                <w:lang w:val="en-CA"/>
              </w:rPr>
              <w:t xml:space="preserve"> 18:7, 839-851.</w:t>
            </w:r>
          </w:p>
          <w:p w14:paraId="55F74C71" w14:textId="1BF5D2B2" w:rsidR="00725BEC" w:rsidRPr="00725BEC" w:rsidRDefault="00725BEC" w:rsidP="000C58B9">
            <w:pPr>
              <w:numPr>
                <w:ilvl w:val="0"/>
                <w:numId w:val="25"/>
              </w:numPr>
              <w:rPr>
                <w:color w:val="000000"/>
                <w:szCs w:val="24"/>
                <w:lang w:val="en-US" w:eastAsia="en-US"/>
              </w:rPr>
            </w:pPr>
            <w:r>
              <w:rPr>
                <w:color w:val="000000"/>
                <w:szCs w:val="24"/>
                <w:lang w:val="en-US" w:eastAsia="en-US"/>
              </w:rPr>
              <w:t xml:space="preserve">Van </w:t>
            </w:r>
            <w:proofErr w:type="spellStart"/>
            <w:r>
              <w:rPr>
                <w:color w:val="000000"/>
                <w:szCs w:val="24"/>
                <w:lang w:val="en-US" w:eastAsia="en-US"/>
              </w:rPr>
              <w:t>Ninjatten</w:t>
            </w:r>
            <w:proofErr w:type="spellEnd"/>
            <w:r>
              <w:rPr>
                <w:color w:val="000000"/>
                <w:szCs w:val="24"/>
                <w:lang w:val="en-US" w:eastAsia="en-US"/>
              </w:rPr>
              <w:t xml:space="preserve">, D. (2018), “Canada’s International Environmental Policy: Trudeau’s Trifecta of Challenges”, </w:t>
            </w:r>
            <w:r w:rsidRPr="00725BEC">
              <w:rPr>
                <w:color w:val="000000"/>
                <w:szCs w:val="24"/>
                <w:lang w:val="en-US" w:eastAsia="en-US"/>
              </w:rPr>
              <w:t xml:space="preserve">in: N. </w:t>
            </w:r>
            <w:proofErr w:type="spellStart"/>
            <w:r w:rsidRPr="00725BEC">
              <w:rPr>
                <w:color w:val="000000"/>
                <w:szCs w:val="24"/>
                <w:lang w:val="en-US" w:eastAsia="en-US"/>
              </w:rPr>
              <w:t>Hillmer</w:t>
            </w:r>
            <w:proofErr w:type="spellEnd"/>
            <w:r w:rsidRPr="00725BEC">
              <w:rPr>
                <w:color w:val="000000"/>
                <w:szCs w:val="24"/>
                <w:lang w:val="en-US" w:eastAsia="en-US"/>
              </w:rPr>
              <w:t xml:space="preserve"> and P. </w:t>
            </w:r>
            <w:proofErr w:type="spellStart"/>
            <w:r w:rsidRPr="00725BEC">
              <w:rPr>
                <w:color w:val="000000"/>
                <w:szCs w:val="24"/>
                <w:lang w:val="en-US" w:eastAsia="en-US"/>
              </w:rPr>
              <w:t>Lagassé</w:t>
            </w:r>
            <w:proofErr w:type="spellEnd"/>
            <w:r w:rsidRPr="00725BEC">
              <w:rPr>
                <w:color w:val="000000"/>
                <w:szCs w:val="24"/>
                <w:lang w:val="en-US" w:eastAsia="en-US"/>
              </w:rPr>
              <w:t xml:space="preserve">, eds., </w:t>
            </w:r>
            <w:r w:rsidRPr="00725BEC">
              <w:rPr>
                <w:i/>
                <w:color w:val="000000"/>
                <w:szCs w:val="24"/>
                <w:lang w:val="en-US" w:eastAsia="en-US"/>
              </w:rPr>
              <w:t>Justin Trudeau and Canadian Foreign Policy</w:t>
            </w:r>
            <w:r w:rsidRPr="00725BEC">
              <w:rPr>
                <w:color w:val="000000"/>
                <w:szCs w:val="24"/>
                <w:lang w:val="en-US" w:eastAsia="en-US"/>
              </w:rPr>
              <w:t xml:space="preserve"> (Basingstoke: Palgrave Macmillan), </w:t>
            </w:r>
            <w:r>
              <w:rPr>
                <w:color w:val="000000"/>
                <w:szCs w:val="24"/>
                <w:lang w:val="en-US" w:eastAsia="en-US"/>
              </w:rPr>
              <w:t>103-124</w:t>
            </w:r>
            <w:r w:rsidRPr="00725BEC">
              <w:rPr>
                <w:color w:val="000000"/>
                <w:szCs w:val="24"/>
                <w:lang w:val="en-US" w:eastAsia="en-US"/>
              </w:rPr>
              <w:t>.</w:t>
            </w:r>
          </w:p>
          <w:p w14:paraId="043EB8E1" w14:textId="54FBABB6" w:rsidR="009732B2" w:rsidRPr="008952E8" w:rsidRDefault="009732B2" w:rsidP="000C58B9">
            <w:pPr>
              <w:numPr>
                <w:ilvl w:val="0"/>
                <w:numId w:val="25"/>
              </w:numPr>
              <w:rPr>
                <w:color w:val="000000"/>
                <w:szCs w:val="24"/>
                <w:lang w:val="en-US" w:eastAsia="en-US"/>
              </w:rPr>
            </w:pPr>
            <w:proofErr w:type="spellStart"/>
            <w:r w:rsidRPr="008952E8">
              <w:rPr>
                <w:color w:val="000000"/>
                <w:lang w:val="en-US"/>
              </w:rPr>
              <w:t>Wohlers</w:t>
            </w:r>
            <w:proofErr w:type="spellEnd"/>
            <w:r w:rsidRPr="008952E8">
              <w:rPr>
                <w:color w:val="000000"/>
                <w:lang w:val="en-US"/>
              </w:rPr>
              <w:t xml:space="preserve">, A. E. (2010), “Regulating Genetically Modified Food: Policy Trajectories, Political Culture, and Risk Perceptions in the U.S., Canada, and EU”, </w:t>
            </w:r>
            <w:r w:rsidRPr="008952E8">
              <w:rPr>
                <w:i/>
                <w:color w:val="000000"/>
                <w:lang w:val="en-US"/>
              </w:rPr>
              <w:t>Politics and the Life Sciences</w:t>
            </w:r>
            <w:r w:rsidRPr="008952E8">
              <w:rPr>
                <w:color w:val="000000"/>
                <w:lang w:val="en-US"/>
              </w:rPr>
              <w:t xml:space="preserve"> 29:2, 17-39.</w:t>
            </w:r>
          </w:p>
          <w:p w14:paraId="09A5C6D2" w14:textId="77777777" w:rsidR="0057468C" w:rsidRPr="009732B2" w:rsidRDefault="0057468C" w:rsidP="0057468C">
            <w:pPr>
              <w:rPr>
                <w:sz w:val="12"/>
                <w:szCs w:val="12"/>
                <w:lang w:val="en-US"/>
              </w:rPr>
            </w:pPr>
          </w:p>
          <w:p w14:paraId="20992891" w14:textId="20BB2DF3" w:rsidR="0057468C" w:rsidRDefault="0057468C" w:rsidP="0057468C">
            <w:pPr>
              <w:rPr>
                <w:szCs w:val="24"/>
                <w:lang w:val="en-US"/>
              </w:rPr>
            </w:pPr>
            <w:r>
              <w:rPr>
                <w:szCs w:val="24"/>
                <w:lang w:val="en-US"/>
              </w:rPr>
              <w:t>Feminist foreign policy</w:t>
            </w:r>
          </w:p>
          <w:p w14:paraId="17E18EA0" w14:textId="3059EC18" w:rsidR="0057468C" w:rsidRPr="0057468C" w:rsidRDefault="0057468C" w:rsidP="000C58B9">
            <w:pPr>
              <w:pStyle w:val="ListParagraph"/>
              <w:numPr>
                <w:ilvl w:val="0"/>
                <w:numId w:val="27"/>
              </w:numPr>
              <w:rPr>
                <w:szCs w:val="24"/>
                <w:lang w:val="en-US"/>
              </w:rPr>
            </w:pPr>
            <w:proofErr w:type="spellStart"/>
            <w:r w:rsidRPr="0057468C">
              <w:rPr>
                <w:color w:val="000000"/>
                <w:szCs w:val="24"/>
                <w:lang w:val="en-US"/>
              </w:rPr>
              <w:t>Aggestam</w:t>
            </w:r>
            <w:proofErr w:type="spellEnd"/>
            <w:r w:rsidRPr="0057468C">
              <w:rPr>
                <w:color w:val="000000"/>
                <w:szCs w:val="24"/>
                <w:lang w:val="en-US"/>
              </w:rPr>
              <w:t xml:space="preserve">, K., Bergman Rosamond, A., and </w:t>
            </w:r>
            <w:proofErr w:type="spellStart"/>
            <w:r w:rsidRPr="0057468C">
              <w:rPr>
                <w:color w:val="000000"/>
                <w:szCs w:val="24"/>
                <w:lang w:val="en-US"/>
              </w:rPr>
              <w:t>Kronsell</w:t>
            </w:r>
            <w:proofErr w:type="spellEnd"/>
            <w:r w:rsidRPr="0057468C">
              <w:rPr>
                <w:color w:val="000000"/>
                <w:szCs w:val="24"/>
                <w:lang w:val="en-US"/>
              </w:rPr>
              <w:t>, A. (2019),</w:t>
            </w:r>
            <w:r w:rsidRPr="0057468C">
              <w:rPr>
                <w:lang w:val="en-CA"/>
              </w:rPr>
              <w:t xml:space="preserve"> </w:t>
            </w:r>
            <w:r>
              <w:rPr>
                <w:lang w:val="en-CA"/>
              </w:rPr>
              <w:t>“</w:t>
            </w:r>
            <w:proofErr w:type="spellStart"/>
            <w:r w:rsidRPr="0057468C">
              <w:rPr>
                <w:color w:val="000000"/>
                <w:szCs w:val="24"/>
                <w:lang w:val="en-US"/>
              </w:rPr>
              <w:t>Theorising</w:t>
            </w:r>
            <w:proofErr w:type="spellEnd"/>
            <w:r w:rsidRPr="0057468C">
              <w:rPr>
                <w:color w:val="000000"/>
                <w:szCs w:val="24"/>
                <w:lang w:val="en-US"/>
              </w:rPr>
              <w:t xml:space="preserve"> </w:t>
            </w:r>
            <w:r>
              <w:rPr>
                <w:color w:val="000000"/>
                <w:szCs w:val="24"/>
                <w:lang w:val="en-US"/>
              </w:rPr>
              <w:t>F</w:t>
            </w:r>
            <w:r w:rsidRPr="0057468C">
              <w:rPr>
                <w:color w:val="000000"/>
                <w:szCs w:val="24"/>
                <w:lang w:val="en-US"/>
              </w:rPr>
              <w:t xml:space="preserve">eminist </w:t>
            </w:r>
            <w:r>
              <w:rPr>
                <w:color w:val="000000"/>
                <w:szCs w:val="24"/>
                <w:lang w:val="en-US"/>
              </w:rPr>
              <w:t>F</w:t>
            </w:r>
            <w:r w:rsidRPr="0057468C">
              <w:rPr>
                <w:color w:val="000000"/>
                <w:szCs w:val="24"/>
                <w:lang w:val="en-US"/>
              </w:rPr>
              <w:t xml:space="preserve">oreign </w:t>
            </w:r>
            <w:r>
              <w:rPr>
                <w:color w:val="000000"/>
                <w:szCs w:val="24"/>
                <w:lang w:val="en-US"/>
              </w:rPr>
              <w:t>P</w:t>
            </w:r>
            <w:r w:rsidRPr="0057468C">
              <w:rPr>
                <w:color w:val="000000"/>
                <w:szCs w:val="24"/>
                <w:lang w:val="en-US"/>
              </w:rPr>
              <w:t>olicy</w:t>
            </w:r>
            <w:r>
              <w:rPr>
                <w:color w:val="000000"/>
                <w:szCs w:val="24"/>
                <w:lang w:val="en-US"/>
              </w:rPr>
              <w:t xml:space="preserve">”, </w:t>
            </w:r>
            <w:r w:rsidRPr="0057468C">
              <w:rPr>
                <w:i/>
                <w:color w:val="000000"/>
                <w:szCs w:val="24"/>
                <w:lang w:val="en-US"/>
              </w:rPr>
              <w:t>International Relations</w:t>
            </w:r>
            <w:r>
              <w:rPr>
                <w:color w:val="000000"/>
                <w:szCs w:val="24"/>
                <w:lang w:val="en-US"/>
              </w:rPr>
              <w:t xml:space="preserve"> 33:1, 23-39.</w:t>
            </w:r>
          </w:p>
          <w:p w14:paraId="24F5C489" w14:textId="33747463" w:rsidR="00540F2A" w:rsidRPr="00540F2A" w:rsidRDefault="00540F2A" w:rsidP="000C58B9">
            <w:pPr>
              <w:pStyle w:val="ListParagraph"/>
              <w:keepLines/>
              <w:numPr>
                <w:ilvl w:val="0"/>
                <w:numId w:val="27"/>
              </w:numPr>
              <w:ind w:left="357" w:hanging="357"/>
              <w:rPr>
                <w:szCs w:val="24"/>
                <w:lang w:val="en-CA"/>
              </w:rPr>
            </w:pPr>
            <w:proofErr w:type="spellStart"/>
            <w:r>
              <w:rPr>
                <w:szCs w:val="24"/>
                <w:lang w:val="en-CA"/>
              </w:rPr>
              <w:t>Chapnick</w:t>
            </w:r>
            <w:proofErr w:type="spellEnd"/>
            <w:r>
              <w:rPr>
                <w:szCs w:val="24"/>
                <w:lang w:val="en-CA"/>
              </w:rPr>
              <w:t xml:space="preserve">, A. (2019), “The Origins of Canada’s Feminist Foreign Policy”, </w:t>
            </w:r>
            <w:r w:rsidRPr="00540F2A">
              <w:rPr>
                <w:i/>
                <w:iCs/>
                <w:szCs w:val="24"/>
                <w:lang w:val="en-CA"/>
              </w:rPr>
              <w:t>International Journal</w:t>
            </w:r>
            <w:r>
              <w:rPr>
                <w:szCs w:val="24"/>
                <w:lang w:val="en-CA"/>
              </w:rPr>
              <w:t xml:space="preserve"> </w:t>
            </w:r>
            <w:r w:rsidRPr="00540F2A">
              <w:rPr>
                <w:szCs w:val="24"/>
                <w:lang w:val="en-CA"/>
              </w:rPr>
              <w:t>74</w:t>
            </w:r>
            <w:r>
              <w:rPr>
                <w:szCs w:val="24"/>
                <w:lang w:val="en-CA"/>
              </w:rPr>
              <w:t>:</w:t>
            </w:r>
            <w:r w:rsidRPr="00540F2A">
              <w:rPr>
                <w:szCs w:val="24"/>
                <w:lang w:val="en-CA"/>
              </w:rPr>
              <w:t>2, 191-205</w:t>
            </w:r>
            <w:r>
              <w:rPr>
                <w:szCs w:val="24"/>
                <w:lang w:val="en-CA"/>
              </w:rPr>
              <w:t>.</w:t>
            </w:r>
          </w:p>
          <w:p w14:paraId="4B68E332" w14:textId="008A4222" w:rsidR="004566B6" w:rsidRPr="004566B6" w:rsidRDefault="004566B6" w:rsidP="000C58B9">
            <w:pPr>
              <w:pStyle w:val="ListParagraph"/>
              <w:keepLines/>
              <w:numPr>
                <w:ilvl w:val="0"/>
                <w:numId w:val="27"/>
              </w:numPr>
              <w:ind w:left="357" w:hanging="357"/>
              <w:rPr>
                <w:szCs w:val="24"/>
                <w:lang w:val="en-CA"/>
              </w:rPr>
            </w:pPr>
            <w:r>
              <w:rPr>
                <w:szCs w:val="24"/>
                <w:lang w:val="en-CA"/>
              </w:rPr>
              <w:t>Thompson, J. (2022), “</w:t>
            </w:r>
            <w:r w:rsidRPr="004566B6">
              <w:rPr>
                <w:szCs w:val="24"/>
                <w:lang w:val="en-CA"/>
              </w:rPr>
              <w:t xml:space="preserve">Gender </w:t>
            </w:r>
            <w:r>
              <w:rPr>
                <w:szCs w:val="24"/>
                <w:lang w:val="en-CA"/>
              </w:rPr>
              <w:t>N</w:t>
            </w:r>
            <w:r w:rsidRPr="004566B6">
              <w:rPr>
                <w:szCs w:val="24"/>
                <w:lang w:val="en-CA"/>
              </w:rPr>
              <w:t xml:space="preserve">orms, </w:t>
            </w:r>
            <w:r>
              <w:rPr>
                <w:szCs w:val="24"/>
                <w:lang w:val="en-CA"/>
              </w:rPr>
              <w:t>G</w:t>
            </w:r>
            <w:r w:rsidRPr="004566B6">
              <w:rPr>
                <w:szCs w:val="24"/>
                <w:lang w:val="en-CA"/>
              </w:rPr>
              <w:t xml:space="preserve">lobal </w:t>
            </w:r>
            <w:r>
              <w:rPr>
                <w:szCs w:val="24"/>
                <w:lang w:val="en-CA"/>
              </w:rPr>
              <w:t>H</w:t>
            </w:r>
            <w:r w:rsidRPr="004566B6">
              <w:rPr>
                <w:szCs w:val="24"/>
                <w:lang w:val="en-CA"/>
              </w:rPr>
              <w:t xml:space="preserve">ierarchies and the </w:t>
            </w:r>
            <w:r>
              <w:rPr>
                <w:szCs w:val="24"/>
                <w:lang w:val="en-CA"/>
              </w:rPr>
              <w:t>E</w:t>
            </w:r>
            <w:r w:rsidRPr="004566B6">
              <w:rPr>
                <w:szCs w:val="24"/>
                <w:lang w:val="en-CA"/>
              </w:rPr>
              <w:t xml:space="preserve">volution of </w:t>
            </w:r>
            <w:r>
              <w:rPr>
                <w:szCs w:val="24"/>
                <w:lang w:val="en-CA"/>
              </w:rPr>
              <w:t>F</w:t>
            </w:r>
            <w:r w:rsidRPr="004566B6">
              <w:rPr>
                <w:szCs w:val="24"/>
                <w:lang w:val="en-CA"/>
              </w:rPr>
              <w:t xml:space="preserve">eminist </w:t>
            </w:r>
            <w:r>
              <w:rPr>
                <w:szCs w:val="24"/>
                <w:lang w:val="en-CA"/>
              </w:rPr>
              <w:t>F</w:t>
            </w:r>
            <w:r w:rsidRPr="004566B6">
              <w:rPr>
                <w:szCs w:val="24"/>
                <w:lang w:val="en-CA"/>
              </w:rPr>
              <w:t xml:space="preserve">oreign </w:t>
            </w:r>
            <w:r>
              <w:rPr>
                <w:szCs w:val="24"/>
                <w:lang w:val="en-CA"/>
              </w:rPr>
              <w:t>P</w:t>
            </w:r>
            <w:r w:rsidRPr="004566B6">
              <w:rPr>
                <w:szCs w:val="24"/>
                <w:lang w:val="en-CA"/>
              </w:rPr>
              <w:t>olicy</w:t>
            </w:r>
            <w:r>
              <w:rPr>
                <w:szCs w:val="24"/>
                <w:lang w:val="en-CA"/>
              </w:rPr>
              <w:t xml:space="preserve">”, </w:t>
            </w:r>
            <w:r w:rsidRPr="00A40564">
              <w:rPr>
                <w:i/>
                <w:szCs w:val="24"/>
                <w:lang w:val="en-CA"/>
              </w:rPr>
              <w:t>European Journal of Politics and Gender</w:t>
            </w:r>
            <w:r w:rsidR="00A40564">
              <w:rPr>
                <w:szCs w:val="24"/>
                <w:lang w:val="en-CA"/>
              </w:rPr>
              <w:t xml:space="preserve">, Early View, DOI: </w:t>
            </w:r>
            <w:r w:rsidR="00A40564" w:rsidRPr="00A40564">
              <w:rPr>
                <w:szCs w:val="24"/>
                <w:lang w:val="en-CA"/>
              </w:rPr>
              <w:t>10.1332/251510821X16354220233761</w:t>
            </w:r>
            <w:r w:rsidR="00A40564">
              <w:rPr>
                <w:szCs w:val="24"/>
                <w:lang w:val="en-CA"/>
              </w:rPr>
              <w:t>.</w:t>
            </w:r>
          </w:p>
          <w:p w14:paraId="04C31516" w14:textId="79083868" w:rsidR="0057468C" w:rsidRPr="0037097D" w:rsidRDefault="0057468C" w:rsidP="000C58B9">
            <w:pPr>
              <w:pStyle w:val="ListParagraph"/>
              <w:keepLines/>
              <w:numPr>
                <w:ilvl w:val="0"/>
                <w:numId w:val="27"/>
              </w:numPr>
              <w:ind w:left="357" w:hanging="357"/>
              <w:rPr>
                <w:szCs w:val="24"/>
                <w:lang w:val="en-CA"/>
              </w:rPr>
            </w:pPr>
            <w:proofErr w:type="spellStart"/>
            <w:r w:rsidRPr="0057468C">
              <w:rPr>
                <w:color w:val="000000"/>
                <w:szCs w:val="24"/>
                <w:lang w:val="en-CA"/>
              </w:rPr>
              <w:t>Tiessen</w:t>
            </w:r>
            <w:proofErr w:type="spellEnd"/>
            <w:r w:rsidRPr="0057468C">
              <w:rPr>
                <w:color w:val="000000"/>
                <w:szCs w:val="24"/>
                <w:lang w:val="en-CA"/>
              </w:rPr>
              <w:t xml:space="preserve">, R. and Swan, E. </w:t>
            </w:r>
            <w:r>
              <w:rPr>
                <w:color w:val="000000"/>
                <w:szCs w:val="24"/>
                <w:lang w:val="en-CA"/>
              </w:rPr>
              <w:t xml:space="preserve">(2018), “Canada’s Feminist Foreign Policy Promises: An Ambitious Agenda for Gender Equality, Human Rights, Peace, and Security”, </w:t>
            </w:r>
            <w:r w:rsidRPr="0057468C">
              <w:rPr>
                <w:color w:val="000000"/>
                <w:szCs w:val="24"/>
                <w:lang w:val="en-CA"/>
              </w:rPr>
              <w:t xml:space="preserve">in: N. </w:t>
            </w:r>
            <w:proofErr w:type="spellStart"/>
            <w:r w:rsidRPr="0057468C">
              <w:rPr>
                <w:color w:val="000000"/>
                <w:szCs w:val="24"/>
                <w:lang w:val="en-CA"/>
              </w:rPr>
              <w:t>Hillmer</w:t>
            </w:r>
            <w:proofErr w:type="spellEnd"/>
            <w:r w:rsidRPr="0057468C">
              <w:rPr>
                <w:color w:val="000000"/>
                <w:szCs w:val="24"/>
                <w:lang w:val="en-CA"/>
              </w:rPr>
              <w:t xml:space="preserve"> and P. </w:t>
            </w:r>
            <w:proofErr w:type="spellStart"/>
            <w:r w:rsidRPr="0057468C">
              <w:rPr>
                <w:color w:val="000000"/>
                <w:szCs w:val="24"/>
                <w:lang w:val="en-CA"/>
              </w:rPr>
              <w:t>Lagassé</w:t>
            </w:r>
            <w:proofErr w:type="spellEnd"/>
            <w:r w:rsidRPr="0057468C">
              <w:rPr>
                <w:color w:val="000000"/>
                <w:szCs w:val="24"/>
                <w:lang w:val="en-CA"/>
              </w:rPr>
              <w:t xml:space="preserve">, eds., </w:t>
            </w:r>
            <w:r w:rsidRPr="0057468C">
              <w:rPr>
                <w:i/>
                <w:color w:val="000000"/>
                <w:szCs w:val="24"/>
                <w:lang w:val="en-CA"/>
              </w:rPr>
              <w:t>Justin Trudeau and Canadian Foreign Policy</w:t>
            </w:r>
            <w:r w:rsidRPr="0057468C">
              <w:rPr>
                <w:color w:val="000000"/>
                <w:szCs w:val="24"/>
                <w:lang w:val="en-CA"/>
              </w:rPr>
              <w:t xml:space="preserve"> (Basingstoke: Palgrave Macmillan),</w:t>
            </w:r>
            <w:r>
              <w:rPr>
                <w:color w:val="000000"/>
                <w:szCs w:val="24"/>
                <w:lang w:val="en-CA"/>
              </w:rPr>
              <w:t xml:space="preserve"> 187-206.</w:t>
            </w:r>
          </w:p>
          <w:p w14:paraId="2380CFB6" w14:textId="77777777" w:rsidR="0037097D" w:rsidRPr="0037097D" w:rsidRDefault="0037097D" w:rsidP="0037097D">
            <w:pPr>
              <w:keepLines/>
              <w:rPr>
                <w:sz w:val="12"/>
                <w:szCs w:val="12"/>
                <w:lang w:val="en-CA"/>
              </w:rPr>
            </w:pPr>
          </w:p>
          <w:p w14:paraId="5101980A" w14:textId="72E3C40F" w:rsidR="0057468C" w:rsidRPr="0057468C" w:rsidRDefault="0057468C" w:rsidP="00725BEC">
            <w:pPr>
              <w:keepNext/>
              <w:rPr>
                <w:szCs w:val="24"/>
                <w:lang w:val="en-CA"/>
              </w:rPr>
            </w:pPr>
            <w:r>
              <w:rPr>
                <w:szCs w:val="24"/>
                <w:lang w:val="en-CA"/>
              </w:rPr>
              <w:t>Fisheries</w:t>
            </w:r>
          </w:p>
          <w:p w14:paraId="22AAFC40" w14:textId="77777777" w:rsidR="0057468C" w:rsidRDefault="00C956A2" w:rsidP="000C58B9">
            <w:pPr>
              <w:numPr>
                <w:ilvl w:val="0"/>
                <w:numId w:val="25"/>
              </w:numPr>
              <w:rPr>
                <w:color w:val="000000"/>
                <w:szCs w:val="24"/>
                <w:lang w:val="en-US"/>
              </w:rPr>
            </w:pPr>
            <w:r w:rsidRPr="008952E8">
              <w:rPr>
                <w:color w:val="000000"/>
                <w:szCs w:val="24"/>
                <w:lang w:val="en-US"/>
              </w:rPr>
              <w:t xml:space="preserve">Barry, D., Applebaum, B, and Wiseman, E. (2014), </w:t>
            </w:r>
            <w:r w:rsidRPr="008952E8">
              <w:rPr>
                <w:i/>
                <w:color w:val="000000"/>
                <w:szCs w:val="24"/>
                <w:lang w:val="en-US"/>
              </w:rPr>
              <w:t>Fishing for a Solution: Canada's Fisheries Relations with the European Union, 1977-2013</w:t>
            </w:r>
            <w:r w:rsidRPr="008952E8">
              <w:rPr>
                <w:color w:val="000000"/>
                <w:szCs w:val="24"/>
                <w:lang w:val="en-US"/>
              </w:rPr>
              <w:t xml:space="preserve"> (Calgary: University of Calgary Press).</w:t>
            </w:r>
          </w:p>
          <w:p w14:paraId="69C2CCCD" w14:textId="31018729" w:rsidR="0057468C" w:rsidRPr="0057468C" w:rsidRDefault="0057468C" w:rsidP="000C58B9">
            <w:pPr>
              <w:numPr>
                <w:ilvl w:val="0"/>
                <w:numId w:val="25"/>
              </w:numPr>
              <w:rPr>
                <w:color w:val="000000"/>
                <w:szCs w:val="24"/>
                <w:lang w:val="en-US"/>
              </w:rPr>
            </w:pPr>
            <w:r w:rsidRPr="0057468C">
              <w:rPr>
                <w:color w:val="000000"/>
                <w:lang w:val="en-US"/>
              </w:rPr>
              <w:t xml:space="preserve">Rey </w:t>
            </w:r>
            <w:proofErr w:type="spellStart"/>
            <w:r w:rsidRPr="0057468C">
              <w:rPr>
                <w:color w:val="000000"/>
                <w:lang w:val="en-US"/>
              </w:rPr>
              <w:t>Aneiros</w:t>
            </w:r>
            <w:proofErr w:type="spellEnd"/>
            <w:r w:rsidRPr="0057468C">
              <w:rPr>
                <w:color w:val="000000"/>
                <w:lang w:val="en-US"/>
              </w:rPr>
              <w:t xml:space="preserve">, A. (2011), “Spain, the European Union, and Canada: A New Phase in the Unstable Balance in the Northwest Atlantic Fisheries”, </w:t>
            </w:r>
            <w:r w:rsidRPr="0057468C">
              <w:rPr>
                <w:i/>
                <w:color w:val="000000"/>
                <w:lang w:val="en-US"/>
              </w:rPr>
              <w:t>Ocean Development &amp; International Law</w:t>
            </w:r>
            <w:r w:rsidRPr="0057468C">
              <w:rPr>
                <w:color w:val="000000"/>
                <w:lang w:val="en-US"/>
              </w:rPr>
              <w:t xml:space="preserve"> 42:1-2, 155-172.</w:t>
            </w:r>
          </w:p>
          <w:p w14:paraId="688D7D4B" w14:textId="546C3D54" w:rsidR="0057468C" w:rsidRDefault="0057468C" w:rsidP="0057468C">
            <w:pPr>
              <w:rPr>
                <w:color w:val="000000"/>
                <w:sz w:val="12"/>
                <w:szCs w:val="12"/>
                <w:lang w:val="en-US"/>
              </w:rPr>
            </w:pPr>
          </w:p>
          <w:p w14:paraId="10327208" w14:textId="1E739DC0" w:rsidR="009732B2" w:rsidRPr="008952E8" w:rsidRDefault="009732B2" w:rsidP="009732B2">
            <w:pPr>
              <w:rPr>
                <w:color w:val="000000"/>
                <w:szCs w:val="24"/>
                <w:lang w:val="en-US"/>
              </w:rPr>
            </w:pPr>
            <w:r>
              <w:rPr>
                <w:color w:val="000000"/>
                <w:szCs w:val="24"/>
                <w:lang w:val="en-US"/>
              </w:rPr>
              <w:t>Migration/refugees</w:t>
            </w:r>
          </w:p>
          <w:p w14:paraId="53AB1511" w14:textId="36277905" w:rsidR="00A40564" w:rsidRPr="00A40564" w:rsidRDefault="00A40564" w:rsidP="00920A45">
            <w:pPr>
              <w:pStyle w:val="ListParagraph"/>
              <w:numPr>
                <w:ilvl w:val="0"/>
                <w:numId w:val="27"/>
              </w:numPr>
              <w:rPr>
                <w:szCs w:val="24"/>
                <w:lang w:val="en-CA"/>
              </w:rPr>
            </w:pPr>
            <w:r w:rsidRPr="00A40564">
              <w:rPr>
                <w:szCs w:val="24"/>
                <w:lang w:val="en-CA"/>
              </w:rPr>
              <w:t xml:space="preserve">Garnier, A. (2021), “The Pact and Refugee Resettlement: Lessons from Australia and Canada”, in: S. Carrera and A. Geddes, eds., </w:t>
            </w:r>
            <w:r w:rsidRPr="00A40564">
              <w:rPr>
                <w:i/>
                <w:szCs w:val="24"/>
                <w:lang w:val="en-CA"/>
              </w:rPr>
              <w:t xml:space="preserve">The EU Pact on Migration and Asylum </w:t>
            </w:r>
            <w:proofErr w:type="gramStart"/>
            <w:r w:rsidRPr="00A40564">
              <w:rPr>
                <w:i/>
                <w:szCs w:val="24"/>
                <w:lang w:val="en-CA"/>
              </w:rPr>
              <w:t>in Light of</w:t>
            </w:r>
            <w:proofErr w:type="gramEnd"/>
            <w:r w:rsidRPr="00A40564">
              <w:rPr>
                <w:i/>
                <w:szCs w:val="24"/>
                <w:lang w:val="en-CA"/>
              </w:rPr>
              <w:t xml:space="preserve"> the United Nations Global Compact on Refugees</w:t>
            </w:r>
            <w:r>
              <w:rPr>
                <w:szCs w:val="24"/>
                <w:lang w:val="en-CA"/>
              </w:rPr>
              <w:t xml:space="preserve"> (Florence: European University Institute), pp. 25-36.</w:t>
            </w:r>
          </w:p>
          <w:p w14:paraId="3FC949D1" w14:textId="5317D09E" w:rsidR="009732B2" w:rsidRPr="0057468C" w:rsidRDefault="009732B2" w:rsidP="000C58B9">
            <w:pPr>
              <w:pStyle w:val="ListParagraph"/>
              <w:numPr>
                <w:ilvl w:val="0"/>
                <w:numId w:val="27"/>
              </w:numPr>
              <w:rPr>
                <w:szCs w:val="24"/>
                <w:lang w:val="en-CA"/>
              </w:rPr>
            </w:pPr>
            <w:r>
              <w:rPr>
                <w:color w:val="000000"/>
                <w:lang w:val="en-US"/>
              </w:rPr>
              <w:t xml:space="preserve">Gilmour, J. F. (2018), “The Trudeau Government, Refugee Policy, and </w:t>
            </w:r>
            <w:proofErr w:type="spellStart"/>
            <w:r>
              <w:rPr>
                <w:color w:val="000000"/>
                <w:lang w:val="en-US"/>
              </w:rPr>
              <w:t>Echos</w:t>
            </w:r>
            <w:proofErr w:type="spellEnd"/>
            <w:r>
              <w:rPr>
                <w:color w:val="000000"/>
                <w:lang w:val="en-US"/>
              </w:rPr>
              <w:t xml:space="preserve"> of the Past”, </w:t>
            </w:r>
            <w:r w:rsidRPr="0057468C">
              <w:rPr>
                <w:color w:val="000000"/>
                <w:szCs w:val="24"/>
                <w:lang w:val="en-CA"/>
              </w:rPr>
              <w:t xml:space="preserve">in: N. </w:t>
            </w:r>
            <w:proofErr w:type="spellStart"/>
            <w:r w:rsidRPr="0057468C">
              <w:rPr>
                <w:color w:val="000000"/>
                <w:szCs w:val="24"/>
                <w:lang w:val="en-CA"/>
              </w:rPr>
              <w:t>Hillmer</w:t>
            </w:r>
            <w:proofErr w:type="spellEnd"/>
            <w:r w:rsidRPr="0057468C">
              <w:rPr>
                <w:color w:val="000000"/>
                <w:szCs w:val="24"/>
                <w:lang w:val="en-CA"/>
              </w:rPr>
              <w:t xml:space="preserve"> and P. </w:t>
            </w:r>
            <w:proofErr w:type="spellStart"/>
            <w:r w:rsidRPr="0057468C">
              <w:rPr>
                <w:color w:val="000000"/>
                <w:szCs w:val="24"/>
                <w:lang w:val="en-CA"/>
              </w:rPr>
              <w:t>Lagassé</w:t>
            </w:r>
            <w:proofErr w:type="spellEnd"/>
            <w:r w:rsidRPr="0057468C">
              <w:rPr>
                <w:color w:val="000000"/>
                <w:szCs w:val="24"/>
                <w:lang w:val="en-CA"/>
              </w:rPr>
              <w:t xml:space="preserve">, eds., </w:t>
            </w:r>
            <w:r w:rsidRPr="0057468C">
              <w:rPr>
                <w:i/>
                <w:color w:val="000000"/>
                <w:szCs w:val="24"/>
                <w:lang w:val="en-CA"/>
              </w:rPr>
              <w:t>Justin Trudeau and Canadian Foreign Policy</w:t>
            </w:r>
            <w:r w:rsidRPr="0057468C">
              <w:rPr>
                <w:color w:val="000000"/>
                <w:szCs w:val="24"/>
                <w:lang w:val="en-CA"/>
              </w:rPr>
              <w:t xml:space="preserve"> (Basingstoke: Palgrave Macmillan),</w:t>
            </w:r>
            <w:r>
              <w:rPr>
                <w:color w:val="000000"/>
                <w:szCs w:val="24"/>
                <w:lang w:val="en-CA"/>
              </w:rPr>
              <w:t xml:space="preserve"> 233-246.</w:t>
            </w:r>
          </w:p>
          <w:p w14:paraId="00549C08" w14:textId="13C31EBB" w:rsidR="009732B2" w:rsidRDefault="009732B2" w:rsidP="000C58B9">
            <w:pPr>
              <w:numPr>
                <w:ilvl w:val="0"/>
                <w:numId w:val="25"/>
              </w:numPr>
              <w:rPr>
                <w:color w:val="000000"/>
                <w:lang w:val="en-US"/>
              </w:rPr>
            </w:pPr>
            <w:proofErr w:type="spellStart"/>
            <w:r w:rsidRPr="00B171A5">
              <w:rPr>
                <w:color w:val="000000"/>
                <w:szCs w:val="24"/>
                <w:lang w:val="en-US" w:eastAsia="en-US"/>
              </w:rPr>
              <w:lastRenderedPageBreak/>
              <w:t>Schittenhelm</w:t>
            </w:r>
            <w:proofErr w:type="spellEnd"/>
            <w:r w:rsidRPr="00B171A5">
              <w:rPr>
                <w:color w:val="000000"/>
                <w:szCs w:val="24"/>
                <w:lang w:val="en-US" w:eastAsia="en-US"/>
              </w:rPr>
              <w:t xml:space="preserve">, K., and Schmidtke, O. (2010), “Integrating Highly Skilled Migrants into the Economy: Transatlantic Perspectives”, </w:t>
            </w:r>
            <w:r w:rsidRPr="00B171A5">
              <w:rPr>
                <w:i/>
                <w:iCs/>
                <w:color w:val="000000"/>
                <w:szCs w:val="24"/>
                <w:lang w:val="en-US" w:eastAsia="en-US"/>
              </w:rPr>
              <w:t>International Journal</w:t>
            </w:r>
            <w:r w:rsidRPr="00B171A5">
              <w:rPr>
                <w:color w:val="000000"/>
                <w:szCs w:val="24"/>
                <w:lang w:val="en-US" w:eastAsia="en-US"/>
              </w:rPr>
              <w:t xml:space="preserve"> </w:t>
            </w:r>
            <w:r w:rsidRPr="00B171A5">
              <w:rPr>
                <w:iCs/>
                <w:color w:val="000000"/>
                <w:szCs w:val="24"/>
                <w:lang w:val="en-US" w:eastAsia="en-US"/>
              </w:rPr>
              <w:t>66</w:t>
            </w:r>
            <w:r w:rsidRPr="00B171A5">
              <w:rPr>
                <w:color w:val="000000"/>
                <w:szCs w:val="24"/>
                <w:lang w:val="en-US" w:eastAsia="en-US"/>
              </w:rPr>
              <w:t>:1, 127-143.</w:t>
            </w:r>
          </w:p>
          <w:p w14:paraId="48CFD214" w14:textId="7AFA13E3" w:rsidR="00BA17E8" w:rsidRPr="00BA17E8" w:rsidRDefault="009732B2" w:rsidP="0057468C">
            <w:pPr>
              <w:numPr>
                <w:ilvl w:val="0"/>
                <w:numId w:val="25"/>
              </w:numPr>
              <w:rPr>
                <w:color w:val="000000"/>
                <w:lang w:val="en-US"/>
              </w:rPr>
            </w:pPr>
            <w:r w:rsidRPr="009732B2">
              <w:rPr>
                <w:color w:val="000000"/>
                <w:lang w:val="en-US"/>
              </w:rPr>
              <w:t>Zaiotti, R. (2012), “</w:t>
            </w:r>
            <w:proofErr w:type="spellStart"/>
            <w:r w:rsidRPr="009732B2">
              <w:rPr>
                <w:color w:val="000000"/>
                <w:lang w:val="en-US"/>
              </w:rPr>
              <w:t>Practising</w:t>
            </w:r>
            <w:proofErr w:type="spellEnd"/>
            <w:r w:rsidRPr="009732B2">
              <w:rPr>
                <w:color w:val="000000"/>
                <w:lang w:val="en-US"/>
              </w:rPr>
              <w:t xml:space="preserve"> Homeland Security across the Atlantic: Practical Learning and Policy Convergence in Europe and North America”, </w:t>
            </w:r>
            <w:r w:rsidRPr="009732B2">
              <w:rPr>
                <w:i/>
                <w:color w:val="000000"/>
                <w:lang w:val="en-US"/>
              </w:rPr>
              <w:t>European Security</w:t>
            </w:r>
            <w:r w:rsidRPr="009732B2">
              <w:rPr>
                <w:color w:val="000000"/>
                <w:lang w:val="en-US"/>
              </w:rPr>
              <w:t xml:space="preserve"> 21:3, 328-346.</w:t>
            </w:r>
          </w:p>
          <w:p w14:paraId="69575896" w14:textId="77777777" w:rsidR="00301820" w:rsidRPr="00544436" w:rsidRDefault="00301820" w:rsidP="00BA17E8">
            <w:pPr>
              <w:keepNext/>
              <w:keepLines/>
              <w:rPr>
                <w:color w:val="000000"/>
                <w:sz w:val="12"/>
                <w:szCs w:val="12"/>
                <w:lang w:val="en-US"/>
              </w:rPr>
            </w:pPr>
          </w:p>
          <w:p w14:paraId="01B3B2E4" w14:textId="2B233882" w:rsidR="0057468C" w:rsidRDefault="0057468C" w:rsidP="00BA17E8">
            <w:pPr>
              <w:keepNext/>
              <w:keepLines/>
              <w:rPr>
                <w:color w:val="000000"/>
                <w:szCs w:val="24"/>
                <w:lang w:val="en-US"/>
              </w:rPr>
            </w:pPr>
            <w:r>
              <w:rPr>
                <w:color w:val="000000"/>
                <w:szCs w:val="24"/>
                <w:lang w:val="en-US"/>
              </w:rPr>
              <w:t xml:space="preserve">Relations with </w:t>
            </w:r>
            <w:r w:rsidR="009732B2">
              <w:rPr>
                <w:color w:val="000000"/>
                <w:szCs w:val="24"/>
                <w:lang w:val="en-US"/>
              </w:rPr>
              <w:t>China</w:t>
            </w:r>
          </w:p>
          <w:p w14:paraId="70D980B1" w14:textId="2B4E4E4D" w:rsidR="0065788D" w:rsidRPr="0065788D" w:rsidRDefault="0065788D" w:rsidP="00BA17E8">
            <w:pPr>
              <w:keepLines/>
              <w:numPr>
                <w:ilvl w:val="0"/>
                <w:numId w:val="25"/>
              </w:numPr>
              <w:rPr>
                <w:lang w:val="en-US"/>
              </w:rPr>
            </w:pPr>
            <w:r>
              <w:rPr>
                <w:lang w:val="en-US"/>
              </w:rPr>
              <w:t xml:space="preserve">Farnell, J. and Crookes, P. I. (2016), </w:t>
            </w:r>
            <w:r w:rsidRPr="0065788D">
              <w:rPr>
                <w:i/>
                <w:lang w:val="en-US"/>
              </w:rPr>
              <w:t>The Politics of EU-China Economic Relations: An Uneasy Partnership</w:t>
            </w:r>
            <w:r>
              <w:rPr>
                <w:lang w:val="en-US"/>
              </w:rPr>
              <w:t xml:space="preserve"> (Basingstoke: </w:t>
            </w:r>
            <w:r w:rsidRPr="0065788D">
              <w:rPr>
                <w:lang w:val="en-US"/>
              </w:rPr>
              <w:t>Palgrave Macmillan</w:t>
            </w:r>
            <w:r>
              <w:rPr>
                <w:lang w:val="en-US"/>
              </w:rPr>
              <w:t>)</w:t>
            </w:r>
            <w:r w:rsidRPr="0065788D">
              <w:rPr>
                <w:lang w:val="en-US"/>
              </w:rPr>
              <w:t xml:space="preserve">.  </w:t>
            </w:r>
          </w:p>
          <w:p w14:paraId="41AB633A" w14:textId="3E287C72" w:rsidR="0065788D" w:rsidRPr="0065788D" w:rsidRDefault="0065788D" w:rsidP="000C58B9">
            <w:pPr>
              <w:numPr>
                <w:ilvl w:val="0"/>
                <w:numId w:val="25"/>
              </w:numPr>
              <w:rPr>
                <w:lang w:val="en-US"/>
              </w:rPr>
            </w:pPr>
            <w:r w:rsidRPr="0065788D">
              <w:rPr>
                <w:lang w:val="en-US"/>
              </w:rPr>
              <w:t xml:space="preserve">Maher, R. (2016), “The Elusive EU-China Strategic Partnership”, </w:t>
            </w:r>
            <w:r w:rsidRPr="0065788D">
              <w:rPr>
                <w:i/>
                <w:lang w:val="en-US"/>
              </w:rPr>
              <w:t>International Affairs</w:t>
            </w:r>
            <w:r w:rsidRPr="0065788D">
              <w:rPr>
                <w:lang w:val="en-US"/>
              </w:rPr>
              <w:t xml:space="preserve"> 92:4, 959-976.</w:t>
            </w:r>
          </w:p>
          <w:p w14:paraId="6270681A" w14:textId="77777777" w:rsidR="009732B2" w:rsidRPr="00A40564" w:rsidRDefault="009732B2" w:rsidP="000C58B9">
            <w:pPr>
              <w:numPr>
                <w:ilvl w:val="0"/>
                <w:numId w:val="25"/>
              </w:numPr>
              <w:rPr>
                <w:lang w:val="en-US"/>
              </w:rPr>
            </w:pPr>
            <w:r w:rsidRPr="009732B2">
              <w:rPr>
                <w:szCs w:val="24"/>
                <w:lang w:val="en-US" w:eastAsia="en-US"/>
              </w:rPr>
              <w:t xml:space="preserve">Paris, R. (2019), “Alone in the </w:t>
            </w:r>
            <w:r w:rsidR="0044042C">
              <w:rPr>
                <w:szCs w:val="24"/>
                <w:lang w:val="en-US" w:eastAsia="en-US"/>
              </w:rPr>
              <w:t>W</w:t>
            </w:r>
            <w:r w:rsidRPr="009732B2">
              <w:rPr>
                <w:szCs w:val="24"/>
                <w:lang w:val="en-US" w:eastAsia="en-US"/>
              </w:rPr>
              <w:t xml:space="preserve">orld? Making </w:t>
            </w:r>
            <w:r>
              <w:rPr>
                <w:szCs w:val="24"/>
                <w:lang w:val="en-US" w:eastAsia="en-US"/>
              </w:rPr>
              <w:t>S</w:t>
            </w:r>
            <w:r w:rsidRPr="009732B2">
              <w:rPr>
                <w:szCs w:val="24"/>
                <w:lang w:val="en-US" w:eastAsia="en-US"/>
              </w:rPr>
              <w:t xml:space="preserve">ense of Canada’s </w:t>
            </w:r>
            <w:r>
              <w:rPr>
                <w:szCs w:val="24"/>
                <w:lang w:val="en-US" w:eastAsia="en-US"/>
              </w:rPr>
              <w:t>D</w:t>
            </w:r>
            <w:r w:rsidRPr="009732B2">
              <w:rPr>
                <w:szCs w:val="24"/>
                <w:lang w:val="en-US" w:eastAsia="en-US"/>
              </w:rPr>
              <w:t>isputes with</w:t>
            </w:r>
            <w:r>
              <w:rPr>
                <w:szCs w:val="24"/>
                <w:lang w:val="en-US" w:eastAsia="en-US"/>
              </w:rPr>
              <w:t xml:space="preserve"> </w:t>
            </w:r>
            <w:r w:rsidRPr="009732B2">
              <w:rPr>
                <w:szCs w:val="24"/>
                <w:lang w:val="en-US" w:eastAsia="en-US"/>
              </w:rPr>
              <w:t>Saudi Arabia and China</w:t>
            </w:r>
            <w:r>
              <w:rPr>
                <w:szCs w:val="24"/>
                <w:lang w:val="en-US" w:eastAsia="en-US"/>
              </w:rPr>
              <w:t xml:space="preserve">”, </w:t>
            </w:r>
            <w:r w:rsidRPr="009732B2">
              <w:rPr>
                <w:i/>
                <w:szCs w:val="24"/>
                <w:lang w:val="en-US" w:eastAsia="en-US"/>
              </w:rPr>
              <w:t>International Journal</w:t>
            </w:r>
            <w:r>
              <w:rPr>
                <w:szCs w:val="24"/>
                <w:lang w:val="en-US" w:eastAsia="en-US"/>
              </w:rPr>
              <w:t xml:space="preserve"> 74:1, 151-161.</w:t>
            </w:r>
          </w:p>
          <w:p w14:paraId="2B7D6F8D" w14:textId="4BAAD391" w:rsidR="00A40564" w:rsidRPr="009732B2" w:rsidRDefault="00A40564" w:rsidP="000C58B9">
            <w:pPr>
              <w:numPr>
                <w:ilvl w:val="0"/>
                <w:numId w:val="25"/>
              </w:numPr>
              <w:rPr>
                <w:lang w:val="en-US"/>
              </w:rPr>
            </w:pPr>
            <w:proofErr w:type="spellStart"/>
            <w:r>
              <w:rPr>
                <w:lang w:val="en-US"/>
              </w:rPr>
              <w:t>Umbach</w:t>
            </w:r>
            <w:proofErr w:type="spellEnd"/>
            <w:r>
              <w:rPr>
                <w:lang w:val="en-US"/>
              </w:rPr>
              <w:t>, F. (2021), “</w:t>
            </w:r>
            <w:r w:rsidRPr="00A40564">
              <w:rPr>
                <w:lang w:val="en-US"/>
              </w:rPr>
              <w:t xml:space="preserve">EU–China Relations at a Crossroads: Decoupling or a European </w:t>
            </w:r>
            <w:r>
              <w:rPr>
                <w:lang w:val="en-US"/>
              </w:rPr>
              <w:t>‘</w:t>
            </w:r>
            <w:r w:rsidRPr="00A40564">
              <w:rPr>
                <w:lang w:val="en-US"/>
              </w:rPr>
              <w:t>Sinatra Doctrine</w:t>
            </w:r>
            <w:r>
              <w:rPr>
                <w:lang w:val="en-US"/>
              </w:rPr>
              <w:t>’</w:t>
            </w:r>
            <w:r w:rsidRPr="00A40564">
              <w:rPr>
                <w:lang w:val="en-US"/>
              </w:rPr>
              <w:t>?</w:t>
            </w:r>
            <w:r>
              <w:rPr>
                <w:lang w:val="en-US"/>
              </w:rPr>
              <w:t xml:space="preserve">”, </w:t>
            </w:r>
            <w:r w:rsidRPr="00A40564">
              <w:rPr>
                <w:i/>
                <w:lang w:val="en-US"/>
              </w:rPr>
              <w:t>East Asian Policy</w:t>
            </w:r>
            <w:r>
              <w:rPr>
                <w:lang w:val="en-US"/>
              </w:rPr>
              <w:t xml:space="preserve"> 13:1, 47-64.</w:t>
            </w:r>
          </w:p>
        </w:tc>
      </w:tr>
    </w:tbl>
    <w:p w14:paraId="1094AA75" w14:textId="77777777" w:rsidR="003150B0" w:rsidRPr="00B171A5" w:rsidRDefault="003150B0">
      <w:pPr>
        <w:rPr>
          <w:szCs w:val="24"/>
          <w:lang w:val="en-US"/>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43"/>
        <w:gridCol w:w="7567"/>
      </w:tblGrid>
      <w:tr w:rsidR="003030EC" w:rsidRPr="003030EC" w14:paraId="0E76147F" w14:textId="77777777" w:rsidTr="00B171A5">
        <w:tc>
          <w:tcPr>
            <w:tcW w:w="9410" w:type="dxa"/>
            <w:gridSpan w:val="2"/>
            <w:shd w:val="solid" w:color="000000" w:fill="FFFFFF"/>
          </w:tcPr>
          <w:p w14:paraId="325BFFEE" w14:textId="60721194" w:rsidR="00947722" w:rsidRPr="003030EC" w:rsidRDefault="00D5466D" w:rsidP="00D5466D">
            <w:pPr>
              <w:rPr>
                <w:b/>
                <w:bCs/>
                <w:lang w:val="en-US"/>
              </w:rPr>
            </w:pPr>
            <w:r>
              <w:rPr>
                <w:b/>
                <w:bCs/>
                <w:lang w:val="en-US"/>
              </w:rPr>
              <w:t>Fri</w:t>
            </w:r>
            <w:r w:rsidR="0042586A">
              <w:rPr>
                <w:b/>
                <w:bCs/>
                <w:lang w:val="en-US"/>
              </w:rPr>
              <w:t>day</w:t>
            </w:r>
            <w:r w:rsidR="00947722" w:rsidRPr="003030EC">
              <w:rPr>
                <w:b/>
                <w:bCs/>
                <w:lang w:val="en-US"/>
              </w:rPr>
              <w:t xml:space="preserve">, </w:t>
            </w:r>
            <w:r>
              <w:rPr>
                <w:b/>
                <w:bCs/>
                <w:lang w:val="en-US"/>
              </w:rPr>
              <w:t xml:space="preserve">August </w:t>
            </w:r>
            <w:r w:rsidR="00CB715C">
              <w:rPr>
                <w:b/>
                <w:bCs/>
                <w:lang w:val="en-US"/>
              </w:rPr>
              <w:t>5</w:t>
            </w:r>
            <w:r w:rsidR="00947722" w:rsidRPr="003030EC">
              <w:rPr>
                <w:b/>
                <w:bCs/>
                <w:lang w:val="en-US"/>
              </w:rPr>
              <w:t>, 20</w:t>
            </w:r>
            <w:r w:rsidR="00E82DED">
              <w:rPr>
                <w:b/>
                <w:bCs/>
                <w:lang w:val="en-US"/>
              </w:rPr>
              <w:t>2</w:t>
            </w:r>
            <w:r w:rsidR="00CB715C">
              <w:rPr>
                <w:b/>
                <w:bCs/>
                <w:lang w:val="en-US"/>
              </w:rPr>
              <w:t>2</w:t>
            </w:r>
          </w:p>
        </w:tc>
      </w:tr>
      <w:tr w:rsidR="003030EC" w:rsidRPr="003030EC" w14:paraId="410735F2" w14:textId="77777777" w:rsidTr="00B171A5">
        <w:tc>
          <w:tcPr>
            <w:tcW w:w="1843" w:type="dxa"/>
            <w:shd w:val="clear" w:color="auto" w:fill="auto"/>
          </w:tcPr>
          <w:p w14:paraId="62FD071A" w14:textId="77777777" w:rsidR="00947722" w:rsidRPr="003030EC" w:rsidRDefault="00947722" w:rsidP="003030EC">
            <w:pPr>
              <w:rPr>
                <w:lang w:val="en-US"/>
              </w:rPr>
            </w:pPr>
            <w:r w:rsidRPr="003030EC">
              <w:rPr>
                <w:lang w:val="en-US"/>
              </w:rPr>
              <w:t>Time and location</w:t>
            </w:r>
          </w:p>
        </w:tc>
        <w:tc>
          <w:tcPr>
            <w:tcW w:w="7567" w:type="dxa"/>
            <w:shd w:val="clear" w:color="auto" w:fill="auto"/>
          </w:tcPr>
          <w:p w14:paraId="21AAE054" w14:textId="77777777" w:rsidR="00C2286B" w:rsidRDefault="00947722" w:rsidP="003030EC">
            <w:pPr>
              <w:rPr>
                <w:lang w:val="en-US"/>
              </w:rPr>
            </w:pPr>
            <w:r w:rsidRPr="003030EC">
              <w:rPr>
                <w:lang w:val="en-US"/>
              </w:rPr>
              <w:t>10:00 a.m. – 12:00 noon</w:t>
            </w:r>
          </w:p>
          <w:p w14:paraId="31D48536" w14:textId="7E6D5108" w:rsidR="00947722" w:rsidRPr="003030EC" w:rsidRDefault="00947722" w:rsidP="003030EC">
            <w:pPr>
              <w:rPr>
                <w:lang w:val="en-US"/>
              </w:rPr>
            </w:pPr>
            <w:r w:rsidRPr="003030EC">
              <w:rPr>
                <w:lang w:val="en-US"/>
              </w:rPr>
              <w:t>1:00 – 3:00 p.m.</w:t>
            </w:r>
          </w:p>
        </w:tc>
      </w:tr>
      <w:tr w:rsidR="003030EC" w:rsidRPr="00232B14" w14:paraId="51322498" w14:textId="77777777" w:rsidTr="00B171A5">
        <w:tc>
          <w:tcPr>
            <w:tcW w:w="1843" w:type="dxa"/>
            <w:shd w:val="clear" w:color="auto" w:fill="auto"/>
          </w:tcPr>
          <w:p w14:paraId="4CAD49C6" w14:textId="77777777" w:rsidR="00947722" w:rsidRPr="003030EC" w:rsidRDefault="00947722" w:rsidP="003030EC">
            <w:pPr>
              <w:rPr>
                <w:lang w:val="en-US"/>
              </w:rPr>
            </w:pPr>
            <w:r w:rsidRPr="003030EC">
              <w:rPr>
                <w:lang w:val="en-US"/>
              </w:rPr>
              <w:t>Topics</w:t>
            </w:r>
          </w:p>
        </w:tc>
        <w:tc>
          <w:tcPr>
            <w:tcW w:w="7567" w:type="dxa"/>
            <w:shd w:val="clear" w:color="auto" w:fill="auto"/>
          </w:tcPr>
          <w:p w14:paraId="2EF407FF" w14:textId="15276E4B" w:rsidR="00B171A5" w:rsidRPr="00B171A5" w:rsidRDefault="00B171A5" w:rsidP="00B171A5">
            <w:pPr>
              <w:ind w:left="330" w:hanging="330"/>
              <w:rPr>
                <w:lang w:val="en-US"/>
              </w:rPr>
            </w:pPr>
            <w:r w:rsidRPr="00B171A5">
              <w:rPr>
                <w:lang w:val="en-US"/>
              </w:rPr>
              <w:t>Morning session: Canada</w:t>
            </w:r>
            <w:r w:rsidR="00EF2D86">
              <w:rPr>
                <w:lang w:val="en-US"/>
              </w:rPr>
              <w:t>,</w:t>
            </w:r>
            <w:r w:rsidRPr="00B171A5">
              <w:rPr>
                <w:lang w:val="en-US"/>
              </w:rPr>
              <w:t xml:space="preserve"> the EU </w:t>
            </w:r>
            <w:r w:rsidR="00EF2D86">
              <w:rPr>
                <w:lang w:val="en-US"/>
              </w:rPr>
              <w:t xml:space="preserve">and NATO </w:t>
            </w:r>
            <w:r w:rsidRPr="00B171A5">
              <w:rPr>
                <w:lang w:val="en-US"/>
              </w:rPr>
              <w:t xml:space="preserve">in </w:t>
            </w:r>
            <w:r w:rsidR="008D55CB">
              <w:rPr>
                <w:lang w:val="en-US"/>
              </w:rPr>
              <w:t>i</w:t>
            </w:r>
            <w:r w:rsidRPr="00B171A5">
              <w:rPr>
                <w:lang w:val="en-US"/>
              </w:rPr>
              <w:t xml:space="preserve">nternational </w:t>
            </w:r>
            <w:r w:rsidR="008D55CB">
              <w:rPr>
                <w:lang w:val="en-US"/>
              </w:rPr>
              <w:t>s</w:t>
            </w:r>
            <w:r w:rsidRPr="00B171A5">
              <w:rPr>
                <w:lang w:val="en-US"/>
              </w:rPr>
              <w:t xml:space="preserve">ecurity </w:t>
            </w:r>
            <w:r w:rsidR="008D55CB">
              <w:rPr>
                <w:lang w:val="en-US"/>
              </w:rPr>
              <w:t>p</w:t>
            </w:r>
            <w:r w:rsidRPr="00B171A5">
              <w:rPr>
                <w:lang w:val="en-US"/>
              </w:rPr>
              <w:t>olicy</w:t>
            </w:r>
            <w:r w:rsidR="00FA3B66">
              <w:rPr>
                <w:lang w:val="en-US"/>
              </w:rPr>
              <w:t xml:space="preserve">; </w:t>
            </w:r>
            <w:r w:rsidR="007A24B2">
              <w:rPr>
                <w:lang w:val="en-US"/>
              </w:rPr>
              <w:t xml:space="preserve">including </w:t>
            </w:r>
            <w:r w:rsidR="00FA3B66">
              <w:rPr>
                <w:lang w:val="en-US"/>
              </w:rPr>
              <w:t>response to Russia</w:t>
            </w:r>
            <w:r w:rsidR="007A24B2">
              <w:rPr>
                <w:lang w:val="en-US"/>
              </w:rPr>
              <w:t xml:space="preserve">’s </w:t>
            </w:r>
            <w:r w:rsidR="00FA3B66">
              <w:rPr>
                <w:lang w:val="en-US"/>
              </w:rPr>
              <w:t>invasion of Ukraine</w:t>
            </w:r>
          </w:p>
          <w:p w14:paraId="62E39E06" w14:textId="7C6C6897" w:rsidR="00947722" w:rsidRPr="003030EC" w:rsidRDefault="00B171A5" w:rsidP="009B2CD2">
            <w:pPr>
              <w:ind w:left="330" w:hanging="330"/>
              <w:rPr>
                <w:lang w:val="en-US"/>
              </w:rPr>
            </w:pPr>
            <w:r w:rsidRPr="00B171A5">
              <w:rPr>
                <w:lang w:val="en-US"/>
              </w:rPr>
              <w:t xml:space="preserve">Afternoon session: </w:t>
            </w:r>
            <w:r w:rsidR="009B2CD2" w:rsidRPr="009B2CD2">
              <w:rPr>
                <w:lang w:val="en-US"/>
              </w:rPr>
              <w:t xml:space="preserve">Democracy and </w:t>
            </w:r>
            <w:r w:rsidR="008D55CB">
              <w:rPr>
                <w:lang w:val="en-US"/>
              </w:rPr>
              <w:t>f</w:t>
            </w:r>
            <w:r w:rsidR="009B2CD2" w:rsidRPr="009B2CD2">
              <w:rPr>
                <w:lang w:val="en-US"/>
              </w:rPr>
              <w:t xml:space="preserve">ederalism in Canadian/EU </w:t>
            </w:r>
            <w:r w:rsidR="008D55CB">
              <w:rPr>
                <w:lang w:val="en-US"/>
              </w:rPr>
              <w:t>f</w:t>
            </w:r>
            <w:r w:rsidR="009B2CD2" w:rsidRPr="009B2CD2">
              <w:rPr>
                <w:lang w:val="en-US"/>
              </w:rPr>
              <w:t xml:space="preserve">oreign </w:t>
            </w:r>
            <w:r w:rsidR="008D55CB">
              <w:rPr>
                <w:lang w:val="en-US"/>
              </w:rPr>
              <w:t>p</w:t>
            </w:r>
            <w:r w:rsidR="009B2CD2" w:rsidRPr="009B2CD2">
              <w:rPr>
                <w:lang w:val="en-US"/>
              </w:rPr>
              <w:t xml:space="preserve">olicy; </w:t>
            </w:r>
            <w:r w:rsidR="008D55CB">
              <w:rPr>
                <w:lang w:val="en-US"/>
              </w:rPr>
              <w:t>c</w:t>
            </w:r>
            <w:r w:rsidR="009B2CD2" w:rsidRPr="009B2CD2">
              <w:rPr>
                <w:lang w:val="en-US"/>
              </w:rPr>
              <w:t xml:space="preserve">oncluding </w:t>
            </w:r>
            <w:r w:rsidR="008D55CB">
              <w:rPr>
                <w:lang w:val="en-US"/>
              </w:rPr>
              <w:t>d</w:t>
            </w:r>
            <w:r w:rsidR="009B2CD2" w:rsidRPr="009B2CD2">
              <w:rPr>
                <w:lang w:val="en-US"/>
              </w:rPr>
              <w:t>iscussion</w:t>
            </w:r>
          </w:p>
        </w:tc>
      </w:tr>
      <w:tr w:rsidR="00B171A5" w:rsidRPr="00232B14" w14:paraId="1983DC6A" w14:textId="77777777" w:rsidTr="00B171A5">
        <w:tc>
          <w:tcPr>
            <w:tcW w:w="1843" w:type="dxa"/>
            <w:shd w:val="clear" w:color="auto" w:fill="auto"/>
          </w:tcPr>
          <w:p w14:paraId="0BB2C1F3" w14:textId="77777777" w:rsidR="00B171A5" w:rsidRPr="003030EC" w:rsidRDefault="00B171A5" w:rsidP="00B171A5">
            <w:pPr>
              <w:rPr>
                <w:lang w:val="en-US"/>
              </w:rPr>
            </w:pPr>
            <w:r w:rsidRPr="003030EC">
              <w:rPr>
                <w:lang w:val="en-US"/>
              </w:rPr>
              <w:t xml:space="preserve">Required readings </w:t>
            </w:r>
          </w:p>
        </w:tc>
        <w:tc>
          <w:tcPr>
            <w:tcW w:w="7567" w:type="dxa"/>
            <w:shd w:val="clear" w:color="auto" w:fill="auto"/>
          </w:tcPr>
          <w:p w14:paraId="43B635E8" w14:textId="77777777" w:rsidR="00BF0C9F" w:rsidRPr="00BF0C9F" w:rsidRDefault="00BF0C9F" w:rsidP="00BF0C9F">
            <w:pPr>
              <w:numPr>
                <w:ilvl w:val="0"/>
                <w:numId w:val="6"/>
              </w:numPr>
              <w:rPr>
                <w:lang w:val="en-US"/>
              </w:rPr>
            </w:pPr>
            <w:proofErr w:type="spellStart"/>
            <w:r w:rsidRPr="00BF0C9F">
              <w:rPr>
                <w:lang w:val="en-US"/>
              </w:rPr>
              <w:t>Leuprecht</w:t>
            </w:r>
            <w:proofErr w:type="spellEnd"/>
            <w:r w:rsidRPr="00BF0C9F">
              <w:rPr>
                <w:lang w:val="en-US"/>
              </w:rPr>
              <w:t xml:space="preserve">, C. and Hamilton, R. (2020), “New Opportunities in Common Security and </w:t>
            </w:r>
            <w:proofErr w:type="spellStart"/>
            <w:r w:rsidRPr="00BF0C9F">
              <w:rPr>
                <w:lang w:val="en-US"/>
              </w:rPr>
              <w:t>Defence</w:t>
            </w:r>
            <w:proofErr w:type="spellEnd"/>
            <w:r w:rsidRPr="00BF0C9F">
              <w:rPr>
                <w:lang w:val="en-US"/>
              </w:rPr>
              <w:t xml:space="preserve"> Policy: Joining PESCO”, </w:t>
            </w:r>
            <w:r w:rsidRPr="00BF0C9F">
              <w:rPr>
                <w:i/>
                <w:iCs/>
                <w:lang w:val="en-US"/>
              </w:rPr>
              <w:t>Australian and New Zealand Journal of European Studies</w:t>
            </w:r>
            <w:r w:rsidRPr="00BF0C9F">
              <w:rPr>
                <w:lang w:val="en-US"/>
              </w:rPr>
              <w:t xml:space="preserve"> 11:3, 78-96.</w:t>
            </w:r>
          </w:p>
          <w:p w14:paraId="54C15FC5" w14:textId="03E03D62" w:rsidR="00A869E7" w:rsidRPr="00BF0C9F" w:rsidRDefault="00920A45" w:rsidP="00BF0C9F">
            <w:pPr>
              <w:numPr>
                <w:ilvl w:val="0"/>
                <w:numId w:val="6"/>
              </w:numPr>
              <w:rPr>
                <w:lang w:val="en-US"/>
              </w:rPr>
            </w:pPr>
            <w:proofErr w:type="spellStart"/>
            <w:r w:rsidRPr="00920A45">
              <w:rPr>
                <w:lang w:val="en-CA"/>
              </w:rPr>
              <w:t>Blavoukos</w:t>
            </w:r>
            <w:proofErr w:type="spellEnd"/>
            <w:r w:rsidRPr="00920A45">
              <w:rPr>
                <w:lang w:val="en-CA"/>
              </w:rPr>
              <w:t xml:space="preserve">, S. and </w:t>
            </w:r>
            <w:proofErr w:type="spellStart"/>
            <w:r w:rsidRPr="00920A45">
              <w:rPr>
                <w:lang w:val="en-CA"/>
              </w:rPr>
              <w:t>Pagoulatos</w:t>
            </w:r>
            <w:proofErr w:type="spellEnd"/>
            <w:r w:rsidRPr="00920A45">
              <w:rPr>
                <w:lang w:val="en-CA"/>
              </w:rPr>
              <w:t xml:space="preserve">, G. (2022), “Europe after Putin’s War: EU Foreign and Defence Policy in the New European Security Architecture”, Policy Paper #95/2022, Hellenic Foundation for European and Foreign Policy, </w:t>
            </w:r>
            <w:hyperlink r:id="rId27" w:history="1">
              <w:r w:rsidRPr="00920A45">
                <w:rPr>
                  <w:rStyle w:val="Hyperlink"/>
                  <w:lang w:val="en-CA"/>
                </w:rPr>
                <w:t>https://www.eliamep.gr/wp-content/uploads/2022/03/Policy-paper-95-Pagoulatos-and-Blavoukos-%CE%95%CE%9D-final-21.pdf</w:t>
              </w:r>
            </w:hyperlink>
            <w:r w:rsidRPr="00920A45">
              <w:rPr>
                <w:lang w:val="en-CA"/>
              </w:rPr>
              <w:t>.</w:t>
            </w:r>
          </w:p>
        </w:tc>
      </w:tr>
      <w:tr w:rsidR="00B171A5" w:rsidRPr="00232B14" w14:paraId="68EA3074" w14:textId="77777777" w:rsidTr="00B171A5">
        <w:tc>
          <w:tcPr>
            <w:tcW w:w="1843" w:type="dxa"/>
            <w:shd w:val="clear" w:color="auto" w:fill="auto"/>
          </w:tcPr>
          <w:p w14:paraId="72AB8BCC" w14:textId="77777777" w:rsidR="00B171A5" w:rsidRPr="003030EC" w:rsidRDefault="00B171A5" w:rsidP="00B171A5">
            <w:pPr>
              <w:rPr>
                <w:lang w:val="en-US"/>
              </w:rPr>
            </w:pPr>
            <w:r>
              <w:rPr>
                <w:lang w:val="en-US"/>
              </w:rPr>
              <w:t>Supplementary literature</w:t>
            </w:r>
          </w:p>
        </w:tc>
        <w:tc>
          <w:tcPr>
            <w:tcW w:w="7567" w:type="dxa"/>
            <w:shd w:val="clear" w:color="auto" w:fill="auto"/>
          </w:tcPr>
          <w:p w14:paraId="4EB5E904" w14:textId="48E32316" w:rsidR="005F5A7A" w:rsidRDefault="005F5A7A" w:rsidP="005F5A7A">
            <w:pPr>
              <w:rPr>
                <w:lang w:val="en-US"/>
              </w:rPr>
            </w:pPr>
            <w:r>
              <w:rPr>
                <w:lang w:val="en-US"/>
              </w:rPr>
              <w:t>Security policy</w:t>
            </w:r>
          </w:p>
          <w:p w14:paraId="3A1F0147" w14:textId="0AC2758B" w:rsidR="009B2CD2" w:rsidRDefault="009B2CD2" w:rsidP="000C58B9">
            <w:pPr>
              <w:numPr>
                <w:ilvl w:val="0"/>
                <w:numId w:val="6"/>
              </w:numPr>
              <w:rPr>
                <w:lang w:val="en-US"/>
              </w:rPr>
            </w:pPr>
            <w:proofErr w:type="spellStart"/>
            <w:r w:rsidRPr="008550A3">
              <w:rPr>
                <w:lang w:val="en-US"/>
              </w:rPr>
              <w:t>Biscop</w:t>
            </w:r>
            <w:proofErr w:type="spellEnd"/>
            <w:r>
              <w:rPr>
                <w:lang w:val="en-US"/>
              </w:rPr>
              <w:t>,</w:t>
            </w:r>
            <w:r w:rsidRPr="008550A3">
              <w:rPr>
                <w:lang w:val="en-US"/>
              </w:rPr>
              <w:t xml:space="preserve"> S</w:t>
            </w:r>
            <w:r>
              <w:rPr>
                <w:lang w:val="en-US"/>
              </w:rPr>
              <w:t>.</w:t>
            </w:r>
            <w:r w:rsidRPr="008550A3">
              <w:rPr>
                <w:lang w:val="en-US"/>
              </w:rPr>
              <w:t xml:space="preserve"> (201</w:t>
            </w:r>
            <w:r w:rsidR="00CD6FC9">
              <w:rPr>
                <w:lang w:val="en-US"/>
              </w:rPr>
              <w:t>9</w:t>
            </w:r>
            <w:r w:rsidRPr="008550A3">
              <w:rPr>
                <w:lang w:val="en-US"/>
              </w:rPr>
              <w:t>)</w:t>
            </w:r>
            <w:r>
              <w:rPr>
                <w:lang w:val="en-US"/>
              </w:rPr>
              <w:t>,</w:t>
            </w:r>
            <w:r w:rsidRPr="008550A3">
              <w:rPr>
                <w:lang w:val="en-US"/>
              </w:rPr>
              <w:t xml:space="preserve"> </w:t>
            </w:r>
            <w:r w:rsidR="00CD6FC9">
              <w:rPr>
                <w:i/>
                <w:lang w:val="en-US"/>
              </w:rPr>
              <w:t>European Strategy in the 21</w:t>
            </w:r>
            <w:r w:rsidR="00CD6FC9" w:rsidRPr="00CD6FC9">
              <w:rPr>
                <w:i/>
                <w:vertAlign w:val="superscript"/>
                <w:lang w:val="en-US"/>
              </w:rPr>
              <w:t>st</w:t>
            </w:r>
            <w:r w:rsidR="00CD6FC9">
              <w:rPr>
                <w:i/>
                <w:lang w:val="en-US"/>
              </w:rPr>
              <w:t xml:space="preserve"> Century: New Future for Old Power</w:t>
            </w:r>
            <w:r w:rsidRPr="008550A3">
              <w:rPr>
                <w:lang w:val="en-US"/>
              </w:rPr>
              <w:t xml:space="preserve"> </w:t>
            </w:r>
            <w:r>
              <w:rPr>
                <w:lang w:val="en-US"/>
              </w:rPr>
              <w:t>(</w:t>
            </w:r>
            <w:r w:rsidR="00CD6FC9">
              <w:rPr>
                <w:lang w:val="en-US"/>
              </w:rPr>
              <w:t>London: Routledge</w:t>
            </w:r>
            <w:r>
              <w:rPr>
                <w:lang w:val="en-US"/>
              </w:rPr>
              <w:t>)</w:t>
            </w:r>
            <w:r w:rsidRPr="008550A3">
              <w:rPr>
                <w:lang w:val="en-US"/>
              </w:rPr>
              <w:t>.</w:t>
            </w:r>
          </w:p>
          <w:p w14:paraId="723EB9AD" w14:textId="6B66214C" w:rsidR="00BF0C9F" w:rsidRDefault="00BF0C9F" w:rsidP="000C58B9">
            <w:pPr>
              <w:numPr>
                <w:ilvl w:val="0"/>
                <w:numId w:val="6"/>
              </w:numPr>
              <w:rPr>
                <w:lang w:val="en-CA"/>
              </w:rPr>
            </w:pPr>
            <w:r>
              <w:rPr>
                <w:lang w:val="en-US"/>
              </w:rPr>
              <w:t xml:space="preserve">Department of National </w:t>
            </w:r>
            <w:proofErr w:type="spellStart"/>
            <w:r>
              <w:rPr>
                <w:lang w:val="en-US"/>
              </w:rPr>
              <w:t>Defence</w:t>
            </w:r>
            <w:proofErr w:type="spellEnd"/>
            <w:r>
              <w:rPr>
                <w:lang w:val="en-US"/>
              </w:rPr>
              <w:t xml:space="preserve"> (2017), “Strong, Secure, Engaged: Canada’s </w:t>
            </w:r>
            <w:proofErr w:type="spellStart"/>
            <w:r>
              <w:rPr>
                <w:lang w:val="en-US"/>
              </w:rPr>
              <w:t>Defence</w:t>
            </w:r>
            <w:proofErr w:type="spellEnd"/>
            <w:r>
              <w:rPr>
                <w:lang w:val="en-US"/>
              </w:rPr>
              <w:t xml:space="preserve"> Policy”, </w:t>
            </w:r>
            <w:hyperlink r:id="rId28" w:history="1">
              <w:r w:rsidRPr="00626BCA">
                <w:rPr>
                  <w:rStyle w:val="Hyperlink"/>
                  <w:lang w:val="en-US"/>
                </w:rPr>
                <w:t>http://dgpaapp.forces.gc.ca/en/canada-defence-policy/docs/canada-defence-policy-report.pdf</w:t>
              </w:r>
            </w:hyperlink>
          </w:p>
          <w:p w14:paraId="73AF918B" w14:textId="316F843F" w:rsidR="00BF0C9F" w:rsidRDefault="00BF0C9F" w:rsidP="000C58B9">
            <w:pPr>
              <w:numPr>
                <w:ilvl w:val="0"/>
                <w:numId w:val="6"/>
              </w:numPr>
              <w:rPr>
                <w:lang w:val="en-CA"/>
              </w:rPr>
            </w:pPr>
            <w:r w:rsidRPr="008C35BA">
              <w:rPr>
                <w:lang w:val="en-US"/>
              </w:rPr>
              <w:t>E</w:t>
            </w:r>
            <w:r>
              <w:rPr>
                <w:lang w:val="en-US"/>
              </w:rPr>
              <w:t>uropean Union</w:t>
            </w:r>
            <w:r w:rsidRPr="008C35BA">
              <w:rPr>
                <w:lang w:val="en-US"/>
              </w:rPr>
              <w:t xml:space="preserve"> (2016), “Shared Vision, Common Action: A Stronger Europe. A Global Strategy for the E</w:t>
            </w:r>
            <w:r>
              <w:rPr>
                <w:lang w:val="en-US"/>
              </w:rPr>
              <w:t>U</w:t>
            </w:r>
            <w:r w:rsidRPr="008C35BA">
              <w:rPr>
                <w:lang w:val="en-US"/>
              </w:rPr>
              <w:t xml:space="preserve">’s Foreign and Security Policy”, </w:t>
            </w:r>
            <w:hyperlink r:id="rId29" w:history="1">
              <w:r w:rsidRPr="00634043">
                <w:rPr>
                  <w:rStyle w:val="Hyperlink"/>
                  <w:lang w:val="en-US"/>
                </w:rPr>
                <w:t>https://europa.eu/globalstrategy/sites/globalstrategy/files/pages/files/eugs_review_web_13.pdf</w:t>
              </w:r>
            </w:hyperlink>
            <w:r w:rsidRPr="008C35BA">
              <w:rPr>
                <w:color w:val="0066FF"/>
                <w:lang w:val="en-US"/>
              </w:rPr>
              <w:t>.</w:t>
            </w:r>
          </w:p>
          <w:p w14:paraId="05ECF0DC" w14:textId="15D3A6B8" w:rsidR="00436132" w:rsidRPr="00436132" w:rsidRDefault="00436132" w:rsidP="000C58B9">
            <w:pPr>
              <w:numPr>
                <w:ilvl w:val="0"/>
                <w:numId w:val="6"/>
              </w:numPr>
              <w:rPr>
                <w:lang w:val="en-CA"/>
              </w:rPr>
            </w:pPr>
            <w:r w:rsidRPr="00436132">
              <w:rPr>
                <w:lang w:val="en-CA"/>
              </w:rPr>
              <w:t xml:space="preserve">Juneau, T., </w:t>
            </w:r>
            <w:proofErr w:type="spellStart"/>
            <w:r w:rsidRPr="00436132">
              <w:rPr>
                <w:lang w:val="en-CA"/>
              </w:rPr>
              <w:t>Lagassé</w:t>
            </w:r>
            <w:proofErr w:type="spellEnd"/>
            <w:r w:rsidRPr="00436132">
              <w:rPr>
                <w:lang w:val="en-CA"/>
              </w:rPr>
              <w:t xml:space="preserve">, P. and Vucetic, S., eds. (2019), </w:t>
            </w:r>
            <w:r w:rsidRPr="00436132">
              <w:rPr>
                <w:i/>
                <w:iCs/>
                <w:lang w:val="en-CA"/>
              </w:rPr>
              <w:t>Canadian Defence Policy in Theory and Practice</w:t>
            </w:r>
            <w:r>
              <w:rPr>
                <w:lang w:val="en-CA"/>
              </w:rPr>
              <w:t xml:space="preserve"> (Basingstoke: Palgrave Macmillan).</w:t>
            </w:r>
          </w:p>
          <w:p w14:paraId="4DA48F63" w14:textId="06304C54" w:rsidR="00CC37BC" w:rsidRPr="00CC37BC" w:rsidRDefault="00CC37BC" w:rsidP="000C58B9">
            <w:pPr>
              <w:numPr>
                <w:ilvl w:val="0"/>
                <w:numId w:val="6"/>
              </w:numPr>
              <w:rPr>
                <w:lang w:val="en-US"/>
              </w:rPr>
            </w:pPr>
            <w:proofErr w:type="spellStart"/>
            <w:r>
              <w:rPr>
                <w:lang w:val="en-US"/>
              </w:rPr>
              <w:lastRenderedPageBreak/>
              <w:t>Lanozka</w:t>
            </w:r>
            <w:proofErr w:type="spellEnd"/>
            <w:r>
              <w:rPr>
                <w:lang w:val="en-US"/>
              </w:rPr>
              <w:t>, A. (2017), “</w:t>
            </w:r>
            <w:r w:rsidRPr="00CC37BC">
              <w:rPr>
                <w:lang w:val="en-US"/>
              </w:rPr>
              <w:t xml:space="preserve">From Ottawa to Riga: Three </w:t>
            </w:r>
            <w:r>
              <w:rPr>
                <w:lang w:val="en-US"/>
              </w:rPr>
              <w:t>T</w:t>
            </w:r>
            <w:r w:rsidRPr="00CC37BC">
              <w:rPr>
                <w:lang w:val="en-US"/>
              </w:rPr>
              <w:t xml:space="preserve">ensions in Canadian </w:t>
            </w:r>
            <w:proofErr w:type="spellStart"/>
            <w:r>
              <w:rPr>
                <w:lang w:val="en-US"/>
              </w:rPr>
              <w:t>D</w:t>
            </w:r>
            <w:r w:rsidRPr="00CC37BC">
              <w:rPr>
                <w:lang w:val="en-US"/>
              </w:rPr>
              <w:t>efence</w:t>
            </w:r>
            <w:proofErr w:type="spellEnd"/>
            <w:r w:rsidRPr="00CC37BC">
              <w:rPr>
                <w:lang w:val="en-US"/>
              </w:rPr>
              <w:t xml:space="preserve"> </w:t>
            </w:r>
            <w:r>
              <w:rPr>
                <w:lang w:val="en-US"/>
              </w:rPr>
              <w:t>P</w:t>
            </w:r>
            <w:r w:rsidRPr="00CC37BC">
              <w:rPr>
                <w:lang w:val="en-US"/>
              </w:rPr>
              <w:t>olicy</w:t>
            </w:r>
            <w:r>
              <w:rPr>
                <w:lang w:val="en-US"/>
              </w:rPr>
              <w:t xml:space="preserve">”, </w:t>
            </w:r>
            <w:r w:rsidRPr="00CD6FC9">
              <w:rPr>
                <w:i/>
                <w:lang w:val="en-US"/>
              </w:rPr>
              <w:t>International Journal</w:t>
            </w:r>
            <w:r>
              <w:rPr>
                <w:lang w:val="en-US"/>
              </w:rPr>
              <w:t xml:space="preserve"> </w:t>
            </w:r>
            <w:r w:rsidR="00CD6FC9">
              <w:rPr>
                <w:lang w:val="en-US"/>
              </w:rPr>
              <w:t>72:4, 520-537.</w:t>
            </w:r>
          </w:p>
          <w:p w14:paraId="05095E37" w14:textId="334C067F" w:rsidR="00CD6FC9" w:rsidRDefault="00CD6FC9" w:rsidP="00882B4A">
            <w:pPr>
              <w:pStyle w:val="ListParagraph"/>
              <w:keepLines/>
              <w:numPr>
                <w:ilvl w:val="0"/>
                <w:numId w:val="6"/>
              </w:numPr>
              <w:ind w:left="357" w:hanging="357"/>
              <w:rPr>
                <w:lang w:val="en-US"/>
              </w:rPr>
            </w:pPr>
            <w:r w:rsidRPr="00CD6FC9">
              <w:rPr>
                <w:lang w:val="en-US"/>
              </w:rPr>
              <w:t xml:space="preserve">Rice, J. and von </w:t>
            </w:r>
            <w:proofErr w:type="spellStart"/>
            <w:r w:rsidRPr="00CD6FC9">
              <w:rPr>
                <w:lang w:val="en-US"/>
              </w:rPr>
              <w:t>Hlatky</w:t>
            </w:r>
            <w:proofErr w:type="spellEnd"/>
            <w:r w:rsidRPr="00CD6FC9">
              <w:rPr>
                <w:lang w:val="en-US"/>
              </w:rPr>
              <w:t xml:space="preserve">, S. (2018), “Trudeau the Reluctant Warrior? Canada and International Military Operations”, in: N. </w:t>
            </w:r>
            <w:proofErr w:type="spellStart"/>
            <w:r w:rsidRPr="00CD6FC9">
              <w:rPr>
                <w:lang w:val="en-US"/>
              </w:rPr>
              <w:t>Hillmer</w:t>
            </w:r>
            <w:proofErr w:type="spellEnd"/>
            <w:r w:rsidRPr="00CD6FC9">
              <w:rPr>
                <w:lang w:val="en-US"/>
              </w:rPr>
              <w:t xml:space="preserve"> and P. </w:t>
            </w:r>
            <w:proofErr w:type="spellStart"/>
            <w:r w:rsidRPr="00CD6FC9">
              <w:rPr>
                <w:lang w:val="en-US"/>
              </w:rPr>
              <w:t>Lagassé</w:t>
            </w:r>
            <w:proofErr w:type="spellEnd"/>
            <w:r w:rsidRPr="00CD6FC9">
              <w:rPr>
                <w:lang w:val="en-US"/>
              </w:rPr>
              <w:t xml:space="preserve">, eds., </w:t>
            </w:r>
            <w:r w:rsidRPr="00CD6FC9">
              <w:rPr>
                <w:i/>
                <w:lang w:val="en-US"/>
              </w:rPr>
              <w:t>Justin Trudeau and Canadian Foreign Policy</w:t>
            </w:r>
            <w:r w:rsidRPr="00CD6FC9">
              <w:rPr>
                <w:lang w:val="en-US"/>
              </w:rPr>
              <w:t xml:space="preserve"> (Basingstoke: Palgrave Macmillan), </w:t>
            </w:r>
            <w:r>
              <w:rPr>
                <w:lang w:val="en-US"/>
              </w:rPr>
              <w:t>285-302</w:t>
            </w:r>
            <w:r w:rsidRPr="00CD6FC9">
              <w:rPr>
                <w:lang w:val="en-US"/>
              </w:rPr>
              <w:t>.</w:t>
            </w:r>
          </w:p>
          <w:p w14:paraId="5A64E628" w14:textId="00A81FFB" w:rsidR="00A869E7" w:rsidRPr="00A869E7" w:rsidRDefault="00A869E7" w:rsidP="000C58B9">
            <w:pPr>
              <w:numPr>
                <w:ilvl w:val="0"/>
                <w:numId w:val="6"/>
              </w:numPr>
              <w:rPr>
                <w:lang w:val="en-US"/>
              </w:rPr>
            </w:pPr>
            <w:r w:rsidRPr="008A1AF3">
              <w:rPr>
                <w:szCs w:val="24"/>
                <w:lang w:val="en-US" w:eastAsia="en-US"/>
              </w:rPr>
              <w:t xml:space="preserve">Zyla, B. (2020), “Middle-Power Internationalism in-between European ‘Paradise’ and American ‘Power’? Canada’s Political Role in an </w:t>
            </w:r>
            <w:r>
              <w:rPr>
                <w:szCs w:val="24"/>
                <w:lang w:val="en-US" w:eastAsia="en-US"/>
              </w:rPr>
              <w:t>A</w:t>
            </w:r>
            <w:r w:rsidRPr="008A1AF3">
              <w:rPr>
                <w:szCs w:val="24"/>
                <w:lang w:val="en-US" w:eastAsia="en-US"/>
              </w:rPr>
              <w:t>ge of Trumpism and Brexit</w:t>
            </w:r>
            <w:r>
              <w:rPr>
                <w:szCs w:val="24"/>
                <w:lang w:val="en-US" w:eastAsia="en-US"/>
              </w:rPr>
              <w:t xml:space="preserve">”, </w:t>
            </w:r>
            <w:r w:rsidRPr="008A1AF3">
              <w:rPr>
                <w:i/>
                <w:iCs/>
                <w:szCs w:val="24"/>
                <w:lang w:val="en-US" w:eastAsia="en-US"/>
              </w:rPr>
              <w:t>Australian and New Zealand Journal of European Studies</w:t>
            </w:r>
            <w:r w:rsidRPr="008A1AF3">
              <w:rPr>
                <w:szCs w:val="24"/>
                <w:lang w:val="en-US" w:eastAsia="en-US"/>
              </w:rPr>
              <w:t xml:space="preserve"> 11:3,</w:t>
            </w:r>
            <w:r>
              <w:rPr>
                <w:szCs w:val="24"/>
                <w:lang w:val="en-US" w:eastAsia="en-US"/>
              </w:rPr>
              <w:t xml:space="preserve"> 63-77</w:t>
            </w:r>
            <w:r w:rsidRPr="008A1AF3">
              <w:rPr>
                <w:szCs w:val="24"/>
                <w:lang w:val="en-US" w:eastAsia="en-US"/>
              </w:rPr>
              <w:t>.</w:t>
            </w:r>
          </w:p>
          <w:p w14:paraId="0E4A86B5" w14:textId="77777777" w:rsidR="00675EE5" w:rsidRPr="00675EE5" w:rsidRDefault="00675EE5" w:rsidP="005F5A7A">
            <w:pPr>
              <w:rPr>
                <w:sz w:val="12"/>
                <w:szCs w:val="12"/>
                <w:lang w:val="en-US" w:eastAsia="en-US"/>
              </w:rPr>
            </w:pPr>
          </w:p>
          <w:p w14:paraId="5656DD22" w14:textId="355B6550" w:rsidR="005F5A7A" w:rsidRDefault="0037097D" w:rsidP="005F5A7A">
            <w:pPr>
              <w:rPr>
                <w:szCs w:val="24"/>
                <w:lang w:val="en-US" w:eastAsia="en-US"/>
              </w:rPr>
            </w:pPr>
            <w:r>
              <w:rPr>
                <w:szCs w:val="24"/>
                <w:lang w:val="en-US" w:eastAsia="en-US"/>
              </w:rPr>
              <w:t>D</w:t>
            </w:r>
            <w:r w:rsidR="005F5A7A">
              <w:rPr>
                <w:szCs w:val="24"/>
                <w:lang w:val="en-US" w:eastAsia="en-US"/>
              </w:rPr>
              <w:t>emocracy and federalism</w:t>
            </w:r>
          </w:p>
          <w:p w14:paraId="372817F7" w14:textId="3EB3031F" w:rsidR="00A869E7" w:rsidRDefault="00A869E7" w:rsidP="000C58B9">
            <w:pPr>
              <w:numPr>
                <w:ilvl w:val="0"/>
                <w:numId w:val="6"/>
              </w:numPr>
              <w:rPr>
                <w:szCs w:val="24"/>
                <w:lang w:val="en-US" w:eastAsia="en-US"/>
              </w:rPr>
            </w:pPr>
            <w:r>
              <w:rPr>
                <w:szCs w:val="24"/>
                <w:lang w:val="en-US" w:eastAsia="en-US"/>
              </w:rPr>
              <w:t>Broschek, J. and Goff, P., eds. (20</w:t>
            </w:r>
            <w:r w:rsidR="00CF0098">
              <w:rPr>
                <w:szCs w:val="24"/>
                <w:lang w:val="en-US" w:eastAsia="en-US"/>
              </w:rPr>
              <w:t>20</w:t>
            </w:r>
            <w:r>
              <w:rPr>
                <w:szCs w:val="24"/>
                <w:lang w:val="en-US" w:eastAsia="en-US"/>
              </w:rPr>
              <w:t xml:space="preserve">), </w:t>
            </w:r>
            <w:r w:rsidRPr="00A869E7">
              <w:rPr>
                <w:i/>
                <w:iCs/>
                <w:szCs w:val="24"/>
                <w:lang w:val="en-US" w:eastAsia="en-US"/>
              </w:rPr>
              <w:t>The Mul</w:t>
            </w:r>
            <w:r w:rsidR="00CF0098">
              <w:rPr>
                <w:i/>
                <w:iCs/>
                <w:szCs w:val="24"/>
                <w:lang w:val="en-US" w:eastAsia="en-US"/>
              </w:rPr>
              <w:t>t</w:t>
            </w:r>
            <w:r w:rsidRPr="00A869E7">
              <w:rPr>
                <w:i/>
                <w:iCs/>
                <w:szCs w:val="24"/>
                <w:lang w:val="en-US" w:eastAsia="en-US"/>
              </w:rPr>
              <w:t>ilevel Politics of Trade</w:t>
            </w:r>
            <w:r>
              <w:rPr>
                <w:szCs w:val="24"/>
                <w:lang w:val="en-US" w:eastAsia="en-US"/>
              </w:rPr>
              <w:t xml:space="preserve"> (Toronto: University of Toronto Press).</w:t>
            </w:r>
          </w:p>
          <w:p w14:paraId="08513422" w14:textId="77777777" w:rsidR="003032E6" w:rsidRPr="005F5A7A" w:rsidRDefault="003032E6" w:rsidP="000C58B9">
            <w:pPr>
              <w:numPr>
                <w:ilvl w:val="0"/>
                <w:numId w:val="6"/>
              </w:numPr>
              <w:rPr>
                <w:lang w:val="en-US"/>
              </w:rPr>
            </w:pPr>
            <w:r w:rsidRPr="008952E8">
              <w:rPr>
                <w:color w:val="000000"/>
                <w:lang w:val="en-US"/>
              </w:rPr>
              <w:t xml:space="preserve">D’Erman, V. (2016), “Comparative Intergovernmental Politics: CETA Negotiations between Canada and the EU”, </w:t>
            </w:r>
            <w:r w:rsidRPr="008952E8">
              <w:rPr>
                <w:i/>
                <w:color w:val="000000"/>
                <w:lang w:val="en-US"/>
              </w:rPr>
              <w:t>Politics and Governance</w:t>
            </w:r>
            <w:r w:rsidRPr="008952E8">
              <w:rPr>
                <w:color w:val="000000"/>
                <w:lang w:val="en-US"/>
              </w:rPr>
              <w:t xml:space="preserve"> 4:3, 90-99.</w:t>
            </w:r>
          </w:p>
          <w:p w14:paraId="5280D77C" w14:textId="5D34E531" w:rsidR="009B2CD2" w:rsidRPr="009B2CD2" w:rsidRDefault="009B2CD2" w:rsidP="000C58B9">
            <w:pPr>
              <w:numPr>
                <w:ilvl w:val="0"/>
                <w:numId w:val="6"/>
              </w:numPr>
              <w:rPr>
                <w:szCs w:val="24"/>
                <w:lang w:val="en-US" w:eastAsia="en-US"/>
              </w:rPr>
            </w:pPr>
            <w:proofErr w:type="spellStart"/>
            <w:r w:rsidRPr="009B2CD2">
              <w:rPr>
                <w:szCs w:val="24"/>
                <w:lang w:val="en-US" w:eastAsia="en-US"/>
              </w:rPr>
              <w:t>Eckes</w:t>
            </w:r>
            <w:proofErr w:type="spellEnd"/>
            <w:r w:rsidRPr="009B2CD2">
              <w:rPr>
                <w:szCs w:val="24"/>
                <w:lang w:val="en-US" w:eastAsia="en-US"/>
              </w:rPr>
              <w:t xml:space="preserve">, C. (2014), “How the European Parliament’s Participation in International Relations Affects the Deep Tissue of the EU’s Power Structures”, </w:t>
            </w:r>
            <w:r w:rsidRPr="009B2CD2">
              <w:rPr>
                <w:i/>
                <w:szCs w:val="24"/>
                <w:lang w:val="en-US" w:eastAsia="en-US"/>
              </w:rPr>
              <w:t>International Journal of Constitutional Law</w:t>
            </w:r>
            <w:r w:rsidRPr="009B2CD2">
              <w:rPr>
                <w:szCs w:val="24"/>
                <w:lang w:val="en-US" w:eastAsia="en-US"/>
              </w:rPr>
              <w:t xml:space="preserve"> 12:4, 904–929.</w:t>
            </w:r>
          </w:p>
          <w:p w14:paraId="6FBA70A9"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Joachim, J. and </w:t>
            </w:r>
            <w:proofErr w:type="spellStart"/>
            <w:r w:rsidRPr="009B2CD2">
              <w:rPr>
                <w:szCs w:val="24"/>
                <w:lang w:val="en-US" w:eastAsia="en-US"/>
              </w:rPr>
              <w:t>Dembinski</w:t>
            </w:r>
            <w:proofErr w:type="spellEnd"/>
            <w:r w:rsidRPr="009B2CD2">
              <w:rPr>
                <w:szCs w:val="24"/>
                <w:lang w:val="en-US" w:eastAsia="en-US"/>
              </w:rPr>
              <w:t xml:space="preserve">, M. (2011), “A Contradiction in Terms? NGOs, Democracy, and European Foreign and Security Policy”, </w:t>
            </w:r>
            <w:r w:rsidRPr="009B2CD2">
              <w:rPr>
                <w:i/>
                <w:szCs w:val="24"/>
                <w:lang w:val="en-US" w:eastAsia="en-US"/>
              </w:rPr>
              <w:t>Journal of European Public Policy</w:t>
            </w:r>
            <w:r w:rsidRPr="009B2CD2">
              <w:rPr>
                <w:szCs w:val="24"/>
                <w:lang w:val="en-US" w:eastAsia="en-US"/>
              </w:rPr>
              <w:t xml:space="preserve"> 18:8, 1151-1168.</w:t>
            </w:r>
          </w:p>
          <w:p w14:paraId="125AA59C"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Meissner, K. (2016), “Democratizing EU External Relations: The European Parliament’s Informal Role in SWIFT, ACTA, and TTIP”, </w:t>
            </w:r>
            <w:r w:rsidRPr="009B2CD2">
              <w:rPr>
                <w:i/>
                <w:szCs w:val="24"/>
                <w:lang w:val="en-US" w:eastAsia="en-US"/>
              </w:rPr>
              <w:t>European Foreign Affairs Review</w:t>
            </w:r>
            <w:r w:rsidRPr="009B2CD2">
              <w:rPr>
                <w:szCs w:val="24"/>
                <w:lang w:val="en-US" w:eastAsia="en-US"/>
              </w:rPr>
              <w:t xml:space="preserve"> 21:2, 269–288.</w:t>
            </w:r>
          </w:p>
          <w:p w14:paraId="5B005C54"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Schmitz, G. J. (2015), “Parliament and Canadian Foreign Policy: Between Paradox and Potential”, in: D. Bratt and C. J. </w:t>
            </w:r>
            <w:proofErr w:type="spellStart"/>
            <w:r w:rsidRPr="009B2CD2">
              <w:rPr>
                <w:szCs w:val="24"/>
                <w:lang w:val="en-US" w:eastAsia="en-US"/>
              </w:rPr>
              <w:t>Kukucha</w:t>
            </w:r>
            <w:proofErr w:type="spellEnd"/>
            <w:r w:rsidRPr="009B2CD2">
              <w:rPr>
                <w:szCs w:val="24"/>
                <w:lang w:val="en-US" w:eastAsia="en-US"/>
              </w:rPr>
              <w:t xml:space="preserve">, eds., </w:t>
            </w:r>
            <w:r w:rsidRPr="009B2CD2">
              <w:rPr>
                <w:i/>
                <w:szCs w:val="24"/>
                <w:lang w:val="en-US" w:eastAsia="en-US"/>
              </w:rPr>
              <w:t>Readings in Canadian Foreign Policy: Classic Debates and New Ideas</w:t>
            </w:r>
            <w:r w:rsidRPr="009B2CD2">
              <w:rPr>
                <w:szCs w:val="24"/>
                <w:lang w:val="en-US" w:eastAsia="en-US"/>
              </w:rPr>
              <w:t>, 3</w:t>
            </w:r>
            <w:r w:rsidRPr="009B2CD2">
              <w:rPr>
                <w:szCs w:val="24"/>
                <w:vertAlign w:val="superscript"/>
                <w:lang w:val="en-US" w:eastAsia="en-US"/>
              </w:rPr>
              <w:t>rd</w:t>
            </w:r>
            <w:r w:rsidRPr="009B2CD2">
              <w:rPr>
                <w:szCs w:val="24"/>
                <w:lang w:val="en-US" w:eastAsia="en-US"/>
              </w:rPr>
              <w:t xml:space="preserve"> edition (Oxford: Oxford University Press), 224-238.</w:t>
            </w:r>
          </w:p>
          <w:p w14:paraId="180C3FA0" w14:textId="77777777" w:rsidR="009B2CD2" w:rsidRPr="009B2CD2" w:rsidRDefault="009B2CD2" w:rsidP="000C58B9">
            <w:pPr>
              <w:numPr>
                <w:ilvl w:val="0"/>
                <w:numId w:val="6"/>
              </w:numPr>
              <w:rPr>
                <w:szCs w:val="24"/>
                <w:lang w:val="en-US" w:eastAsia="en-US"/>
              </w:rPr>
            </w:pPr>
            <w:proofErr w:type="spellStart"/>
            <w:r w:rsidRPr="009B2CD2">
              <w:rPr>
                <w:szCs w:val="24"/>
                <w:lang w:val="en-US" w:eastAsia="en-US"/>
              </w:rPr>
              <w:t>Stavridis</w:t>
            </w:r>
            <w:proofErr w:type="spellEnd"/>
            <w:r w:rsidRPr="009B2CD2">
              <w:rPr>
                <w:szCs w:val="24"/>
                <w:lang w:val="en-US" w:eastAsia="en-US"/>
              </w:rPr>
              <w:t xml:space="preserve">, S., and </w:t>
            </w:r>
            <w:proofErr w:type="spellStart"/>
            <w:r w:rsidRPr="009B2CD2">
              <w:rPr>
                <w:szCs w:val="24"/>
                <w:lang w:val="en-US" w:eastAsia="en-US"/>
              </w:rPr>
              <w:t>Irrera</w:t>
            </w:r>
            <w:proofErr w:type="spellEnd"/>
            <w:r w:rsidRPr="009B2CD2">
              <w:rPr>
                <w:szCs w:val="24"/>
                <w:lang w:val="en-US" w:eastAsia="en-US"/>
              </w:rPr>
              <w:t xml:space="preserve">, D., eds., (2015), </w:t>
            </w:r>
            <w:r w:rsidRPr="009B2CD2">
              <w:rPr>
                <w:i/>
                <w:szCs w:val="24"/>
                <w:lang w:val="en-US" w:eastAsia="en-US"/>
              </w:rPr>
              <w:t>The European Parliament and Its International Relations</w:t>
            </w:r>
            <w:r w:rsidRPr="009B2CD2">
              <w:rPr>
                <w:szCs w:val="24"/>
                <w:lang w:val="en-US" w:eastAsia="en-US"/>
              </w:rPr>
              <w:t xml:space="preserve"> (London: Routledge).</w:t>
            </w:r>
          </w:p>
          <w:p w14:paraId="5913D549" w14:textId="77777777" w:rsidR="009B2CD2" w:rsidRPr="009B2CD2" w:rsidRDefault="009B2CD2" w:rsidP="000C58B9">
            <w:pPr>
              <w:numPr>
                <w:ilvl w:val="0"/>
                <w:numId w:val="6"/>
              </w:numPr>
              <w:rPr>
                <w:szCs w:val="24"/>
                <w:lang w:val="en-US" w:eastAsia="en-US"/>
              </w:rPr>
            </w:pPr>
            <w:r w:rsidRPr="009B2CD2">
              <w:rPr>
                <w:szCs w:val="24"/>
                <w:lang w:val="en-US" w:eastAsia="en-US"/>
              </w:rPr>
              <w:t xml:space="preserve">Wisniewski, E. (2013), “The Influence of the European Parliament on the European External Action Service”, </w:t>
            </w:r>
            <w:r w:rsidRPr="009B2CD2">
              <w:rPr>
                <w:i/>
                <w:szCs w:val="24"/>
                <w:lang w:val="en-US" w:eastAsia="en-US"/>
              </w:rPr>
              <w:t>European Foreign Affairs Review</w:t>
            </w:r>
            <w:r w:rsidRPr="009B2CD2">
              <w:rPr>
                <w:szCs w:val="24"/>
                <w:lang w:val="en-US" w:eastAsia="en-US"/>
              </w:rPr>
              <w:t xml:space="preserve"> 18:1, 81-101.</w:t>
            </w:r>
            <w:r w:rsidRPr="009B2CD2">
              <w:rPr>
                <w:color w:val="000000"/>
                <w:lang w:val="en-US"/>
              </w:rPr>
              <w:t xml:space="preserve"> </w:t>
            </w:r>
          </w:p>
        </w:tc>
      </w:tr>
    </w:tbl>
    <w:p w14:paraId="7B51B14C" w14:textId="77777777" w:rsidR="00947722" w:rsidRPr="009B2CD2" w:rsidRDefault="00947722">
      <w:pPr>
        <w:rPr>
          <w:bCs/>
          <w:lang w:val="en-US"/>
        </w:rPr>
      </w:pPr>
    </w:p>
    <w:p w14:paraId="080BA4AD" w14:textId="77777777" w:rsidR="009B2CD2" w:rsidRPr="00525ED8" w:rsidRDefault="009B2CD2">
      <w:pPr>
        <w:rPr>
          <w:sz w:val="2"/>
          <w:szCs w:val="2"/>
          <w:lang w:val="en-US"/>
        </w:rPr>
      </w:pPr>
    </w:p>
    <w:p w14:paraId="41B94243" w14:textId="28D4DF5D" w:rsidR="00F52636" w:rsidRDefault="00947722">
      <w:pPr>
        <w:rPr>
          <w:lang w:val="en-US"/>
        </w:rPr>
      </w:pPr>
      <w:r>
        <w:rPr>
          <w:lang w:val="en-US"/>
        </w:rPr>
        <w:t xml:space="preserve">Please note: Special office hours will be held </w:t>
      </w:r>
      <w:r w:rsidR="00C413DA">
        <w:rPr>
          <w:lang w:val="en-US"/>
        </w:rPr>
        <w:t xml:space="preserve">on Zoom </w:t>
      </w:r>
      <w:r w:rsidR="00A908A1">
        <w:rPr>
          <w:lang w:val="en-US"/>
        </w:rPr>
        <w:t>i</w:t>
      </w:r>
      <w:r>
        <w:rPr>
          <w:lang w:val="en-US"/>
        </w:rPr>
        <w:t xml:space="preserve">n the </w:t>
      </w:r>
      <w:r w:rsidR="00F52636">
        <w:rPr>
          <w:lang w:val="en-US"/>
        </w:rPr>
        <w:t xml:space="preserve">afternoon of </w:t>
      </w:r>
      <w:r w:rsidR="009B2CD2">
        <w:rPr>
          <w:lang w:val="en-US"/>
        </w:rPr>
        <w:t xml:space="preserve">August </w:t>
      </w:r>
      <w:r w:rsidR="00EF2D86">
        <w:rPr>
          <w:lang w:val="en-US"/>
        </w:rPr>
        <w:t>5</w:t>
      </w:r>
      <w:r w:rsidR="009B2CD2">
        <w:rPr>
          <w:lang w:val="en-US"/>
        </w:rPr>
        <w:t xml:space="preserve"> </w:t>
      </w:r>
      <w:r w:rsidR="00F52636">
        <w:rPr>
          <w:lang w:val="en-US"/>
        </w:rPr>
        <w:t>(</w:t>
      </w:r>
      <w:r w:rsidR="009B2CD2">
        <w:rPr>
          <w:lang w:val="en-US"/>
        </w:rPr>
        <w:t>3</w:t>
      </w:r>
      <w:r w:rsidR="00F52636">
        <w:rPr>
          <w:lang w:val="en-US"/>
        </w:rPr>
        <w:t>:00-</w:t>
      </w:r>
      <w:r w:rsidR="009B2CD2">
        <w:rPr>
          <w:lang w:val="en-US"/>
        </w:rPr>
        <w:t>4</w:t>
      </w:r>
      <w:r w:rsidR="00F52636">
        <w:rPr>
          <w:lang w:val="en-US"/>
        </w:rPr>
        <w:t>:</w:t>
      </w:r>
      <w:r w:rsidR="009B2CD2">
        <w:rPr>
          <w:lang w:val="en-US"/>
        </w:rPr>
        <w:t>3</w:t>
      </w:r>
      <w:r w:rsidR="00F52636">
        <w:rPr>
          <w:lang w:val="en-US"/>
        </w:rPr>
        <w:t xml:space="preserve">0) </w:t>
      </w:r>
      <w:r>
        <w:rPr>
          <w:lang w:val="en-US"/>
        </w:rPr>
        <w:t xml:space="preserve">to discuss issues relating to the final paper. </w:t>
      </w:r>
    </w:p>
    <w:p w14:paraId="7B2FCDC4" w14:textId="77777777" w:rsidR="00F52636" w:rsidRDefault="00F52636">
      <w:pPr>
        <w:rPr>
          <w:lang w:val="en-US"/>
        </w:rPr>
      </w:pPr>
    </w:p>
    <w:p w14:paraId="73F5D8B4" w14:textId="4E1FD523" w:rsidR="00947722" w:rsidRDefault="00947722">
      <w:pPr>
        <w:rPr>
          <w:lang w:val="en-US"/>
        </w:rPr>
      </w:pPr>
      <w:r w:rsidRPr="00947722">
        <w:rPr>
          <w:highlight w:val="yellow"/>
          <w:lang w:val="en-US"/>
        </w:rPr>
        <w:t xml:space="preserve">Due date for final paper: </w:t>
      </w:r>
      <w:r w:rsidR="009B2CD2">
        <w:rPr>
          <w:highlight w:val="yellow"/>
          <w:lang w:val="en-US"/>
        </w:rPr>
        <w:t>August 1</w:t>
      </w:r>
      <w:r w:rsidR="00E4481F">
        <w:rPr>
          <w:highlight w:val="yellow"/>
          <w:lang w:val="en-US"/>
        </w:rPr>
        <w:t>6</w:t>
      </w:r>
      <w:r w:rsidRPr="00947722">
        <w:rPr>
          <w:highlight w:val="yellow"/>
          <w:lang w:val="en-US"/>
        </w:rPr>
        <w:t>, 20</w:t>
      </w:r>
      <w:r w:rsidR="009268A1">
        <w:rPr>
          <w:highlight w:val="yellow"/>
          <w:lang w:val="en-US"/>
        </w:rPr>
        <w:t>2</w:t>
      </w:r>
      <w:r w:rsidR="00CB715C">
        <w:rPr>
          <w:highlight w:val="yellow"/>
          <w:lang w:val="en-US"/>
        </w:rPr>
        <w:t>2</w:t>
      </w:r>
      <w:r w:rsidRPr="009B2CD2">
        <w:rPr>
          <w:highlight w:val="yellow"/>
          <w:lang w:val="en-US"/>
        </w:rPr>
        <w:t>.</w:t>
      </w:r>
      <w:r w:rsidR="009B2CD2" w:rsidRPr="009B2CD2">
        <w:rPr>
          <w:highlight w:val="yellow"/>
          <w:lang w:val="en-US"/>
        </w:rPr>
        <w:t xml:space="preserve"> </w:t>
      </w:r>
    </w:p>
    <w:p w14:paraId="24BC9A3C" w14:textId="77777777" w:rsidR="008F69BF" w:rsidRPr="008F69BF" w:rsidRDefault="008F69BF" w:rsidP="004242D1">
      <w:pPr>
        <w:rPr>
          <w:b/>
          <w:i/>
          <w:iCs/>
          <w:lang w:val="en-CA"/>
        </w:rPr>
      </w:pPr>
    </w:p>
    <w:p w14:paraId="68B0EF30" w14:textId="3BA38633" w:rsidR="00993480" w:rsidRDefault="00993480">
      <w:pPr>
        <w:rPr>
          <w:b/>
          <w:bCs/>
          <w:szCs w:val="24"/>
          <w:u w:val="single"/>
          <w:lang w:val="en-CA"/>
        </w:rPr>
      </w:pPr>
      <w:r>
        <w:rPr>
          <w:b/>
          <w:bCs/>
          <w:szCs w:val="24"/>
          <w:u w:val="single"/>
          <w:lang w:val="en-CA"/>
        </w:rPr>
        <w:br w:type="page"/>
      </w:r>
    </w:p>
    <w:p w14:paraId="37BDE702" w14:textId="77777777" w:rsidR="00993480" w:rsidRPr="005A4D4E" w:rsidRDefault="00993480" w:rsidP="00993480">
      <w:pPr>
        <w:pBdr>
          <w:bottom w:val="single" w:sz="4" w:space="1" w:color="auto"/>
        </w:pBdr>
        <w:rPr>
          <w:rFonts w:ascii="Arial" w:hAnsi="Arial"/>
          <w:b/>
          <w:bCs/>
          <w:sz w:val="28"/>
          <w:szCs w:val="28"/>
          <w:lang w:val="en-GB"/>
        </w:rPr>
      </w:pPr>
      <w:r w:rsidRPr="005A4D4E">
        <w:rPr>
          <w:rFonts w:ascii="Arial" w:hAnsi="Arial"/>
          <w:b/>
          <w:bCs/>
          <w:sz w:val="28"/>
          <w:szCs w:val="28"/>
          <w:lang w:val="en-GB"/>
        </w:rPr>
        <w:lastRenderedPageBreak/>
        <w:t>Appendix</w:t>
      </w:r>
    </w:p>
    <w:p w14:paraId="0B541624" w14:textId="77777777" w:rsidR="00993480" w:rsidRPr="00993480" w:rsidRDefault="00993480" w:rsidP="00993480">
      <w:pPr>
        <w:rPr>
          <w:rFonts w:ascii="Arial" w:hAnsi="Arial"/>
          <w:b/>
          <w:sz w:val="28"/>
          <w:szCs w:val="28"/>
          <w:lang w:val="en-CA"/>
        </w:rPr>
      </w:pPr>
    </w:p>
    <w:p w14:paraId="33E21176" w14:textId="77777777" w:rsidR="00993480" w:rsidRPr="00993480" w:rsidRDefault="00993480" w:rsidP="00993480">
      <w:pPr>
        <w:rPr>
          <w:rFonts w:ascii="Arial" w:hAnsi="Arial"/>
          <w:b/>
          <w:szCs w:val="24"/>
          <w:u w:val="single"/>
          <w:lang w:val="en-CA"/>
        </w:rPr>
      </w:pPr>
      <w:r w:rsidRPr="00993480">
        <w:rPr>
          <w:rFonts w:ascii="Arial" w:hAnsi="Arial"/>
          <w:b/>
          <w:szCs w:val="24"/>
          <w:u w:val="single"/>
          <w:lang w:val="en-CA"/>
        </w:rPr>
        <w:t>Covid-19 Information</w:t>
      </w:r>
    </w:p>
    <w:p w14:paraId="02C4A00E" w14:textId="77777777" w:rsidR="00993480" w:rsidRPr="00993480" w:rsidRDefault="00993480" w:rsidP="00993480">
      <w:pPr>
        <w:rPr>
          <w:rFonts w:ascii="Arial" w:hAnsi="Arial"/>
          <w:szCs w:val="24"/>
          <w:lang w:val="en-CA"/>
        </w:rPr>
      </w:pPr>
    </w:p>
    <w:p w14:paraId="4C3CF7CD" w14:textId="77777777" w:rsidR="00993480" w:rsidRPr="00993480" w:rsidRDefault="00993480" w:rsidP="00993480">
      <w:pPr>
        <w:rPr>
          <w:rFonts w:ascii="Arial" w:hAnsi="Arial" w:cs="Arial"/>
          <w:szCs w:val="24"/>
          <w:lang w:val="en-CA"/>
        </w:rPr>
      </w:pPr>
      <w:r w:rsidRPr="00993480">
        <w:rPr>
          <w:rFonts w:ascii="Arial" w:hAnsi="Arial" w:cs="Arial"/>
          <w:szCs w:val="24"/>
          <w:lang w:val="en-CA"/>
        </w:rPr>
        <w:t xml:space="preserve">It is important to remember that COVID is still present in Ottawa. The situation can change at any time and the risks of new variants and outbreaks are very real. There are </w:t>
      </w:r>
      <w:hyperlink r:id="rId30" w:history="1">
        <w:r w:rsidRPr="00993480">
          <w:rPr>
            <w:rStyle w:val="Hyperlink"/>
            <w:rFonts w:ascii="Arial" w:hAnsi="Arial" w:cs="Arial"/>
            <w:szCs w:val="24"/>
            <w:lang w:val="en-CA"/>
          </w:rPr>
          <w:t>a number of actions you can take</w:t>
        </w:r>
      </w:hyperlink>
      <w:r w:rsidRPr="00993480">
        <w:rPr>
          <w:rFonts w:ascii="Arial" w:hAnsi="Arial" w:cs="Arial"/>
          <w:szCs w:val="24"/>
          <w:lang w:val="en-CA"/>
        </w:rPr>
        <w:t xml:space="preserve"> to lower your risk and the risk you pose to those around you including being vaccinated, wearing a mask, staying home when you’re sick, washing your hands and maintaining proper respiratory and cough etiquette.</w:t>
      </w:r>
    </w:p>
    <w:p w14:paraId="59FB4E96" w14:textId="77777777" w:rsidR="00993480" w:rsidRPr="00993480" w:rsidRDefault="00993480" w:rsidP="00993480">
      <w:pPr>
        <w:rPr>
          <w:rFonts w:ascii="Arial" w:hAnsi="Arial" w:cs="Arial"/>
          <w:szCs w:val="24"/>
          <w:lang w:val="en-CA"/>
        </w:rPr>
      </w:pPr>
    </w:p>
    <w:p w14:paraId="1902BC8B" w14:textId="77777777" w:rsidR="00993480" w:rsidRPr="00993480" w:rsidRDefault="00993480" w:rsidP="00993480">
      <w:pPr>
        <w:rPr>
          <w:rFonts w:ascii="Arial" w:hAnsi="Arial" w:cs="Arial"/>
          <w:szCs w:val="24"/>
          <w:lang w:val="en-CA"/>
        </w:rPr>
      </w:pPr>
      <w:r w:rsidRPr="00993480">
        <w:rPr>
          <w:rFonts w:ascii="Arial" w:hAnsi="Arial" w:cs="Arial"/>
          <w:b/>
          <w:bCs/>
          <w:szCs w:val="24"/>
          <w:lang w:val="en-CA"/>
        </w:rPr>
        <w:t xml:space="preserve">Feeling sick? </w:t>
      </w:r>
      <w:r w:rsidRPr="00993480">
        <w:rPr>
          <w:rFonts w:ascii="Arial" w:hAnsi="Arial" w:cs="Arial"/>
          <w:szCs w:val="24"/>
          <w:lang w:val="en-CA"/>
        </w:rPr>
        <w:t xml:space="preserve">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must follow Carleton’s </w:t>
      </w:r>
      <w:hyperlink r:id="rId31" w:history="1">
        <w:r w:rsidRPr="00993480">
          <w:rPr>
            <w:rStyle w:val="Hyperlink"/>
            <w:rFonts w:ascii="Arial" w:hAnsi="Arial" w:cs="Arial"/>
            <w:szCs w:val="24"/>
            <w:lang w:val="en-CA"/>
          </w:rPr>
          <w:t>symptom reporting protocols</w:t>
        </w:r>
      </w:hyperlink>
      <w:r w:rsidRPr="00993480">
        <w:rPr>
          <w:rFonts w:ascii="Arial" w:hAnsi="Arial" w:cs="Arial"/>
          <w:szCs w:val="24"/>
          <w:lang w:val="en-CA"/>
        </w:rPr>
        <w:t xml:space="preserve">. </w:t>
      </w:r>
    </w:p>
    <w:p w14:paraId="1907D121" w14:textId="77777777" w:rsidR="00993480" w:rsidRPr="00993480" w:rsidRDefault="00993480" w:rsidP="00993480">
      <w:pPr>
        <w:rPr>
          <w:rFonts w:ascii="Arial" w:hAnsi="Arial" w:cs="Arial"/>
          <w:b/>
          <w:bCs/>
          <w:szCs w:val="24"/>
          <w:lang w:val="en-CA"/>
        </w:rPr>
      </w:pPr>
    </w:p>
    <w:p w14:paraId="5BEE8E0B" w14:textId="77777777" w:rsidR="00993480" w:rsidRPr="00993480" w:rsidRDefault="00993480" w:rsidP="00993480">
      <w:pPr>
        <w:rPr>
          <w:rFonts w:ascii="Arial" w:hAnsi="Arial" w:cs="Arial"/>
          <w:szCs w:val="24"/>
          <w:lang w:val="en-CA"/>
        </w:rPr>
      </w:pPr>
      <w:r w:rsidRPr="00993480">
        <w:rPr>
          <w:rFonts w:ascii="Arial" w:hAnsi="Arial" w:cs="Arial"/>
          <w:b/>
          <w:bCs/>
          <w:szCs w:val="24"/>
          <w:lang w:val="en-CA"/>
        </w:rPr>
        <w:t xml:space="preserve">Masks: </w:t>
      </w:r>
      <w:r w:rsidRPr="00993480">
        <w:rPr>
          <w:rFonts w:ascii="Arial" w:hAnsi="Arial" w:cs="Arial"/>
          <w:szCs w:val="24"/>
          <w:lang w:val="en-CA"/>
        </w:rPr>
        <w:t xml:space="preserve">On the recommendation of Ottawa Public Health, Carleton will be maintaining the mandatory </w:t>
      </w:r>
      <w:hyperlink r:id="rId32" w:history="1">
        <w:r w:rsidRPr="00993480">
          <w:rPr>
            <w:rStyle w:val="Hyperlink"/>
            <w:rFonts w:ascii="Arial" w:hAnsi="Arial" w:cs="Arial"/>
            <w:szCs w:val="24"/>
            <w:lang w:val="en-CA"/>
          </w:rPr>
          <w:t>COVID-19 Mask Policy</w:t>
        </w:r>
      </w:hyperlink>
      <w:r w:rsidRPr="00993480">
        <w:rPr>
          <w:rFonts w:ascii="Arial" w:hAnsi="Arial" w:cs="Arial"/>
          <w:szCs w:val="24"/>
          <w:lang w:val="en-CA"/>
        </w:rPr>
        <w:t xml:space="preserve"> until further notice. The policy requires masks to be worn in all university buildings, including offices, classrooms and labs. </w:t>
      </w:r>
    </w:p>
    <w:p w14:paraId="69CC1888" w14:textId="77777777" w:rsidR="00993480" w:rsidRPr="00993480" w:rsidRDefault="00993480" w:rsidP="00993480">
      <w:pPr>
        <w:shd w:val="clear" w:color="auto" w:fill="FFFFFF"/>
        <w:rPr>
          <w:rFonts w:ascii="Arial" w:hAnsi="Arial" w:cs="Arial"/>
          <w:b/>
          <w:bCs/>
          <w:szCs w:val="24"/>
          <w:lang w:val="en-CA"/>
        </w:rPr>
      </w:pPr>
    </w:p>
    <w:p w14:paraId="55D5FFC2" w14:textId="77777777" w:rsidR="00993480" w:rsidRPr="00993480" w:rsidRDefault="00993480" w:rsidP="00993480">
      <w:pPr>
        <w:shd w:val="clear" w:color="auto" w:fill="FFFFFF"/>
        <w:rPr>
          <w:rFonts w:ascii="Calibri" w:hAnsi="Calibri" w:cs="Calibri"/>
          <w:color w:val="000000"/>
          <w:szCs w:val="24"/>
          <w:lang w:val="en-CA"/>
        </w:rPr>
      </w:pPr>
      <w:r w:rsidRPr="00993480">
        <w:rPr>
          <w:rFonts w:ascii="Arial" w:hAnsi="Arial" w:cs="Arial"/>
          <w:b/>
          <w:bCs/>
          <w:szCs w:val="24"/>
          <w:lang w:val="en-CA"/>
        </w:rPr>
        <w:t xml:space="preserve">Vaccines: </w:t>
      </w:r>
      <w:r w:rsidRPr="00993480">
        <w:rPr>
          <w:rFonts w:ascii="Arial" w:hAnsi="Arial" w:cs="Arial"/>
          <w:szCs w:val="24"/>
          <w:lang w:val="en-CA"/>
        </w:rPr>
        <w:t>Further, while proof of vaccination is no longer required as of May 1 to attend campus or in-person activity,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 </w:t>
      </w:r>
      <w:proofErr w:type="spellStart"/>
      <w:r w:rsidR="001041A7">
        <w:fldChar w:fldCharType="begin"/>
      </w:r>
      <w:r w:rsidR="001041A7" w:rsidRPr="00990C7A">
        <w:rPr>
          <w:lang w:val="en-CA"/>
        </w:rPr>
        <w:instrText xml:space="preserve"> HYPERLINK "http://carleton.ca/covid19/cuscreen" </w:instrText>
      </w:r>
      <w:r w:rsidR="001041A7">
        <w:fldChar w:fldCharType="separate"/>
      </w:r>
      <w:r w:rsidRPr="00993480">
        <w:rPr>
          <w:rStyle w:val="Hyperlink"/>
          <w:rFonts w:ascii="Arial" w:hAnsi="Arial" w:cs="Arial"/>
          <w:szCs w:val="24"/>
          <w:lang w:val="en-CA"/>
        </w:rPr>
        <w:t>cuScreen</w:t>
      </w:r>
      <w:proofErr w:type="spellEnd"/>
      <w:r w:rsidR="001041A7">
        <w:rPr>
          <w:rStyle w:val="Hyperlink"/>
          <w:rFonts w:ascii="Arial" w:hAnsi="Arial" w:cs="Arial"/>
          <w:szCs w:val="24"/>
          <w:lang w:val="en-CA"/>
        </w:rPr>
        <w:fldChar w:fldCharType="end"/>
      </w:r>
      <w:r w:rsidRPr="00993480">
        <w:rPr>
          <w:rFonts w:ascii="Arial" w:hAnsi="Arial" w:cs="Arial"/>
          <w:szCs w:val="24"/>
          <w:lang w:val="en-CA"/>
        </w:rPr>
        <w:t> as soon as possible. Please note that Carleton cannot guarantee that it will be able to offer virtual or hybrid learning options for those who are unable to attend the campus.</w:t>
      </w:r>
      <w:r w:rsidRPr="00993480">
        <w:rPr>
          <w:color w:val="000000"/>
          <w:szCs w:val="24"/>
          <w:lang w:val="en-CA"/>
        </w:rPr>
        <w:t xml:space="preserve"> </w:t>
      </w:r>
    </w:p>
    <w:p w14:paraId="0DC193F7" w14:textId="77777777" w:rsidR="00993480" w:rsidRPr="00993480" w:rsidRDefault="00993480" w:rsidP="00993480">
      <w:pPr>
        <w:rPr>
          <w:rFonts w:ascii="Arial" w:hAnsi="Arial" w:cs="Arial"/>
          <w:szCs w:val="24"/>
          <w:lang w:val="en-CA"/>
        </w:rPr>
      </w:pPr>
    </w:p>
    <w:p w14:paraId="56562014" w14:textId="77777777" w:rsidR="00993480" w:rsidRPr="00993480" w:rsidRDefault="00993480" w:rsidP="00993480">
      <w:pPr>
        <w:rPr>
          <w:rFonts w:ascii="Calibri" w:hAnsi="Calibri" w:cs="Calibri"/>
          <w:szCs w:val="24"/>
          <w:lang w:val="en-CA"/>
        </w:rPr>
      </w:pPr>
      <w:r w:rsidRPr="00993480">
        <w:rPr>
          <w:rFonts w:ascii="Arial" w:hAnsi="Arial" w:cs="Arial"/>
          <w:szCs w:val="24"/>
          <w:lang w:val="en-CA"/>
        </w:rPr>
        <w:t xml:space="preserve">All members of the Carleton community are required to follow requirements and guidelines regarding health and safety which may change from time to time. For the most recent information about Carleton’s COVID-19 response and health and safety requirements please see the </w:t>
      </w:r>
      <w:hyperlink r:id="rId33" w:history="1">
        <w:r w:rsidRPr="00993480">
          <w:rPr>
            <w:rStyle w:val="Hyperlink"/>
            <w:rFonts w:ascii="Arial" w:hAnsi="Arial" w:cs="Arial"/>
            <w:szCs w:val="24"/>
            <w:lang w:val="en-CA"/>
          </w:rPr>
          <w:t>University’s COVID-19 website</w:t>
        </w:r>
      </w:hyperlink>
      <w:r w:rsidRPr="00993480">
        <w:rPr>
          <w:rFonts w:ascii="Arial" w:hAnsi="Arial" w:cs="Arial"/>
          <w:szCs w:val="24"/>
          <w:lang w:val="en-CA"/>
        </w:rPr>
        <w:t xml:space="preserve"> and review the </w:t>
      </w:r>
      <w:hyperlink r:id="rId34" w:history="1">
        <w:r w:rsidRPr="00993480">
          <w:rPr>
            <w:rStyle w:val="Hyperlink"/>
            <w:rFonts w:ascii="Arial" w:hAnsi="Arial" w:cs="Arial"/>
            <w:szCs w:val="24"/>
            <w:lang w:val="en-CA"/>
          </w:rPr>
          <w:t>Frequently Asked Questions (FAQs)</w:t>
        </w:r>
      </w:hyperlink>
      <w:r w:rsidRPr="00993480">
        <w:rPr>
          <w:rFonts w:ascii="Arial" w:hAnsi="Arial" w:cs="Arial"/>
          <w:szCs w:val="24"/>
          <w:lang w:val="en-CA"/>
        </w:rPr>
        <w:t xml:space="preserve">. Should you have additional questions after reviewing, please contact </w:t>
      </w:r>
      <w:hyperlink r:id="rId35" w:history="1">
        <w:r w:rsidRPr="00993480">
          <w:rPr>
            <w:rStyle w:val="Hyperlink"/>
            <w:rFonts w:ascii="Arial" w:hAnsi="Arial" w:cs="Arial"/>
            <w:szCs w:val="24"/>
            <w:lang w:val="en-CA"/>
          </w:rPr>
          <w:t>covidinfo@carleton.ca</w:t>
        </w:r>
      </w:hyperlink>
      <w:r w:rsidRPr="00993480">
        <w:rPr>
          <w:szCs w:val="24"/>
          <w:lang w:val="en-CA"/>
        </w:rPr>
        <w:t>.</w:t>
      </w:r>
    </w:p>
    <w:p w14:paraId="411985B1" w14:textId="77777777" w:rsidR="00993480" w:rsidRPr="00993480" w:rsidRDefault="00993480" w:rsidP="00993480">
      <w:pPr>
        <w:rPr>
          <w:rFonts w:ascii="Arial" w:hAnsi="Arial"/>
          <w:szCs w:val="24"/>
          <w:lang w:val="en-CA"/>
        </w:rPr>
      </w:pPr>
    </w:p>
    <w:p w14:paraId="01980FB5" w14:textId="77777777" w:rsidR="00993480" w:rsidRPr="00993480" w:rsidRDefault="00993480" w:rsidP="00993480">
      <w:pPr>
        <w:rPr>
          <w:rFonts w:ascii="Arial" w:hAnsi="Arial"/>
          <w:b/>
          <w:szCs w:val="24"/>
          <w:u w:val="single"/>
          <w:lang w:val="en-CA"/>
        </w:rPr>
      </w:pPr>
      <w:r w:rsidRPr="00993480">
        <w:rPr>
          <w:rFonts w:ascii="Arial" w:hAnsi="Arial"/>
          <w:b/>
          <w:szCs w:val="24"/>
          <w:u w:val="single"/>
          <w:lang w:val="en-CA"/>
        </w:rPr>
        <w:t>Requests for Academic Accommodation</w:t>
      </w:r>
    </w:p>
    <w:p w14:paraId="419F5331" w14:textId="77777777" w:rsidR="00993480" w:rsidRPr="00993480" w:rsidRDefault="00993480" w:rsidP="00993480">
      <w:pPr>
        <w:rPr>
          <w:rFonts w:ascii="Arial" w:hAnsi="Arial"/>
          <w:szCs w:val="24"/>
          <w:lang w:val="en-CA"/>
        </w:rPr>
      </w:pPr>
    </w:p>
    <w:p w14:paraId="184760BC" w14:textId="77777777" w:rsidR="00993480" w:rsidRPr="00993480" w:rsidRDefault="00993480" w:rsidP="00993480">
      <w:pPr>
        <w:rPr>
          <w:rFonts w:ascii="Arial" w:hAnsi="Arial"/>
          <w:szCs w:val="24"/>
          <w:lang w:val="en-CA"/>
        </w:rPr>
      </w:pPr>
      <w:r w:rsidRPr="00993480">
        <w:rPr>
          <w:rFonts w:ascii="Arial" w:hAnsi="Arial"/>
          <w:szCs w:val="24"/>
          <w:lang w:val="en-CA"/>
        </w:rPr>
        <w:t xml:space="preserve">You may need special arrangements to meet your academic obligations during the term. For an accommodation request, the processes are as follows: </w:t>
      </w:r>
    </w:p>
    <w:p w14:paraId="0556DAC0" w14:textId="77777777" w:rsidR="00993480" w:rsidRPr="00993480" w:rsidRDefault="00993480" w:rsidP="00993480">
      <w:pPr>
        <w:rPr>
          <w:rFonts w:ascii="Arial" w:hAnsi="Arial"/>
          <w:szCs w:val="24"/>
          <w:lang w:val="en-CA"/>
        </w:rPr>
      </w:pPr>
    </w:p>
    <w:p w14:paraId="7012B20B" w14:textId="77777777" w:rsidR="00993480" w:rsidRPr="00993480" w:rsidRDefault="00993480" w:rsidP="00993480">
      <w:pPr>
        <w:rPr>
          <w:rFonts w:ascii="Arial" w:hAnsi="Arial"/>
          <w:szCs w:val="24"/>
          <w:lang w:val="en-CA"/>
        </w:rPr>
      </w:pPr>
      <w:r w:rsidRPr="00993480">
        <w:rPr>
          <w:rFonts w:ascii="Arial" w:hAnsi="Arial"/>
          <w:b/>
          <w:i/>
          <w:iCs/>
          <w:szCs w:val="24"/>
          <w:lang w:val="en-CA"/>
        </w:rPr>
        <w:t>Pregnancy accommodation:</w:t>
      </w:r>
      <w:r w:rsidRPr="00993480">
        <w:rPr>
          <w:rFonts w:ascii="Arial" w:hAnsi="Arial"/>
          <w:b/>
          <w:szCs w:val="24"/>
          <w:lang w:val="en-CA"/>
        </w:rPr>
        <w:t xml:space="preserve"> </w:t>
      </w:r>
      <w:r w:rsidRPr="00993480">
        <w:rPr>
          <w:rFonts w:ascii="Arial" w:hAnsi="Arial"/>
          <w:szCs w:val="24"/>
          <w:lang w:val="en-CA"/>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36" w:history="1">
        <w:r w:rsidRPr="00993480">
          <w:rPr>
            <w:rFonts w:ascii="Arial" w:hAnsi="Arial"/>
            <w:color w:val="0000FF"/>
            <w:szCs w:val="24"/>
            <w:u w:val="single"/>
            <w:lang w:val="en-CA"/>
          </w:rPr>
          <w:t>carleton.ca/equity/wp-content/uploads/Student-Guide-to-Academic-Accommodation.pdf</w:t>
        </w:r>
      </w:hyperlink>
      <w:r w:rsidRPr="00993480">
        <w:rPr>
          <w:rFonts w:ascii="Arial" w:hAnsi="Arial"/>
          <w:color w:val="0000FF"/>
          <w:szCs w:val="24"/>
          <w:u w:val="single"/>
          <w:lang w:val="en-CA"/>
        </w:rPr>
        <w:t>.</w:t>
      </w:r>
    </w:p>
    <w:p w14:paraId="184535FA" w14:textId="77777777" w:rsidR="00993480" w:rsidRPr="00993480" w:rsidRDefault="00993480" w:rsidP="00993480">
      <w:pPr>
        <w:rPr>
          <w:rFonts w:ascii="Arial" w:hAnsi="Arial"/>
          <w:szCs w:val="24"/>
          <w:lang w:val="en-CA"/>
        </w:rPr>
      </w:pPr>
    </w:p>
    <w:p w14:paraId="3234738A" w14:textId="77777777" w:rsidR="00993480" w:rsidRPr="00993480" w:rsidRDefault="00993480" w:rsidP="00993480">
      <w:pPr>
        <w:rPr>
          <w:rFonts w:ascii="Arial" w:hAnsi="Arial"/>
          <w:szCs w:val="24"/>
          <w:lang w:val="en-CA"/>
        </w:rPr>
      </w:pPr>
      <w:r w:rsidRPr="00993480">
        <w:rPr>
          <w:rFonts w:ascii="Arial" w:hAnsi="Arial"/>
          <w:b/>
          <w:i/>
          <w:iCs/>
          <w:szCs w:val="24"/>
          <w:lang w:val="en-CA"/>
        </w:rPr>
        <w:lastRenderedPageBreak/>
        <w:t>Religious accommodation:</w:t>
      </w:r>
      <w:r w:rsidRPr="00993480">
        <w:rPr>
          <w:rFonts w:ascii="Arial" w:hAnsi="Arial"/>
          <w:b/>
          <w:szCs w:val="24"/>
          <w:lang w:val="en-CA"/>
        </w:rPr>
        <w:t xml:space="preserve"> </w:t>
      </w:r>
      <w:r w:rsidRPr="00993480">
        <w:rPr>
          <w:rFonts w:ascii="Arial" w:hAnsi="Arial"/>
          <w:szCs w:val="24"/>
          <w:lang w:val="en-CA"/>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37" w:history="1">
        <w:r w:rsidRPr="00993480">
          <w:rPr>
            <w:rFonts w:ascii="Arial" w:hAnsi="Arial"/>
            <w:color w:val="0000FF"/>
            <w:szCs w:val="24"/>
            <w:u w:val="single"/>
            <w:lang w:val="en-CA"/>
          </w:rPr>
          <w:t>carleton.ca/equity/wp-content/uploads/Student-Guide-to-Academic-Accommodation.pdf</w:t>
        </w:r>
      </w:hyperlink>
      <w:r w:rsidRPr="00993480">
        <w:rPr>
          <w:rFonts w:ascii="Arial" w:hAnsi="Arial"/>
          <w:color w:val="0000FF"/>
          <w:szCs w:val="24"/>
          <w:u w:val="single"/>
          <w:lang w:val="en-CA"/>
        </w:rPr>
        <w:t>.</w:t>
      </w:r>
    </w:p>
    <w:p w14:paraId="2141460F" w14:textId="77777777" w:rsidR="00993480" w:rsidRPr="00993480" w:rsidRDefault="00993480" w:rsidP="00993480">
      <w:pPr>
        <w:rPr>
          <w:rFonts w:ascii="Arial" w:hAnsi="Arial"/>
          <w:szCs w:val="24"/>
          <w:lang w:val="en-CA"/>
        </w:rPr>
      </w:pPr>
    </w:p>
    <w:p w14:paraId="60296784" w14:textId="77777777" w:rsidR="00993480" w:rsidRPr="00993480" w:rsidRDefault="00993480" w:rsidP="00993480">
      <w:pPr>
        <w:rPr>
          <w:rFonts w:ascii="Arial" w:hAnsi="Arial"/>
          <w:szCs w:val="24"/>
          <w:lang w:val="en-CA"/>
        </w:rPr>
      </w:pPr>
      <w:r w:rsidRPr="00993480">
        <w:rPr>
          <w:rFonts w:ascii="Arial" w:hAnsi="Arial"/>
          <w:b/>
          <w:i/>
          <w:iCs/>
          <w:szCs w:val="24"/>
          <w:lang w:val="en-CA"/>
        </w:rPr>
        <w:t>Accommodations for students with disabilities:</w:t>
      </w:r>
      <w:r w:rsidRPr="00993480">
        <w:rPr>
          <w:rFonts w:ascii="Arial" w:hAnsi="Arial"/>
          <w:b/>
          <w:szCs w:val="24"/>
          <w:lang w:val="en-CA"/>
        </w:rPr>
        <w:t xml:space="preserve"> </w:t>
      </w:r>
      <w:r w:rsidRPr="00993480">
        <w:rPr>
          <w:rFonts w:ascii="Arial" w:hAnsi="Arial"/>
          <w:szCs w:val="24"/>
          <w:lang w:val="en-CA"/>
        </w:rPr>
        <w:t xml:space="preserve">If you have a documented disability requiring academic accommodations in this course, please contact the Paul </w:t>
      </w:r>
      <w:proofErr w:type="spellStart"/>
      <w:r w:rsidRPr="00993480">
        <w:rPr>
          <w:rFonts w:ascii="Arial" w:hAnsi="Arial"/>
          <w:szCs w:val="24"/>
          <w:lang w:val="en-CA"/>
        </w:rPr>
        <w:t>Menton</w:t>
      </w:r>
      <w:proofErr w:type="spellEnd"/>
      <w:r w:rsidRPr="00993480">
        <w:rPr>
          <w:rFonts w:ascii="Arial" w:hAnsi="Arial"/>
          <w:szCs w:val="24"/>
          <w:lang w:val="en-CA"/>
        </w:rPr>
        <w:t xml:space="preserve"> Centre for Students with Disabilities (PMC) at 613-520-6608 or </w:t>
      </w:r>
      <w:hyperlink r:id="rId38" w:history="1">
        <w:r w:rsidRPr="00993480">
          <w:rPr>
            <w:rFonts w:ascii="Arial" w:hAnsi="Arial"/>
            <w:color w:val="0000FF"/>
            <w:szCs w:val="24"/>
            <w:u w:val="single"/>
            <w:lang w:val="en-CA"/>
          </w:rPr>
          <w:t>pmc@carleton.ca</w:t>
        </w:r>
      </w:hyperlink>
      <w:r w:rsidRPr="00993480">
        <w:rPr>
          <w:rFonts w:ascii="Arial" w:hAnsi="Arial"/>
          <w:szCs w:val="24"/>
          <w:lang w:val="en-CA"/>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reach out to your instructor as soon as possible to ensure accommodation arrangements are made. For more information, please visit </w:t>
      </w:r>
      <w:hyperlink r:id="rId39" w:history="1">
        <w:r w:rsidRPr="00993480">
          <w:rPr>
            <w:rFonts w:ascii="Arial" w:hAnsi="Arial"/>
            <w:color w:val="0000FF"/>
            <w:szCs w:val="24"/>
            <w:u w:val="single"/>
            <w:lang w:val="en-CA"/>
          </w:rPr>
          <w:t>carleton.ca/</w:t>
        </w:r>
        <w:proofErr w:type="spellStart"/>
        <w:r w:rsidRPr="00993480">
          <w:rPr>
            <w:rFonts w:ascii="Arial" w:hAnsi="Arial"/>
            <w:color w:val="0000FF"/>
            <w:szCs w:val="24"/>
            <w:u w:val="single"/>
            <w:lang w:val="en-CA"/>
          </w:rPr>
          <w:t>pmc</w:t>
        </w:r>
        <w:proofErr w:type="spellEnd"/>
      </w:hyperlink>
      <w:r w:rsidRPr="00993480">
        <w:rPr>
          <w:rFonts w:ascii="Arial" w:hAnsi="Arial"/>
          <w:szCs w:val="24"/>
          <w:lang w:val="en-CA"/>
        </w:rPr>
        <w:t>.</w:t>
      </w:r>
    </w:p>
    <w:p w14:paraId="2F752A64" w14:textId="77777777" w:rsidR="00993480" w:rsidRPr="00993480" w:rsidRDefault="00993480" w:rsidP="00993480">
      <w:pPr>
        <w:rPr>
          <w:rFonts w:ascii="Arial" w:hAnsi="Arial"/>
          <w:b/>
          <w:szCs w:val="24"/>
          <w:lang w:val="en-CA"/>
        </w:rPr>
      </w:pPr>
    </w:p>
    <w:p w14:paraId="3CE80656" w14:textId="77777777" w:rsidR="00993480" w:rsidRPr="005A4D4E" w:rsidRDefault="00993480" w:rsidP="00993480">
      <w:pPr>
        <w:rPr>
          <w:rFonts w:ascii="Arial" w:hAnsi="Arial"/>
          <w:color w:val="0000FF"/>
          <w:szCs w:val="24"/>
          <w:u w:val="single"/>
        </w:rPr>
      </w:pPr>
      <w:r w:rsidRPr="00993480">
        <w:rPr>
          <w:rFonts w:ascii="Arial" w:hAnsi="Arial"/>
          <w:b/>
          <w:i/>
          <w:iCs/>
          <w:szCs w:val="24"/>
          <w:lang w:val="en-CA"/>
        </w:rPr>
        <w:t>Accommodation for student activities:</w:t>
      </w:r>
      <w:r w:rsidRPr="00993480">
        <w:rPr>
          <w:rFonts w:ascii="Arial" w:hAnsi="Arial"/>
          <w:b/>
          <w:szCs w:val="24"/>
          <w:lang w:val="en-CA"/>
        </w:rPr>
        <w:t xml:space="preserve"> </w:t>
      </w:r>
      <w:r w:rsidRPr="00993480">
        <w:rPr>
          <w:rFonts w:ascii="Arial" w:hAnsi="Arial"/>
          <w:szCs w:val="24"/>
          <w:lang w:val="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engage in student activities at the national or international level. Please contact your instructor with any requests for academic accommodation during the first two weeks of class, or as soon as possible after the need for accommodation is known to exist. </w:t>
      </w:r>
      <w:hyperlink r:id="rId40" w:history="1">
        <w:r w:rsidRPr="005A4D4E">
          <w:rPr>
            <w:rFonts w:ascii="Arial" w:hAnsi="Arial"/>
            <w:color w:val="0000FF"/>
            <w:szCs w:val="24"/>
            <w:u w:val="single"/>
          </w:rPr>
          <w:t>https://carleton.ca/senate/wp-content/uploads/Accommodation-for-Student-Activities-1.pdf</w:t>
        </w:r>
      </w:hyperlink>
      <w:r w:rsidRPr="005A4D4E">
        <w:rPr>
          <w:rFonts w:ascii="Arial" w:hAnsi="Arial"/>
          <w:szCs w:val="24"/>
        </w:rPr>
        <w:t>.</w:t>
      </w:r>
    </w:p>
    <w:p w14:paraId="2C47DA13" w14:textId="77777777" w:rsidR="00993480" w:rsidRPr="005A4D4E" w:rsidRDefault="00993480" w:rsidP="00993480">
      <w:pPr>
        <w:rPr>
          <w:rFonts w:ascii="Arial" w:hAnsi="Arial" w:cstheme="minorHAnsi"/>
          <w:color w:val="191919"/>
          <w:szCs w:val="24"/>
        </w:rPr>
      </w:pPr>
    </w:p>
    <w:p w14:paraId="5B85D3A8" w14:textId="77777777" w:rsidR="00993480" w:rsidRPr="00993480" w:rsidRDefault="00993480" w:rsidP="00993480">
      <w:pPr>
        <w:rPr>
          <w:rFonts w:ascii="Arial" w:hAnsi="Arial" w:cstheme="minorHAnsi"/>
          <w:color w:val="0000FF"/>
          <w:szCs w:val="24"/>
          <w:u w:val="single"/>
          <w:lang w:val="en-CA"/>
        </w:rPr>
      </w:pPr>
      <w:r w:rsidRPr="00993480">
        <w:rPr>
          <w:rFonts w:ascii="Arial" w:hAnsi="Arial" w:cstheme="minorHAnsi"/>
          <w:color w:val="191919"/>
          <w:szCs w:val="24"/>
          <w:lang w:val="en-CA"/>
        </w:rPr>
        <w:t xml:space="preserve">For more information on academic accommodation, please contact the departmental administrator or visit: </w:t>
      </w:r>
      <w:hyperlink r:id="rId41" w:history="1">
        <w:r w:rsidRPr="00993480">
          <w:rPr>
            <w:rFonts w:ascii="Arial" w:hAnsi="Arial" w:cstheme="minorHAnsi"/>
            <w:color w:val="0000FF"/>
            <w:szCs w:val="24"/>
            <w:u w:val="single"/>
            <w:lang w:val="en-CA"/>
          </w:rPr>
          <w:t>students.carleton.ca/course-outline</w:t>
        </w:r>
      </w:hyperlink>
      <w:r w:rsidRPr="00993480">
        <w:rPr>
          <w:rFonts w:ascii="Arial" w:hAnsi="Arial" w:cstheme="minorHAnsi"/>
          <w:szCs w:val="24"/>
          <w:u w:val="single"/>
          <w:lang w:val="en-CA"/>
        </w:rPr>
        <w:t>.</w:t>
      </w:r>
    </w:p>
    <w:p w14:paraId="3815BC2F" w14:textId="77777777" w:rsidR="00993480" w:rsidRPr="00993480" w:rsidRDefault="00993480" w:rsidP="00993480">
      <w:pPr>
        <w:rPr>
          <w:rFonts w:ascii="Arial" w:hAnsi="Arial"/>
          <w:szCs w:val="24"/>
          <w:lang w:val="en-CA"/>
        </w:rPr>
      </w:pPr>
    </w:p>
    <w:p w14:paraId="34E11CFC" w14:textId="77777777" w:rsidR="00993480" w:rsidRPr="00993480" w:rsidRDefault="00993480" w:rsidP="00993480">
      <w:pPr>
        <w:rPr>
          <w:rFonts w:ascii="Arial" w:hAnsi="Arial"/>
          <w:b/>
          <w:bCs/>
          <w:szCs w:val="24"/>
          <w:u w:val="single"/>
          <w:lang w:val="en-CA"/>
        </w:rPr>
      </w:pPr>
      <w:r w:rsidRPr="00993480">
        <w:rPr>
          <w:rFonts w:ascii="Arial" w:hAnsi="Arial"/>
          <w:b/>
          <w:bCs/>
          <w:szCs w:val="24"/>
          <w:u w:val="single"/>
          <w:lang w:val="en-CA"/>
        </w:rPr>
        <w:t>Sexual Violence Policy</w:t>
      </w:r>
    </w:p>
    <w:p w14:paraId="3B21B515" w14:textId="77777777" w:rsidR="00993480" w:rsidRPr="00993480" w:rsidRDefault="00993480" w:rsidP="00993480">
      <w:pPr>
        <w:rPr>
          <w:rFonts w:ascii="Arial" w:hAnsi="Arial"/>
          <w:szCs w:val="24"/>
          <w:lang w:val="en-CA"/>
        </w:rPr>
      </w:pPr>
    </w:p>
    <w:p w14:paraId="172CAFB0" w14:textId="77777777" w:rsidR="00993480" w:rsidRPr="00993480" w:rsidRDefault="00993480" w:rsidP="00993480">
      <w:pPr>
        <w:rPr>
          <w:rFonts w:ascii="Arial" w:hAnsi="Arial"/>
          <w:szCs w:val="24"/>
          <w:lang w:val="en-CA"/>
        </w:rPr>
      </w:pPr>
      <w:r w:rsidRPr="00993480">
        <w:rPr>
          <w:rFonts w:ascii="Arial" w:hAnsi="Arial"/>
          <w:szCs w:val="24"/>
          <w:lang w:val="en-CA"/>
        </w:rPr>
        <w:t xml:space="preserve">As a community, Carleton University is committed to maintaining a positive learning, working and living environment where sexual violence will not be tolerated. Survivors are supported through academic accommodations as per Carleton's Sexual Violence Policy. For more information about the services available at the university and to obtain information about sexual violence and/or support, visit: </w:t>
      </w:r>
      <w:hyperlink r:id="rId42" w:history="1">
        <w:r w:rsidRPr="00993480">
          <w:rPr>
            <w:rFonts w:ascii="Arial" w:hAnsi="Arial"/>
            <w:color w:val="0000FF"/>
            <w:szCs w:val="24"/>
            <w:u w:val="single"/>
            <w:lang w:val="en-CA"/>
          </w:rPr>
          <w:t>carleton.ca/sexual-violence-support</w:t>
        </w:r>
      </w:hyperlink>
      <w:r w:rsidRPr="00993480">
        <w:rPr>
          <w:rFonts w:ascii="Arial" w:hAnsi="Arial"/>
          <w:szCs w:val="24"/>
          <w:lang w:val="en-CA"/>
        </w:rPr>
        <w:t>.</w:t>
      </w:r>
    </w:p>
    <w:p w14:paraId="285CAA3D" w14:textId="77777777" w:rsidR="00993480" w:rsidRPr="00993480" w:rsidRDefault="00993480" w:rsidP="00993480">
      <w:pPr>
        <w:rPr>
          <w:rFonts w:ascii="Arial" w:hAnsi="Arial"/>
          <w:szCs w:val="24"/>
          <w:lang w:val="en-CA"/>
        </w:rPr>
      </w:pPr>
    </w:p>
    <w:p w14:paraId="05FB9B97" w14:textId="77777777" w:rsidR="00993480" w:rsidRPr="005A4D4E" w:rsidRDefault="00993480" w:rsidP="00993480">
      <w:pPr>
        <w:rPr>
          <w:rFonts w:ascii="Arial" w:hAnsi="Arial"/>
          <w:b/>
          <w:szCs w:val="24"/>
          <w:u w:val="single"/>
          <w:lang w:val="en-GB"/>
        </w:rPr>
      </w:pPr>
      <w:r w:rsidRPr="005A4D4E">
        <w:rPr>
          <w:rFonts w:ascii="Arial" w:hAnsi="Arial"/>
          <w:b/>
          <w:bCs/>
          <w:szCs w:val="24"/>
          <w:u w:val="single"/>
          <w:lang w:val="en-GB"/>
        </w:rPr>
        <w:t>Plagiarism</w:t>
      </w:r>
    </w:p>
    <w:p w14:paraId="208C9087" w14:textId="77777777" w:rsidR="00993480" w:rsidRPr="005A4D4E" w:rsidRDefault="00993480" w:rsidP="00993480">
      <w:pPr>
        <w:rPr>
          <w:rFonts w:ascii="Arial" w:hAnsi="Arial"/>
          <w:szCs w:val="24"/>
          <w:lang w:val="en-GB"/>
        </w:rPr>
      </w:pPr>
    </w:p>
    <w:p w14:paraId="4B914603" w14:textId="77777777" w:rsidR="00993480" w:rsidRDefault="00993480" w:rsidP="00993480">
      <w:pPr>
        <w:rPr>
          <w:rFonts w:ascii="Arial" w:hAnsi="Arial"/>
          <w:szCs w:val="24"/>
          <w:lang w:val="en-GB"/>
        </w:rPr>
      </w:pPr>
      <w:r w:rsidRPr="005A4D4E">
        <w:rPr>
          <w:rFonts w:ascii="Arial" w:hAnsi="Arial"/>
          <w:szCs w:val="24"/>
          <w:lang w:val="en-GB"/>
        </w:rPr>
        <w:t xml:space="preserve">The University Senate defines plagiarism as “presenting, whether intentional or not, the ideas, expression of ideas or work of others as one’s own.”  </w:t>
      </w:r>
      <w:r w:rsidRPr="00293FE5">
        <w:rPr>
          <w:rFonts w:ascii="Arial" w:hAnsi="Arial"/>
          <w:szCs w:val="24"/>
          <w:lang w:val="en-GB"/>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 works, laboratory reports, research results, calculations and the results of calculations, </w:t>
      </w:r>
      <w:r w:rsidRPr="00293FE5">
        <w:rPr>
          <w:rFonts w:ascii="Arial" w:hAnsi="Arial"/>
          <w:szCs w:val="24"/>
          <w:lang w:val="en-GB"/>
        </w:rPr>
        <w:lastRenderedPageBreak/>
        <w:t>diagrams, constructions, computer reports, computer code/software, material on the internet and/or conversations.</w:t>
      </w:r>
    </w:p>
    <w:p w14:paraId="1F37B90F" w14:textId="77777777" w:rsidR="00993480" w:rsidRDefault="00993480" w:rsidP="00993480">
      <w:pPr>
        <w:rPr>
          <w:rFonts w:ascii="Arial" w:hAnsi="Arial"/>
          <w:szCs w:val="24"/>
          <w:lang w:val="en-GB"/>
        </w:rPr>
      </w:pPr>
    </w:p>
    <w:p w14:paraId="37C3315E" w14:textId="77777777" w:rsidR="00993480" w:rsidRPr="005A4D4E" w:rsidRDefault="00993480" w:rsidP="00993480">
      <w:pPr>
        <w:rPr>
          <w:rFonts w:ascii="Arial" w:hAnsi="Arial"/>
          <w:szCs w:val="24"/>
          <w:lang w:val="en-GB"/>
        </w:rPr>
      </w:pPr>
      <w:r w:rsidRPr="00657339">
        <w:rPr>
          <w:rFonts w:ascii="Arial" w:hAnsi="Arial"/>
          <w:szCs w:val="24"/>
          <w:lang w:val="en-GB"/>
        </w:rPr>
        <w:t>Examples of plagiarism include, but are not limited to:</w:t>
      </w:r>
      <w:r w:rsidRPr="005A4D4E">
        <w:rPr>
          <w:rFonts w:ascii="Arial" w:hAnsi="Arial"/>
          <w:szCs w:val="24"/>
          <w:lang w:val="en-GB"/>
        </w:rPr>
        <w:t xml:space="preserve"> </w:t>
      </w:r>
    </w:p>
    <w:p w14:paraId="5649B079" w14:textId="77777777" w:rsidR="00993480" w:rsidRPr="005A4D4E" w:rsidRDefault="00993480" w:rsidP="00993480">
      <w:pPr>
        <w:rPr>
          <w:rFonts w:ascii="Arial" w:hAnsi="Arial" w:cs="Arial"/>
          <w:szCs w:val="24"/>
          <w:lang w:val="en-GB"/>
        </w:rPr>
      </w:pPr>
    </w:p>
    <w:p w14:paraId="6403FD2D" w14:textId="77777777" w:rsidR="00993480" w:rsidRPr="00993480" w:rsidRDefault="00993480" w:rsidP="00993480">
      <w:pPr>
        <w:numPr>
          <w:ilvl w:val="0"/>
          <w:numId w:val="32"/>
        </w:numPr>
        <w:autoSpaceDE w:val="0"/>
        <w:autoSpaceDN w:val="0"/>
        <w:adjustRightInd w:val="0"/>
        <w:rPr>
          <w:rFonts w:ascii="Arial" w:hAnsi="Arial" w:cs="Arial"/>
          <w:lang w:val="en-CA"/>
        </w:rPr>
      </w:pPr>
      <w:r w:rsidRPr="00993480">
        <w:rPr>
          <w:rFonts w:ascii="Arial" w:hAnsi="Arial" w:cs="Arial"/>
          <w:lang w:val="en-CA"/>
        </w:rPr>
        <w:t>any submission prepared in whole or in part, by someone else;</w:t>
      </w:r>
    </w:p>
    <w:p w14:paraId="0814A4C8" w14:textId="77777777" w:rsidR="00993480" w:rsidRPr="00993480" w:rsidRDefault="00993480" w:rsidP="00993480">
      <w:pPr>
        <w:numPr>
          <w:ilvl w:val="0"/>
          <w:numId w:val="32"/>
        </w:numPr>
        <w:autoSpaceDE w:val="0"/>
        <w:autoSpaceDN w:val="0"/>
        <w:adjustRightInd w:val="0"/>
        <w:rPr>
          <w:rFonts w:ascii="Arial" w:hAnsi="Arial" w:cs="Arial"/>
          <w:lang w:val="en-CA"/>
        </w:rPr>
      </w:pPr>
      <w:r w:rsidRPr="00993480">
        <w:rPr>
          <w:rFonts w:ascii="Arial" w:hAnsi="Arial" w:cs="Arial"/>
          <w:lang w:val="en-CA"/>
        </w:rPr>
        <w:t>using ideas or direct, verbatim quotations, paraphrased material, algorithms, formulae, scientific or mathematical concepts, or ideas without appropriate acknowledgment in any academic assignment;</w:t>
      </w:r>
    </w:p>
    <w:p w14:paraId="1B0242AF" w14:textId="77777777" w:rsidR="00993480" w:rsidRPr="00993480" w:rsidRDefault="00993480" w:rsidP="00993480">
      <w:pPr>
        <w:numPr>
          <w:ilvl w:val="0"/>
          <w:numId w:val="32"/>
        </w:numPr>
        <w:autoSpaceDE w:val="0"/>
        <w:autoSpaceDN w:val="0"/>
        <w:adjustRightInd w:val="0"/>
        <w:rPr>
          <w:rFonts w:ascii="Arial" w:hAnsi="Arial" w:cs="Arial"/>
          <w:lang w:val="en-CA"/>
        </w:rPr>
      </w:pPr>
      <w:r w:rsidRPr="00993480">
        <w:rPr>
          <w:rFonts w:ascii="Arial" w:hAnsi="Arial" w:cs="Arial"/>
          <w:lang w:val="en-CA"/>
        </w:rPr>
        <w:t>using another’s data or research findings without appropriate acknowledgement;</w:t>
      </w:r>
    </w:p>
    <w:p w14:paraId="40C4E5A0" w14:textId="77777777" w:rsidR="00993480" w:rsidRPr="00993480" w:rsidRDefault="00993480" w:rsidP="00993480">
      <w:pPr>
        <w:numPr>
          <w:ilvl w:val="0"/>
          <w:numId w:val="32"/>
        </w:numPr>
        <w:autoSpaceDE w:val="0"/>
        <w:autoSpaceDN w:val="0"/>
        <w:adjustRightInd w:val="0"/>
        <w:rPr>
          <w:rFonts w:ascii="Arial" w:hAnsi="Arial" w:cs="Arial"/>
          <w:lang w:val="en-CA"/>
        </w:rPr>
      </w:pPr>
      <w:r w:rsidRPr="00993480">
        <w:rPr>
          <w:rFonts w:ascii="Arial" w:hAnsi="Arial" w:cs="Arial"/>
          <w:lang w:val="en-CA"/>
        </w:rPr>
        <w:t>submitting a computer program developed in whole or in part by someone else, with or without modifications, as one’s own; and</w:t>
      </w:r>
    </w:p>
    <w:p w14:paraId="5CAA11DA" w14:textId="77777777" w:rsidR="00993480" w:rsidRPr="00993480" w:rsidRDefault="00993480" w:rsidP="00993480">
      <w:pPr>
        <w:numPr>
          <w:ilvl w:val="0"/>
          <w:numId w:val="32"/>
        </w:numPr>
        <w:autoSpaceDE w:val="0"/>
        <w:autoSpaceDN w:val="0"/>
        <w:adjustRightInd w:val="0"/>
        <w:rPr>
          <w:rFonts w:ascii="Arial" w:hAnsi="Arial" w:cs="Arial"/>
          <w:lang w:val="en-CA"/>
        </w:rPr>
      </w:pPr>
      <w:r w:rsidRPr="00993480">
        <w:rPr>
          <w:rFonts w:ascii="Arial" w:hAnsi="Arial" w:cs="Arial"/>
          <w:lang w:val="en-CA"/>
        </w:rPr>
        <w:t xml:space="preserve">failing to acknowledge sources </w:t>
      </w:r>
      <w:proofErr w:type="gramStart"/>
      <w:r w:rsidRPr="00993480">
        <w:rPr>
          <w:rFonts w:ascii="Arial" w:hAnsi="Arial" w:cs="Arial"/>
          <w:lang w:val="en-CA"/>
        </w:rPr>
        <w:t>through the use of</w:t>
      </w:r>
      <w:proofErr w:type="gramEnd"/>
      <w:r w:rsidRPr="00993480">
        <w:rPr>
          <w:rFonts w:ascii="Arial" w:hAnsi="Arial" w:cs="Arial"/>
          <w:lang w:val="en-CA"/>
        </w:rPr>
        <w:t xml:space="preserve"> proper citations when using another’s work and/or failing to use quotations marks.</w:t>
      </w:r>
    </w:p>
    <w:p w14:paraId="037BB32A" w14:textId="77777777" w:rsidR="00993480" w:rsidRPr="00993480" w:rsidRDefault="00993480" w:rsidP="00993480">
      <w:pPr>
        <w:autoSpaceDE w:val="0"/>
        <w:autoSpaceDN w:val="0"/>
        <w:adjustRightInd w:val="0"/>
        <w:rPr>
          <w:rFonts w:ascii="Arial" w:hAnsi="Arial"/>
          <w:szCs w:val="24"/>
          <w:lang w:val="en-CA"/>
        </w:rPr>
      </w:pPr>
    </w:p>
    <w:p w14:paraId="3B94F301" w14:textId="77777777" w:rsidR="00993480" w:rsidRPr="005A4D4E" w:rsidRDefault="00993480" w:rsidP="00993480">
      <w:pPr>
        <w:rPr>
          <w:rFonts w:ascii="Arial" w:hAnsi="Arial"/>
          <w:szCs w:val="24"/>
          <w:lang w:val="en-GB"/>
        </w:rPr>
      </w:pPr>
      <w:r w:rsidRPr="005A4D4E">
        <w:rPr>
          <w:rFonts w:ascii="Arial" w:hAnsi="Arial"/>
          <w:szCs w:val="24"/>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5C3B2F4C" w14:textId="77777777" w:rsidR="00993480" w:rsidRPr="005A4D4E" w:rsidRDefault="00993480" w:rsidP="00993480">
      <w:pPr>
        <w:rPr>
          <w:rFonts w:ascii="Arial" w:hAnsi="Arial"/>
          <w:szCs w:val="24"/>
          <w:lang w:val="en-GB"/>
        </w:rPr>
      </w:pPr>
    </w:p>
    <w:p w14:paraId="659270D1" w14:textId="77777777" w:rsidR="00993480" w:rsidRPr="00993480" w:rsidRDefault="00993480" w:rsidP="00993480">
      <w:pPr>
        <w:rPr>
          <w:rFonts w:ascii="Arial" w:hAnsi="Arial"/>
          <w:szCs w:val="24"/>
          <w:lang w:val="en-CA"/>
        </w:rPr>
      </w:pPr>
      <w:r w:rsidRPr="00993480">
        <w:rPr>
          <w:rFonts w:ascii="Arial" w:hAnsi="Arial"/>
          <w:szCs w:val="24"/>
          <w:lang w:val="en-CA"/>
        </w:rPr>
        <w:t xml:space="preserve">More information on the University’s Academic Integrity Policy can be found at: </w:t>
      </w:r>
      <w:hyperlink r:id="rId43" w:history="1">
        <w:r w:rsidRPr="00993480">
          <w:rPr>
            <w:rFonts w:ascii="Arial" w:hAnsi="Arial"/>
            <w:color w:val="0000FF"/>
            <w:szCs w:val="24"/>
            <w:u w:val="single"/>
            <w:lang w:val="en-CA"/>
          </w:rPr>
          <w:t>https://carleton.ca/registrar/academic-integrity/</w:t>
        </w:r>
      </w:hyperlink>
      <w:r w:rsidRPr="00993480">
        <w:rPr>
          <w:rFonts w:ascii="Arial" w:hAnsi="Arial"/>
          <w:szCs w:val="24"/>
          <w:lang w:val="en-CA"/>
        </w:rPr>
        <w:t>.</w:t>
      </w:r>
    </w:p>
    <w:p w14:paraId="3DFEE595" w14:textId="77777777" w:rsidR="00993480" w:rsidRPr="00993480" w:rsidRDefault="00993480" w:rsidP="00993480">
      <w:pPr>
        <w:rPr>
          <w:rFonts w:ascii="Arial" w:hAnsi="Arial"/>
          <w:szCs w:val="24"/>
          <w:lang w:val="en-CA"/>
        </w:rPr>
      </w:pPr>
    </w:p>
    <w:p w14:paraId="76BA4EEE" w14:textId="77777777" w:rsidR="00993480" w:rsidRPr="005A4D4E" w:rsidRDefault="00993480" w:rsidP="00993480">
      <w:pPr>
        <w:rPr>
          <w:rFonts w:ascii="Arial" w:hAnsi="Arial"/>
          <w:b/>
          <w:szCs w:val="24"/>
          <w:u w:val="single"/>
          <w:lang w:val="en-GB"/>
        </w:rPr>
      </w:pPr>
      <w:r w:rsidRPr="005A4D4E">
        <w:rPr>
          <w:rFonts w:ascii="Arial" w:hAnsi="Arial"/>
          <w:b/>
          <w:bCs/>
          <w:szCs w:val="24"/>
          <w:u w:val="single"/>
          <w:lang w:val="en-GB"/>
        </w:rPr>
        <w:t xml:space="preserve">Intellectual property </w:t>
      </w:r>
    </w:p>
    <w:p w14:paraId="6472FD70" w14:textId="77777777" w:rsidR="00993480" w:rsidRPr="005A4D4E" w:rsidRDefault="00993480" w:rsidP="00993480">
      <w:pPr>
        <w:rPr>
          <w:rFonts w:ascii="Arial" w:hAnsi="Arial"/>
          <w:szCs w:val="24"/>
          <w:lang w:val="en-GB"/>
        </w:rPr>
      </w:pPr>
    </w:p>
    <w:p w14:paraId="2A71B0FE" w14:textId="77777777" w:rsidR="00993480" w:rsidRPr="005A4D4E" w:rsidRDefault="00993480" w:rsidP="00993480">
      <w:pPr>
        <w:rPr>
          <w:rFonts w:ascii="Arial" w:hAnsi="Arial"/>
          <w:szCs w:val="24"/>
          <w:lang w:val="en-GB"/>
        </w:rPr>
      </w:pPr>
      <w:r w:rsidRPr="005A4D4E">
        <w:rPr>
          <w:rFonts w:ascii="Arial" w:hAnsi="Arial"/>
          <w:szCs w:val="24"/>
          <w:lang w:val="en-GB"/>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669FCB0D" w14:textId="77777777" w:rsidR="00993480" w:rsidRPr="005A4D4E" w:rsidRDefault="00993480" w:rsidP="00993480">
      <w:pPr>
        <w:rPr>
          <w:rFonts w:ascii="Arial" w:hAnsi="Arial"/>
          <w:szCs w:val="24"/>
          <w:lang w:val="en-GB"/>
        </w:rPr>
      </w:pPr>
    </w:p>
    <w:p w14:paraId="1B3D9634" w14:textId="77777777" w:rsidR="00993480" w:rsidRPr="005A4D4E" w:rsidRDefault="00993480" w:rsidP="00993480">
      <w:pPr>
        <w:rPr>
          <w:rFonts w:ascii="Arial" w:hAnsi="Arial"/>
          <w:b/>
          <w:bCs/>
          <w:szCs w:val="24"/>
          <w:u w:val="single"/>
          <w:lang w:val="en-GB"/>
        </w:rPr>
      </w:pPr>
      <w:r w:rsidRPr="005A4D4E">
        <w:rPr>
          <w:rFonts w:ascii="Arial" w:hAnsi="Arial"/>
          <w:b/>
          <w:bCs/>
          <w:szCs w:val="24"/>
          <w:u w:val="single"/>
          <w:lang w:val="en-GB"/>
        </w:rPr>
        <w:t>Submission and Return of Term Work</w:t>
      </w:r>
    </w:p>
    <w:p w14:paraId="24B8129F" w14:textId="77777777" w:rsidR="00993480" w:rsidRPr="005A4D4E" w:rsidRDefault="00993480" w:rsidP="00993480">
      <w:pPr>
        <w:rPr>
          <w:rFonts w:ascii="Arial" w:hAnsi="Arial"/>
          <w:b/>
          <w:szCs w:val="24"/>
          <w:lang w:val="en-GB"/>
        </w:rPr>
      </w:pPr>
    </w:p>
    <w:p w14:paraId="44AF2D69" w14:textId="77777777" w:rsidR="00993480" w:rsidRPr="005A4D4E" w:rsidRDefault="00993480" w:rsidP="00993480">
      <w:pPr>
        <w:rPr>
          <w:rFonts w:ascii="Arial" w:hAnsi="Arial" w:cs="Arial"/>
          <w:szCs w:val="24"/>
          <w:lang w:val="en-GB"/>
        </w:rPr>
      </w:pPr>
      <w:r w:rsidRPr="005A4D4E">
        <w:rPr>
          <w:rFonts w:ascii="Arial" w:hAnsi="Arial"/>
          <w:szCs w:val="24"/>
          <w:lang w:val="en-GB"/>
        </w:rPr>
        <w:t xml:space="preserve">Papers must be submitted directly to the instructor according to the instructions in the course outline. During the COVID-19 pandemic, the departmental office will not accept assignments submitted in hard copy. </w:t>
      </w:r>
    </w:p>
    <w:p w14:paraId="0F6DF235" w14:textId="77777777" w:rsidR="00993480" w:rsidRPr="005A4D4E" w:rsidRDefault="00993480" w:rsidP="00993480">
      <w:pPr>
        <w:rPr>
          <w:rFonts w:ascii="Arial" w:hAnsi="Arial" w:cs="Arial"/>
          <w:szCs w:val="24"/>
          <w:lang w:val="en-GB"/>
        </w:rPr>
      </w:pPr>
    </w:p>
    <w:p w14:paraId="07F1A5A9" w14:textId="77777777" w:rsidR="00993480" w:rsidRPr="005A4D4E" w:rsidRDefault="00993480" w:rsidP="00993480">
      <w:pPr>
        <w:rPr>
          <w:rFonts w:ascii="Arial" w:hAnsi="Arial" w:cs="Arial"/>
          <w:b/>
          <w:szCs w:val="24"/>
          <w:u w:val="single"/>
          <w:lang w:val="en-US"/>
        </w:rPr>
      </w:pPr>
      <w:r w:rsidRPr="005A4D4E">
        <w:rPr>
          <w:rFonts w:ascii="Arial" w:hAnsi="Arial" w:cs="Arial"/>
          <w:b/>
          <w:szCs w:val="24"/>
          <w:u w:val="single"/>
          <w:lang w:val="en-US"/>
        </w:rPr>
        <w:t>Grading</w:t>
      </w:r>
    </w:p>
    <w:p w14:paraId="5C6D0608" w14:textId="77777777" w:rsidR="00993480" w:rsidRPr="005A4D4E" w:rsidRDefault="00993480" w:rsidP="00993480">
      <w:pPr>
        <w:rPr>
          <w:rFonts w:ascii="Arial" w:hAnsi="Arial" w:cs="Arial"/>
          <w:b/>
          <w:szCs w:val="24"/>
          <w:lang w:val="en-US"/>
        </w:rPr>
      </w:pPr>
    </w:p>
    <w:p w14:paraId="5D8D3F3D" w14:textId="01AFF98D" w:rsidR="00993480" w:rsidRDefault="00993480" w:rsidP="00993480">
      <w:pPr>
        <w:rPr>
          <w:rFonts w:ascii="Arial" w:hAnsi="Arial" w:cs="Arial"/>
          <w:szCs w:val="24"/>
          <w:lang w:val="en-US"/>
        </w:rPr>
      </w:pPr>
      <w:r w:rsidRPr="005A4D4E">
        <w:rPr>
          <w:rFonts w:ascii="Arial" w:hAnsi="Arial" w:cs="Arial"/>
          <w:szCs w:val="24"/>
          <w:lang w:val="en-US"/>
        </w:rPr>
        <w:t>Standing in a course is determined by the course instructor, subject to the approval of the faculty Dean. Final standing in courses will be shown by alphabetical grades. The system of grades used, with corresponding grade points is:</w:t>
      </w:r>
    </w:p>
    <w:p w14:paraId="57054B0C" w14:textId="011CE761" w:rsidR="00993480" w:rsidRDefault="00993480" w:rsidP="00993480">
      <w:pPr>
        <w:rPr>
          <w:rFonts w:ascii="Arial" w:hAnsi="Arial" w:cs="Arial"/>
          <w:szCs w:val="24"/>
          <w:lang w:val="en-US"/>
        </w:rPr>
      </w:pPr>
    </w:p>
    <w:p w14:paraId="4CE51A74" w14:textId="0C34A00C" w:rsidR="00993480" w:rsidRDefault="00993480" w:rsidP="00993480">
      <w:pPr>
        <w:rPr>
          <w:rFonts w:ascii="Arial" w:hAnsi="Arial" w:cs="Arial"/>
          <w:szCs w:val="24"/>
          <w:lang w:val="en-US"/>
        </w:rPr>
      </w:pPr>
    </w:p>
    <w:p w14:paraId="59ECAB5F" w14:textId="6777527F" w:rsidR="00993480" w:rsidRDefault="00993480" w:rsidP="00993480">
      <w:pPr>
        <w:rPr>
          <w:rFonts w:ascii="Arial" w:hAnsi="Arial" w:cs="Arial"/>
          <w:szCs w:val="24"/>
          <w:lang w:val="en-US"/>
        </w:rPr>
      </w:pPr>
    </w:p>
    <w:p w14:paraId="67A4BD0F" w14:textId="35F5CA02" w:rsidR="00993480" w:rsidRDefault="00993480" w:rsidP="00993480">
      <w:pPr>
        <w:rPr>
          <w:rFonts w:ascii="Arial" w:hAnsi="Arial" w:cs="Arial"/>
          <w:szCs w:val="24"/>
          <w:lang w:val="en-US"/>
        </w:rPr>
      </w:pPr>
    </w:p>
    <w:p w14:paraId="3153753C" w14:textId="69C555B6" w:rsidR="00993480" w:rsidRDefault="00993480" w:rsidP="00993480">
      <w:pPr>
        <w:rPr>
          <w:rFonts w:ascii="Arial" w:hAnsi="Arial" w:cs="Arial"/>
          <w:szCs w:val="24"/>
          <w:lang w:val="en-US"/>
        </w:rPr>
      </w:pPr>
    </w:p>
    <w:p w14:paraId="52761BEE" w14:textId="77777777" w:rsidR="00993480" w:rsidRPr="00993480" w:rsidRDefault="00993480" w:rsidP="00993480">
      <w:pPr>
        <w:rPr>
          <w:rFonts w:ascii="Arial" w:hAnsi="Arial" w:cs="Arial"/>
          <w:szCs w:val="24"/>
          <w:lang w:val="en-CA"/>
        </w:rPr>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25"/>
        <w:gridCol w:w="1550"/>
        <w:gridCol w:w="1550"/>
        <w:gridCol w:w="1550"/>
        <w:gridCol w:w="1550"/>
        <w:gridCol w:w="1551"/>
      </w:tblGrid>
      <w:tr w:rsidR="00993480" w:rsidRPr="005A4D4E" w14:paraId="29D385D4" w14:textId="77777777" w:rsidTr="00ED0479">
        <w:tc>
          <w:tcPr>
            <w:tcW w:w="1625" w:type="dxa"/>
            <w:tcBorders>
              <w:top w:val="single" w:sz="4" w:space="0" w:color="auto"/>
              <w:left w:val="single" w:sz="4" w:space="0" w:color="auto"/>
              <w:bottom w:val="double" w:sz="4" w:space="0" w:color="auto"/>
              <w:right w:val="single" w:sz="4" w:space="0" w:color="auto"/>
            </w:tcBorders>
            <w:hideMark/>
          </w:tcPr>
          <w:p w14:paraId="0EBFFB4D" w14:textId="77777777" w:rsidR="00993480" w:rsidRPr="005A4D4E" w:rsidRDefault="00993480" w:rsidP="00ED0479">
            <w:pPr>
              <w:jc w:val="both"/>
              <w:rPr>
                <w:rFonts w:ascii="Arial" w:hAnsi="Arial" w:cs="Arial"/>
                <w:b/>
                <w:bCs/>
                <w:sz w:val="20"/>
              </w:rPr>
            </w:pPr>
            <w:r w:rsidRPr="005A4D4E">
              <w:rPr>
                <w:rFonts w:ascii="Arial" w:hAnsi="Arial" w:cs="Arial"/>
                <w:b/>
                <w:bCs/>
                <w:sz w:val="20"/>
              </w:rPr>
              <w:lastRenderedPageBreak/>
              <w:t>Percentage</w:t>
            </w:r>
          </w:p>
        </w:tc>
        <w:tc>
          <w:tcPr>
            <w:tcW w:w="1550" w:type="dxa"/>
            <w:tcBorders>
              <w:top w:val="single" w:sz="4" w:space="0" w:color="auto"/>
              <w:left w:val="single" w:sz="4" w:space="0" w:color="auto"/>
              <w:bottom w:val="double" w:sz="4" w:space="0" w:color="auto"/>
              <w:right w:val="single" w:sz="4" w:space="0" w:color="auto"/>
            </w:tcBorders>
            <w:hideMark/>
          </w:tcPr>
          <w:p w14:paraId="76188147" w14:textId="77777777" w:rsidR="00993480" w:rsidRPr="005A4D4E" w:rsidRDefault="00993480" w:rsidP="00ED0479">
            <w:pPr>
              <w:jc w:val="both"/>
              <w:rPr>
                <w:rFonts w:ascii="Arial" w:hAnsi="Arial" w:cs="Arial"/>
                <w:b/>
                <w:bCs/>
                <w:sz w:val="20"/>
              </w:rPr>
            </w:pPr>
            <w:r w:rsidRPr="005A4D4E">
              <w:rPr>
                <w:rFonts w:ascii="Arial" w:hAnsi="Arial" w:cs="Arial"/>
                <w:b/>
                <w:bCs/>
                <w:sz w:val="20"/>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25246580" w14:textId="77777777" w:rsidR="00993480" w:rsidRPr="005A4D4E" w:rsidRDefault="00993480" w:rsidP="00ED0479">
            <w:pPr>
              <w:jc w:val="both"/>
              <w:rPr>
                <w:rFonts w:ascii="Arial" w:hAnsi="Arial" w:cs="Arial"/>
                <w:b/>
                <w:bCs/>
                <w:sz w:val="20"/>
              </w:rPr>
            </w:pPr>
            <w:r w:rsidRPr="005A4D4E">
              <w:rPr>
                <w:rFonts w:ascii="Arial" w:hAnsi="Arial" w:cs="Arial"/>
                <w:b/>
                <w:bCs/>
                <w:sz w:val="20"/>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005697C6" w14:textId="77777777" w:rsidR="00993480" w:rsidRPr="005A4D4E" w:rsidRDefault="00993480" w:rsidP="00ED0479">
            <w:pPr>
              <w:jc w:val="both"/>
              <w:rPr>
                <w:rFonts w:ascii="Arial" w:hAnsi="Arial" w:cs="Arial"/>
                <w:b/>
                <w:bCs/>
                <w:sz w:val="20"/>
              </w:rPr>
            </w:pPr>
            <w:r w:rsidRPr="005A4D4E">
              <w:rPr>
                <w:rFonts w:ascii="Arial" w:hAnsi="Arial" w:cs="Arial"/>
                <w:b/>
                <w:bCs/>
                <w:sz w:val="20"/>
              </w:rPr>
              <w:t>Percentage</w:t>
            </w:r>
          </w:p>
        </w:tc>
        <w:tc>
          <w:tcPr>
            <w:tcW w:w="1550" w:type="dxa"/>
            <w:tcBorders>
              <w:top w:val="single" w:sz="4" w:space="0" w:color="auto"/>
              <w:left w:val="single" w:sz="4" w:space="0" w:color="auto"/>
              <w:bottom w:val="double" w:sz="4" w:space="0" w:color="auto"/>
              <w:right w:val="single" w:sz="4" w:space="0" w:color="auto"/>
            </w:tcBorders>
            <w:hideMark/>
          </w:tcPr>
          <w:p w14:paraId="15094A38" w14:textId="77777777" w:rsidR="00993480" w:rsidRPr="005A4D4E" w:rsidRDefault="00993480" w:rsidP="00ED0479">
            <w:pPr>
              <w:jc w:val="both"/>
              <w:rPr>
                <w:rFonts w:ascii="Arial" w:hAnsi="Arial" w:cs="Arial"/>
                <w:b/>
                <w:bCs/>
                <w:sz w:val="20"/>
              </w:rPr>
            </w:pPr>
            <w:r w:rsidRPr="005A4D4E">
              <w:rPr>
                <w:rFonts w:ascii="Arial" w:hAnsi="Arial" w:cs="Arial"/>
                <w:b/>
                <w:bCs/>
                <w:sz w:val="20"/>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2070FE2B" w14:textId="77777777" w:rsidR="00993480" w:rsidRPr="005A4D4E" w:rsidRDefault="00993480" w:rsidP="00ED0479">
            <w:pPr>
              <w:jc w:val="both"/>
              <w:rPr>
                <w:rFonts w:ascii="Arial" w:hAnsi="Arial" w:cs="Arial"/>
                <w:b/>
                <w:bCs/>
                <w:sz w:val="20"/>
              </w:rPr>
            </w:pPr>
            <w:r w:rsidRPr="005A4D4E">
              <w:rPr>
                <w:rFonts w:ascii="Arial" w:hAnsi="Arial" w:cs="Arial"/>
                <w:b/>
                <w:bCs/>
                <w:sz w:val="20"/>
              </w:rPr>
              <w:t>12-point scale</w:t>
            </w:r>
          </w:p>
        </w:tc>
      </w:tr>
      <w:tr w:rsidR="00993480" w:rsidRPr="005A4D4E" w14:paraId="6CB217CF" w14:textId="77777777" w:rsidTr="00ED0479">
        <w:tc>
          <w:tcPr>
            <w:tcW w:w="1625" w:type="dxa"/>
            <w:tcBorders>
              <w:top w:val="double" w:sz="4" w:space="0" w:color="auto"/>
              <w:left w:val="single" w:sz="4" w:space="0" w:color="auto"/>
              <w:bottom w:val="single" w:sz="4" w:space="0" w:color="auto"/>
              <w:right w:val="single" w:sz="4" w:space="0" w:color="auto"/>
            </w:tcBorders>
            <w:hideMark/>
          </w:tcPr>
          <w:p w14:paraId="32C1E9A3" w14:textId="77777777" w:rsidR="00993480" w:rsidRPr="005A4D4E" w:rsidRDefault="00993480" w:rsidP="00ED0479">
            <w:pPr>
              <w:jc w:val="both"/>
              <w:rPr>
                <w:rFonts w:ascii="Arial" w:hAnsi="Arial" w:cs="Arial"/>
                <w:sz w:val="20"/>
              </w:rPr>
            </w:pPr>
            <w:r w:rsidRPr="005A4D4E">
              <w:rPr>
                <w:rFonts w:ascii="Arial" w:hAnsi="Arial" w:cs="Arial"/>
                <w:sz w:val="20"/>
              </w:rPr>
              <w:t>90-100</w:t>
            </w:r>
          </w:p>
        </w:tc>
        <w:tc>
          <w:tcPr>
            <w:tcW w:w="1550" w:type="dxa"/>
            <w:tcBorders>
              <w:top w:val="double" w:sz="4" w:space="0" w:color="auto"/>
              <w:left w:val="single" w:sz="4" w:space="0" w:color="auto"/>
              <w:bottom w:val="single" w:sz="4" w:space="0" w:color="auto"/>
              <w:right w:val="single" w:sz="4" w:space="0" w:color="auto"/>
            </w:tcBorders>
            <w:hideMark/>
          </w:tcPr>
          <w:p w14:paraId="542CE0F7" w14:textId="77777777" w:rsidR="00993480" w:rsidRPr="005A4D4E" w:rsidRDefault="00993480" w:rsidP="00ED0479">
            <w:pPr>
              <w:jc w:val="both"/>
              <w:rPr>
                <w:rFonts w:ascii="Arial" w:hAnsi="Arial" w:cs="Arial"/>
                <w:sz w:val="20"/>
              </w:rPr>
            </w:pPr>
            <w:r w:rsidRPr="005A4D4E">
              <w:rPr>
                <w:rFonts w:ascii="Arial" w:hAnsi="Arial" w:cs="Arial"/>
                <w:sz w:val="20"/>
              </w:rPr>
              <w:t>A+</w:t>
            </w:r>
          </w:p>
        </w:tc>
        <w:tc>
          <w:tcPr>
            <w:tcW w:w="1550" w:type="dxa"/>
            <w:tcBorders>
              <w:top w:val="double" w:sz="4" w:space="0" w:color="auto"/>
              <w:left w:val="single" w:sz="4" w:space="0" w:color="auto"/>
              <w:bottom w:val="single" w:sz="4" w:space="0" w:color="auto"/>
              <w:right w:val="double" w:sz="4" w:space="0" w:color="auto"/>
            </w:tcBorders>
            <w:hideMark/>
          </w:tcPr>
          <w:p w14:paraId="58BF39E6" w14:textId="77777777" w:rsidR="00993480" w:rsidRPr="005A4D4E" w:rsidRDefault="00993480" w:rsidP="00ED0479">
            <w:pPr>
              <w:jc w:val="both"/>
              <w:rPr>
                <w:rFonts w:ascii="Arial" w:hAnsi="Arial" w:cs="Arial"/>
                <w:sz w:val="20"/>
              </w:rPr>
            </w:pPr>
            <w:r w:rsidRPr="005A4D4E">
              <w:rPr>
                <w:rFonts w:ascii="Arial" w:hAnsi="Arial" w:cs="Arial"/>
                <w:sz w:val="20"/>
              </w:rPr>
              <w:t>12</w:t>
            </w:r>
          </w:p>
        </w:tc>
        <w:tc>
          <w:tcPr>
            <w:tcW w:w="1550" w:type="dxa"/>
            <w:tcBorders>
              <w:top w:val="double" w:sz="4" w:space="0" w:color="auto"/>
              <w:left w:val="double" w:sz="4" w:space="0" w:color="auto"/>
              <w:bottom w:val="single" w:sz="4" w:space="0" w:color="auto"/>
              <w:right w:val="single" w:sz="4" w:space="0" w:color="auto"/>
            </w:tcBorders>
            <w:hideMark/>
          </w:tcPr>
          <w:p w14:paraId="3B1D020C" w14:textId="77777777" w:rsidR="00993480" w:rsidRPr="005A4D4E" w:rsidRDefault="00993480" w:rsidP="00ED0479">
            <w:pPr>
              <w:jc w:val="both"/>
              <w:rPr>
                <w:rFonts w:ascii="Arial" w:hAnsi="Arial" w:cs="Arial"/>
                <w:sz w:val="20"/>
              </w:rPr>
            </w:pPr>
            <w:r w:rsidRPr="005A4D4E">
              <w:rPr>
                <w:rFonts w:ascii="Arial" w:hAnsi="Arial" w:cs="Arial"/>
                <w:sz w:val="20"/>
              </w:rPr>
              <w:t>67-69</w:t>
            </w:r>
          </w:p>
        </w:tc>
        <w:tc>
          <w:tcPr>
            <w:tcW w:w="1550" w:type="dxa"/>
            <w:tcBorders>
              <w:top w:val="double" w:sz="4" w:space="0" w:color="auto"/>
              <w:left w:val="single" w:sz="4" w:space="0" w:color="auto"/>
              <w:bottom w:val="single" w:sz="4" w:space="0" w:color="auto"/>
              <w:right w:val="single" w:sz="4" w:space="0" w:color="auto"/>
            </w:tcBorders>
            <w:hideMark/>
          </w:tcPr>
          <w:p w14:paraId="62E469DD" w14:textId="77777777" w:rsidR="00993480" w:rsidRPr="005A4D4E" w:rsidRDefault="00993480" w:rsidP="00ED0479">
            <w:pPr>
              <w:jc w:val="both"/>
              <w:rPr>
                <w:rFonts w:ascii="Arial" w:hAnsi="Arial" w:cs="Arial"/>
                <w:sz w:val="20"/>
              </w:rPr>
            </w:pPr>
            <w:r w:rsidRPr="005A4D4E">
              <w:rPr>
                <w:rFonts w:ascii="Arial" w:hAnsi="Arial" w:cs="Arial"/>
                <w:sz w:val="20"/>
              </w:rPr>
              <w:t>C+</w:t>
            </w:r>
          </w:p>
        </w:tc>
        <w:tc>
          <w:tcPr>
            <w:tcW w:w="1551" w:type="dxa"/>
            <w:tcBorders>
              <w:top w:val="double" w:sz="4" w:space="0" w:color="auto"/>
              <w:left w:val="single" w:sz="4" w:space="0" w:color="auto"/>
              <w:bottom w:val="single" w:sz="4" w:space="0" w:color="auto"/>
              <w:right w:val="single" w:sz="4" w:space="0" w:color="auto"/>
            </w:tcBorders>
            <w:hideMark/>
          </w:tcPr>
          <w:p w14:paraId="6FBE2583" w14:textId="77777777" w:rsidR="00993480" w:rsidRPr="005A4D4E" w:rsidRDefault="00993480" w:rsidP="00ED0479">
            <w:pPr>
              <w:jc w:val="both"/>
              <w:rPr>
                <w:rFonts w:ascii="Arial" w:hAnsi="Arial" w:cs="Arial"/>
                <w:sz w:val="20"/>
              </w:rPr>
            </w:pPr>
            <w:r w:rsidRPr="005A4D4E">
              <w:rPr>
                <w:rFonts w:ascii="Arial" w:hAnsi="Arial" w:cs="Arial"/>
                <w:sz w:val="20"/>
              </w:rPr>
              <w:t>6</w:t>
            </w:r>
          </w:p>
        </w:tc>
      </w:tr>
      <w:tr w:rsidR="00993480" w:rsidRPr="005A4D4E" w14:paraId="0B20C246" w14:textId="77777777" w:rsidTr="00ED0479">
        <w:tc>
          <w:tcPr>
            <w:tcW w:w="1625" w:type="dxa"/>
            <w:tcBorders>
              <w:top w:val="single" w:sz="4" w:space="0" w:color="auto"/>
              <w:left w:val="single" w:sz="4" w:space="0" w:color="auto"/>
              <w:bottom w:val="single" w:sz="4" w:space="0" w:color="auto"/>
              <w:right w:val="single" w:sz="4" w:space="0" w:color="auto"/>
            </w:tcBorders>
            <w:hideMark/>
          </w:tcPr>
          <w:p w14:paraId="07485EE8" w14:textId="77777777" w:rsidR="00993480" w:rsidRPr="005A4D4E" w:rsidRDefault="00993480" w:rsidP="00ED0479">
            <w:pPr>
              <w:jc w:val="both"/>
              <w:rPr>
                <w:rFonts w:ascii="Arial" w:hAnsi="Arial" w:cs="Arial"/>
                <w:sz w:val="20"/>
              </w:rPr>
            </w:pPr>
            <w:r w:rsidRPr="005A4D4E">
              <w:rPr>
                <w:rFonts w:ascii="Arial" w:hAnsi="Arial" w:cs="Arial"/>
                <w:sz w:val="20"/>
              </w:rPr>
              <w:t>85-89</w:t>
            </w:r>
          </w:p>
        </w:tc>
        <w:tc>
          <w:tcPr>
            <w:tcW w:w="1550" w:type="dxa"/>
            <w:tcBorders>
              <w:top w:val="single" w:sz="4" w:space="0" w:color="auto"/>
              <w:left w:val="single" w:sz="4" w:space="0" w:color="auto"/>
              <w:bottom w:val="single" w:sz="4" w:space="0" w:color="auto"/>
              <w:right w:val="single" w:sz="4" w:space="0" w:color="auto"/>
            </w:tcBorders>
            <w:hideMark/>
          </w:tcPr>
          <w:p w14:paraId="7E6DA3BF" w14:textId="77777777" w:rsidR="00993480" w:rsidRPr="005A4D4E" w:rsidRDefault="00993480" w:rsidP="00ED0479">
            <w:pPr>
              <w:jc w:val="both"/>
              <w:rPr>
                <w:rFonts w:ascii="Arial" w:hAnsi="Arial" w:cs="Arial"/>
                <w:sz w:val="20"/>
              </w:rPr>
            </w:pPr>
            <w:r w:rsidRPr="005A4D4E">
              <w:rPr>
                <w:rFonts w:ascii="Arial" w:hAnsi="Arial" w:cs="Arial"/>
                <w:sz w:val="20"/>
              </w:rPr>
              <w:t>A</w:t>
            </w:r>
          </w:p>
        </w:tc>
        <w:tc>
          <w:tcPr>
            <w:tcW w:w="1550" w:type="dxa"/>
            <w:tcBorders>
              <w:top w:val="single" w:sz="4" w:space="0" w:color="auto"/>
              <w:left w:val="single" w:sz="4" w:space="0" w:color="auto"/>
              <w:bottom w:val="single" w:sz="4" w:space="0" w:color="auto"/>
              <w:right w:val="double" w:sz="4" w:space="0" w:color="auto"/>
            </w:tcBorders>
            <w:hideMark/>
          </w:tcPr>
          <w:p w14:paraId="4F2FE2CD" w14:textId="77777777" w:rsidR="00993480" w:rsidRPr="005A4D4E" w:rsidRDefault="00993480" w:rsidP="00ED0479">
            <w:pPr>
              <w:jc w:val="both"/>
              <w:rPr>
                <w:rFonts w:ascii="Arial" w:hAnsi="Arial" w:cs="Arial"/>
                <w:sz w:val="20"/>
              </w:rPr>
            </w:pPr>
            <w:r w:rsidRPr="005A4D4E">
              <w:rPr>
                <w:rFonts w:ascii="Arial" w:hAnsi="Arial" w:cs="Arial"/>
                <w:sz w:val="20"/>
              </w:rPr>
              <w:t>11</w:t>
            </w:r>
          </w:p>
        </w:tc>
        <w:tc>
          <w:tcPr>
            <w:tcW w:w="1550" w:type="dxa"/>
            <w:tcBorders>
              <w:top w:val="single" w:sz="4" w:space="0" w:color="auto"/>
              <w:left w:val="double" w:sz="4" w:space="0" w:color="auto"/>
              <w:bottom w:val="single" w:sz="4" w:space="0" w:color="auto"/>
              <w:right w:val="single" w:sz="4" w:space="0" w:color="auto"/>
            </w:tcBorders>
            <w:hideMark/>
          </w:tcPr>
          <w:p w14:paraId="7B1CBB98" w14:textId="77777777" w:rsidR="00993480" w:rsidRPr="005A4D4E" w:rsidRDefault="00993480" w:rsidP="00ED0479">
            <w:pPr>
              <w:jc w:val="both"/>
              <w:rPr>
                <w:rFonts w:ascii="Arial" w:hAnsi="Arial" w:cs="Arial"/>
                <w:sz w:val="20"/>
              </w:rPr>
            </w:pPr>
            <w:r w:rsidRPr="005A4D4E">
              <w:rPr>
                <w:rFonts w:ascii="Arial" w:hAnsi="Arial" w:cs="Arial"/>
                <w:sz w:val="20"/>
              </w:rPr>
              <w:t>63-66</w:t>
            </w:r>
          </w:p>
        </w:tc>
        <w:tc>
          <w:tcPr>
            <w:tcW w:w="1550" w:type="dxa"/>
            <w:tcBorders>
              <w:top w:val="single" w:sz="4" w:space="0" w:color="auto"/>
              <w:left w:val="single" w:sz="4" w:space="0" w:color="auto"/>
              <w:bottom w:val="single" w:sz="4" w:space="0" w:color="auto"/>
              <w:right w:val="single" w:sz="4" w:space="0" w:color="auto"/>
            </w:tcBorders>
            <w:hideMark/>
          </w:tcPr>
          <w:p w14:paraId="1855B05B" w14:textId="77777777" w:rsidR="00993480" w:rsidRPr="005A4D4E" w:rsidRDefault="00993480" w:rsidP="00ED0479">
            <w:pPr>
              <w:jc w:val="both"/>
              <w:rPr>
                <w:rFonts w:ascii="Arial" w:hAnsi="Arial" w:cs="Arial"/>
                <w:sz w:val="20"/>
              </w:rPr>
            </w:pPr>
            <w:r w:rsidRPr="005A4D4E">
              <w:rPr>
                <w:rFonts w:ascii="Arial" w:hAnsi="Arial" w:cs="Arial"/>
                <w:sz w:val="20"/>
              </w:rPr>
              <w:t>C</w:t>
            </w:r>
          </w:p>
        </w:tc>
        <w:tc>
          <w:tcPr>
            <w:tcW w:w="1551" w:type="dxa"/>
            <w:tcBorders>
              <w:top w:val="single" w:sz="4" w:space="0" w:color="auto"/>
              <w:left w:val="single" w:sz="4" w:space="0" w:color="auto"/>
              <w:bottom w:val="single" w:sz="4" w:space="0" w:color="auto"/>
              <w:right w:val="single" w:sz="4" w:space="0" w:color="auto"/>
            </w:tcBorders>
            <w:hideMark/>
          </w:tcPr>
          <w:p w14:paraId="2A5B4988" w14:textId="77777777" w:rsidR="00993480" w:rsidRPr="005A4D4E" w:rsidRDefault="00993480" w:rsidP="00ED0479">
            <w:pPr>
              <w:jc w:val="both"/>
              <w:rPr>
                <w:rFonts w:ascii="Arial" w:hAnsi="Arial" w:cs="Arial"/>
                <w:sz w:val="20"/>
              </w:rPr>
            </w:pPr>
            <w:r w:rsidRPr="005A4D4E">
              <w:rPr>
                <w:rFonts w:ascii="Arial" w:hAnsi="Arial" w:cs="Arial"/>
                <w:sz w:val="20"/>
              </w:rPr>
              <w:t>5</w:t>
            </w:r>
          </w:p>
        </w:tc>
      </w:tr>
      <w:tr w:rsidR="00993480" w:rsidRPr="005A4D4E" w14:paraId="7ADADD02" w14:textId="77777777" w:rsidTr="00ED0479">
        <w:tc>
          <w:tcPr>
            <w:tcW w:w="1625" w:type="dxa"/>
            <w:tcBorders>
              <w:top w:val="single" w:sz="4" w:space="0" w:color="auto"/>
              <w:left w:val="single" w:sz="4" w:space="0" w:color="auto"/>
              <w:bottom w:val="single" w:sz="4" w:space="0" w:color="auto"/>
              <w:right w:val="single" w:sz="4" w:space="0" w:color="auto"/>
            </w:tcBorders>
            <w:hideMark/>
          </w:tcPr>
          <w:p w14:paraId="02C99F12" w14:textId="77777777" w:rsidR="00993480" w:rsidRPr="005A4D4E" w:rsidRDefault="00993480" w:rsidP="00ED0479">
            <w:pPr>
              <w:jc w:val="both"/>
              <w:rPr>
                <w:rFonts w:ascii="Arial" w:hAnsi="Arial" w:cs="Arial"/>
                <w:sz w:val="20"/>
              </w:rPr>
            </w:pPr>
            <w:r w:rsidRPr="005A4D4E">
              <w:rPr>
                <w:rFonts w:ascii="Arial" w:hAnsi="Arial" w:cs="Arial"/>
                <w:sz w:val="20"/>
              </w:rPr>
              <w:t>80-84</w:t>
            </w:r>
          </w:p>
        </w:tc>
        <w:tc>
          <w:tcPr>
            <w:tcW w:w="1550" w:type="dxa"/>
            <w:tcBorders>
              <w:top w:val="single" w:sz="4" w:space="0" w:color="auto"/>
              <w:left w:val="single" w:sz="4" w:space="0" w:color="auto"/>
              <w:bottom w:val="single" w:sz="4" w:space="0" w:color="auto"/>
              <w:right w:val="single" w:sz="4" w:space="0" w:color="auto"/>
            </w:tcBorders>
            <w:hideMark/>
          </w:tcPr>
          <w:p w14:paraId="0BE82C64" w14:textId="77777777" w:rsidR="00993480" w:rsidRPr="005A4D4E" w:rsidRDefault="00993480" w:rsidP="00ED0479">
            <w:pPr>
              <w:jc w:val="both"/>
              <w:rPr>
                <w:rFonts w:ascii="Arial" w:hAnsi="Arial" w:cs="Arial"/>
                <w:sz w:val="20"/>
              </w:rPr>
            </w:pPr>
            <w:r w:rsidRPr="005A4D4E">
              <w:rPr>
                <w:rFonts w:ascii="Arial" w:hAnsi="Arial" w:cs="Arial"/>
                <w:sz w:val="20"/>
              </w:rPr>
              <w:t>A-</w:t>
            </w:r>
          </w:p>
        </w:tc>
        <w:tc>
          <w:tcPr>
            <w:tcW w:w="1550" w:type="dxa"/>
            <w:tcBorders>
              <w:top w:val="single" w:sz="4" w:space="0" w:color="auto"/>
              <w:left w:val="single" w:sz="4" w:space="0" w:color="auto"/>
              <w:bottom w:val="single" w:sz="4" w:space="0" w:color="auto"/>
              <w:right w:val="double" w:sz="4" w:space="0" w:color="auto"/>
            </w:tcBorders>
            <w:hideMark/>
          </w:tcPr>
          <w:p w14:paraId="64FBAA4E" w14:textId="77777777" w:rsidR="00993480" w:rsidRPr="005A4D4E" w:rsidRDefault="00993480" w:rsidP="00ED0479">
            <w:pPr>
              <w:jc w:val="both"/>
              <w:rPr>
                <w:rFonts w:ascii="Arial" w:hAnsi="Arial" w:cs="Arial"/>
                <w:sz w:val="20"/>
              </w:rPr>
            </w:pPr>
            <w:r w:rsidRPr="005A4D4E">
              <w:rPr>
                <w:rFonts w:ascii="Arial" w:hAnsi="Arial" w:cs="Arial"/>
                <w:sz w:val="20"/>
              </w:rPr>
              <w:t>10</w:t>
            </w:r>
          </w:p>
        </w:tc>
        <w:tc>
          <w:tcPr>
            <w:tcW w:w="1550" w:type="dxa"/>
            <w:tcBorders>
              <w:top w:val="single" w:sz="4" w:space="0" w:color="auto"/>
              <w:left w:val="double" w:sz="4" w:space="0" w:color="auto"/>
              <w:bottom w:val="single" w:sz="4" w:space="0" w:color="auto"/>
              <w:right w:val="single" w:sz="4" w:space="0" w:color="auto"/>
            </w:tcBorders>
            <w:hideMark/>
          </w:tcPr>
          <w:p w14:paraId="25C16917" w14:textId="77777777" w:rsidR="00993480" w:rsidRPr="005A4D4E" w:rsidRDefault="00993480" w:rsidP="00ED0479">
            <w:pPr>
              <w:jc w:val="both"/>
              <w:rPr>
                <w:rFonts w:ascii="Arial" w:hAnsi="Arial" w:cs="Arial"/>
                <w:sz w:val="20"/>
              </w:rPr>
            </w:pPr>
            <w:r w:rsidRPr="005A4D4E">
              <w:rPr>
                <w:rFonts w:ascii="Arial" w:hAnsi="Arial" w:cs="Arial"/>
                <w:sz w:val="20"/>
              </w:rPr>
              <w:t>60-62</w:t>
            </w:r>
          </w:p>
        </w:tc>
        <w:tc>
          <w:tcPr>
            <w:tcW w:w="1550" w:type="dxa"/>
            <w:tcBorders>
              <w:top w:val="single" w:sz="4" w:space="0" w:color="auto"/>
              <w:left w:val="single" w:sz="4" w:space="0" w:color="auto"/>
              <w:bottom w:val="single" w:sz="4" w:space="0" w:color="auto"/>
              <w:right w:val="single" w:sz="4" w:space="0" w:color="auto"/>
            </w:tcBorders>
            <w:hideMark/>
          </w:tcPr>
          <w:p w14:paraId="07E95E17" w14:textId="77777777" w:rsidR="00993480" w:rsidRPr="005A4D4E" w:rsidRDefault="00993480" w:rsidP="00ED0479">
            <w:pPr>
              <w:jc w:val="both"/>
              <w:rPr>
                <w:rFonts w:ascii="Arial" w:hAnsi="Arial" w:cs="Arial"/>
                <w:sz w:val="20"/>
              </w:rPr>
            </w:pPr>
            <w:r w:rsidRPr="005A4D4E">
              <w:rPr>
                <w:rFonts w:ascii="Arial" w:hAnsi="Arial" w:cs="Arial"/>
                <w:sz w:val="20"/>
              </w:rPr>
              <w:t>C-</w:t>
            </w:r>
          </w:p>
        </w:tc>
        <w:tc>
          <w:tcPr>
            <w:tcW w:w="1551" w:type="dxa"/>
            <w:tcBorders>
              <w:top w:val="single" w:sz="4" w:space="0" w:color="auto"/>
              <w:left w:val="single" w:sz="4" w:space="0" w:color="auto"/>
              <w:bottom w:val="single" w:sz="4" w:space="0" w:color="auto"/>
              <w:right w:val="single" w:sz="4" w:space="0" w:color="auto"/>
            </w:tcBorders>
            <w:hideMark/>
          </w:tcPr>
          <w:p w14:paraId="1ECB5DD1" w14:textId="77777777" w:rsidR="00993480" w:rsidRPr="005A4D4E" w:rsidRDefault="00993480" w:rsidP="00ED0479">
            <w:pPr>
              <w:jc w:val="both"/>
              <w:rPr>
                <w:rFonts w:ascii="Arial" w:hAnsi="Arial" w:cs="Arial"/>
                <w:sz w:val="20"/>
              </w:rPr>
            </w:pPr>
            <w:r w:rsidRPr="005A4D4E">
              <w:rPr>
                <w:rFonts w:ascii="Arial" w:hAnsi="Arial" w:cs="Arial"/>
                <w:sz w:val="20"/>
              </w:rPr>
              <w:t>4</w:t>
            </w:r>
          </w:p>
        </w:tc>
      </w:tr>
      <w:tr w:rsidR="00993480" w:rsidRPr="005A4D4E" w14:paraId="1B6BDFC5" w14:textId="77777777" w:rsidTr="00ED0479">
        <w:tc>
          <w:tcPr>
            <w:tcW w:w="1625" w:type="dxa"/>
            <w:tcBorders>
              <w:top w:val="single" w:sz="4" w:space="0" w:color="auto"/>
              <w:left w:val="single" w:sz="4" w:space="0" w:color="auto"/>
              <w:bottom w:val="single" w:sz="4" w:space="0" w:color="auto"/>
              <w:right w:val="single" w:sz="4" w:space="0" w:color="auto"/>
            </w:tcBorders>
            <w:hideMark/>
          </w:tcPr>
          <w:p w14:paraId="395D9DDF" w14:textId="77777777" w:rsidR="00993480" w:rsidRPr="005A4D4E" w:rsidRDefault="00993480" w:rsidP="00ED0479">
            <w:pPr>
              <w:jc w:val="both"/>
              <w:rPr>
                <w:rFonts w:ascii="Arial" w:hAnsi="Arial" w:cs="Arial"/>
                <w:sz w:val="20"/>
              </w:rPr>
            </w:pPr>
            <w:r w:rsidRPr="005A4D4E">
              <w:rPr>
                <w:rFonts w:ascii="Arial" w:hAnsi="Arial" w:cs="Arial"/>
                <w:sz w:val="20"/>
              </w:rPr>
              <w:t>77-79</w:t>
            </w:r>
          </w:p>
        </w:tc>
        <w:tc>
          <w:tcPr>
            <w:tcW w:w="1550" w:type="dxa"/>
            <w:tcBorders>
              <w:top w:val="single" w:sz="4" w:space="0" w:color="auto"/>
              <w:left w:val="single" w:sz="4" w:space="0" w:color="auto"/>
              <w:bottom w:val="single" w:sz="4" w:space="0" w:color="auto"/>
              <w:right w:val="single" w:sz="4" w:space="0" w:color="auto"/>
            </w:tcBorders>
            <w:hideMark/>
          </w:tcPr>
          <w:p w14:paraId="577E4F80" w14:textId="77777777" w:rsidR="00993480" w:rsidRPr="005A4D4E" w:rsidRDefault="00993480" w:rsidP="00ED0479">
            <w:pPr>
              <w:jc w:val="both"/>
              <w:rPr>
                <w:rFonts w:ascii="Arial" w:hAnsi="Arial" w:cs="Arial"/>
                <w:sz w:val="20"/>
              </w:rPr>
            </w:pPr>
            <w:r w:rsidRPr="005A4D4E">
              <w:rPr>
                <w:rFonts w:ascii="Arial" w:hAnsi="Arial" w:cs="Arial"/>
                <w:sz w:val="20"/>
              </w:rPr>
              <w:t>B+</w:t>
            </w:r>
          </w:p>
        </w:tc>
        <w:tc>
          <w:tcPr>
            <w:tcW w:w="1550" w:type="dxa"/>
            <w:tcBorders>
              <w:top w:val="single" w:sz="4" w:space="0" w:color="auto"/>
              <w:left w:val="single" w:sz="4" w:space="0" w:color="auto"/>
              <w:bottom w:val="single" w:sz="4" w:space="0" w:color="auto"/>
              <w:right w:val="double" w:sz="4" w:space="0" w:color="auto"/>
            </w:tcBorders>
            <w:hideMark/>
          </w:tcPr>
          <w:p w14:paraId="23BCB306" w14:textId="77777777" w:rsidR="00993480" w:rsidRPr="005A4D4E" w:rsidRDefault="00993480" w:rsidP="00ED0479">
            <w:pPr>
              <w:jc w:val="both"/>
              <w:rPr>
                <w:rFonts w:ascii="Arial" w:hAnsi="Arial" w:cs="Arial"/>
                <w:sz w:val="20"/>
              </w:rPr>
            </w:pPr>
            <w:r w:rsidRPr="005A4D4E">
              <w:rPr>
                <w:rFonts w:ascii="Arial" w:hAnsi="Arial" w:cs="Arial"/>
                <w:sz w:val="20"/>
              </w:rPr>
              <w:t>9</w:t>
            </w:r>
          </w:p>
        </w:tc>
        <w:tc>
          <w:tcPr>
            <w:tcW w:w="1550" w:type="dxa"/>
            <w:tcBorders>
              <w:top w:val="single" w:sz="4" w:space="0" w:color="auto"/>
              <w:left w:val="double" w:sz="4" w:space="0" w:color="auto"/>
              <w:bottom w:val="single" w:sz="4" w:space="0" w:color="auto"/>
              <w:right w:val="single" w:sz="4" w:space="0" w:color="auto"/>
            </w:tcBorders>
            <w:hideMark/>
          </w:tcPr>
          <w:p w14:paraId="192CB8A3" w14:textId="77777777" w:rsidR="00993480" w:rsidRPr="005A4D4E" w:rsidRDefault="00993480" w:rsidP="00ED0479">
            <w:pPr>
              <w:jc w:val="both"/>
              <w:rPr>
                <w:rFonts w:ascii="Arial" w:hAnsi="Arial" w:cs="Arial"/>
                <w:sz w:val="20"/>
              </w:rPr>
            </w:pPr>
            <w:r w:rsidRPr="005A4D4E">
              <w:rPr>
                <w:rFonts w:ascii="Arial" w:hAnsi="Arial" w:cs="Arial"/>
                <w:sz w:val="20"/>
              </w:rPr>
              <w:t>57-59</w:t>
            </w:r>
          </w:p>
        </w:tc>
        <w:tc>
          <w:tcPr>
            <w:tcW w:w="1550" w:type="dxa"/>
            <w:tcBorders>
              <w:top w:val="single" w:sz="4" w:space="0" w:color="auto"/>
              <w:left w:val="single" w:sz="4" w:space="0" w:color="auto"/>
              <w:bottom w:val="single" w:sz="4" w:space="0" w:color="auto"/>
              <w:right w:val="single" w:sz="4" w:space="0" w:color="auto"/>
            </w:tcBorders>
            <w:hideMark/>
          </w:tcPr>
          <w:p w14:paraId="63B3F551" w14:textId="77777777" w:rsidR="00993480" w:rsidRPr="005A4D4E" w:rsidRDefault="00993480" w:rsidP="00ED0479">
            <w:pPr>
              <w:jc w:val="both"/>
              <w:rPr>
                <w:rFonts w:ascii="Arial" w:hAnsi="Arial" w:cs="Arial"/>
                <w:sz w:val="20"/>
              </w:rPr>
            </w:pPr>
            <w:r w:rsidRPr="005A4D4E">
              <w:rPr>
                <w:rFonts w:ascii="Arial" w:hAnsi="Arial" w:cs="Arial"/>
                <w:sz w:val="20"/>
              </w:rPr>
              <w:t>D+</w:t>
            </w:r>
          </w:p>
        </w:tc>
        <w:tc>
          <w:tcPr>
            <w:tcW w:w="1551" w:type="dxa"/>
            <w:tcBorders>
              <w:top w:val="single" w:sz="4" w:space="0" w:color="auto"/>
              <w:left w:val="single" w:sz="4" w:space="0" w:color="auto"/>
              <w:bottom w:val="single" w:sz="4" w:space="0" w:color="auto"/>
              <w:right w:val="single" w:sz="4" w:space="0" w:color="auto"/>
            </w:tcBorders>
            <w:hideMark/>
          </w:tcPr>
          <w:p w14:paraId="09D715CC" w14:textId="77777777" w:rsidR="00993480" w:rsidRPr="005A4D4E" w:rsidRDefault="00993480" w:rsidP="00ED0479">
            <w:pPr>
              <w:jc w:val="both"/>
              <w:rPr>
                <w:rFonts w:ascii="Arial" w:hAnsi="Arial" w:cs="Arial"/>
                <w:sz w:val="20"/>
              </w:rPr>
            </w:pPr>
            <w:r w:rsidRPr="005A4D4E">
              <w:rPr>
                <w:rFonts w:ascii="Arial" w:hAnsi="Arial" w:cs="Arial"/>
                <w:sz w:val="20"/>
              </w:rPr>
              <w:t>3</w:t>
            </w:r>
          </w:p>
        </w:tc>
      </w:tr>
      <w:tr w:rsidR="00993480" w:rsidRPr="005A4D4E" w14:paraId="085FE9B6" w14:textId="77777777" w:rsidTr="00ED0479">
        <w:tc>
          <w:tcPr>
            <w:tcW w:w="1625" w:type="dxa"/>
            <w:tcBorders>
              <w:top w:val="single" w:sz="4" w:space="0" w:color="auto"/>
              <w:left w:val="single" w:sz="4" w:space="0" w:color="auto"/>
              <w:bottom w:val="single" w:sz="4" w:space="0" w:color="auto"/>
              <w:right w:val="single" w:sz="4" w:space="0" w:color="auto"/>
            </w:tcBorders>
            <w:hideMark/>
          </w:tcPr>
          <w:p w14:paraId="147445F0" w14:textId="77777777" w:rsidR="00993480" w:rsidRPr="005A4D4E" w:rsidRDefault="00993480" w:rsidP="00ED0479">
            <w:pPr>
              <w:jc w:val="both"/>
              <w:rPr>
                <w:rFonts w:ascii="Arial" w:hAnsi="Arial" w:cs="Arial"/>
                <w:sz w:val="20"/>
              </w:rPr>
            </w:pPr>
            <w:r w:rsidRPr="005A4D4E">
              <w:rPr>
                <w:rFonts w:ascii="Arial" w:hAnsi="Arial" w:cs="Arial"/>
                <w:sz w:val="20"/>
              </w:rPr>
              <w:t>73-76</w:t>
            </w:r>
          </w:p>
        </w:tc>
        <w:tc>
          <w:tcPr>
            <w:tcW w:w="1550" w:type="dxa"/>
            <w:tcBorders>
              <w:top w:val="single" w:sz="4" w:space="0" w:color="auto"/>
              <w:left w:val="single" w:sz="4" w:space="0" w:color="auto"/>
              <w:bottom w:val="single" w:sz="4" w:space="0" w:color="auto"/>
              <w:right w:val="single" w:sz="4" w:space="0" w:color="auto"/>
            </w:tcBorders>
            <w:hideMark/>
          </w:tcPr>
          <w:p w14:paraId="4BABB299" w14:textId="77777777" w:rsidR="00993480" w:rsidRPr="005A4D4E" w:rsidRDefault="00993480" w:rsidP="00ED0479">
            <w:pPr>
              <w:jc w:val="both"/>
              <w:rPr>
                <w:rFonts w:ascii="Arial" w:hAnsi="Arial" w:cs="Arial"/>
                <w:sz w:val="20"/>
              </w:rPr>
            </w:pPr>
            <w:r w:rsidRPr="005A4D4E">
              <w:rPr>
                <w:rFonts w:ascii="Arial" w:hAnsi="Arial" w:cs="Arial"/>
                <w:sz w:val="20"/>
              </w:rPr>
              <w:t>B</w:t>
            </w:r>
          </w:p>
        </w:tc>
        <w:tc>
          <w:tcPr>
            <w:tcW w:w="1550" w:type="dxa"/>
            <w:tcBorders>
              <w:top w:val="single" w:sz="4" w:space="0" w:color="auto"/>
              <w:left w:val="single" w:sz="4" w:space="0" w:color="auto"/>
              <w:bottom w:val="single" w:sz="4" w:space="0" w:color="auto"/>
              <w:right w:val="double" w:sz="4" w:space="0" w:color="auto"/>
            </w:tcBorders>
            <w:hideMark/>
          </w:tcPr>
          <w:p w14:paraId="14EF6A15" w14:textId="77777777" w:rsidR="00993480" w:rsidRPr="005A4D4E" w:rsidRDefault="00993480" w:rsidP="00ED0479">
            <w:pPr>
              <w:jc w:val="both"/>
              <w:rPr>
                <w:rFonts w:ascii="Arial" w:hAnsi="Arial" w:cs="Arial"/>
                <w:sz w:val="20"/>
              </w:rPr>
            </w:pPr>
            <w:r w:rsidRPr="005A4D4E">
              <w:rPr>
                <w:rFonts w:ascii="Arial" w:hAnsi="Arial" w:cs="Arial"/>
                <w:sz w:val="20"/>
              </w:rPr>
              <w:t>8</w:t>
            </w:r>
          </w:p>
        </w:tc>
        <w:tc>
          <w:tcPr>
            <w:tcW w:w="1550" w:type="dxa"/>
            <w:tcBorders>
              <w:top w:val="single" w:sz="4" w:space="0" w:color="auto"/>
              <w:left w:val="double" w:sz="4" w:space="0" w:color="auto"/>
              <w:bottom w:val="single" w:sz="4" w:space="0" w:color="auto"/>
              <w:right w:val="single" w:sz="4" w:space="0" w:color="auto"/>
            </w:tcBorders>
            <w:hideMark/>
          </w:tcPr>
          <w:p w14:paraId="3FC55A95" w14:textId="77777777" w:rsidR="00993480" w:rsidRPr="005A4D4E" w:rsidRDefault="00993480" w:rsidP="00ED0479">
            <w:pPr>
              <w:jc w:val="both"/>
              <w:rPr>
                <w:rFonts w:ascii="Arial" w:hAnsi="Arial" w:cs="Arial"/>
                <w:sz w:val="20"/>
              </w:rPr>
            </w:pPr>
            <w:r w:rsidRPr="005A4D4E">
              <w:rPr>
                <w:rFonts w:ascii="Arial" w:hAnsi="Arial" w:cs="Arial"/>
                <w:sz w:val="20"/>
              </w:rPr>
              <w:t>53-56</w:t>
            </w:r>
          </w:p>
        </w:tc>
        <w:tc>
          <w:tcPr>
            <w:tcW w:w="1550" w:type="dxa"/>
            <w:tcBorders>
              <w:top w:val="single" w:sz="4" w:space="0" w:color="auto"/>
              <w:left w:val="single" w:sz="4" w:space="0" w:color="auto"/>
              <w:bottom w:val="single" w:sz="4" w:space="0" w:color="auto"/>
              <w:right w:val="single" w:sz="4" w:space="0" w:color="auto"/>
            </w:tcBorders>
            <w:hideMark/>
          </w:tcPr>
          <w:p w14:paraId="1130CD64" w14:textId="77777777" w:rsidR="00993480" w:rsidRPr="005A4D4E" w:rsidRDefault="00993480" w:rsidP="00ED0479">
            <w:pPr>
              <w:jc w:val="both"/>
              <w:rPr>
                <w:rFonts w:ascii="Arial" w:hAnsi="Arial" w:cs="Arial"/>
                <w:sz w:val="20"/>
              </w:rPr>
            </w:pPr>
            <w:r w:rsidRPr="005A4D4E">
              <w:rPr>
                <w:rFonts w:ascii="Arial" w:hAnsi="Arial" w:cs="Arial"/>
                <w:sz w:val="20"/>
              </w:rPr>
              <w:t>D</w:t>
            </w:r>
          </w:p>
        </w:tc>
        <w:tc>
          <w:tcPr>
            <w:tcW w:w="1551" w:type="dxa"/>
            <w:tcBorders>
              <w:top w:val="single" w:sz="4" w:space="0" w:color="auto"/>
              <w:left w:val="single" w:sz="4" w:space="0" w:color="auto"/>
              <w:bottom w:val="single" w:sz="4" w:space="0" w:color="auto"/>
              <w:right w:val="single" w:sz="4" w:space="0" w:color="auto"/>
            </w:tcBorders>
            <w:hideMark/>
          </w:tcPr>
          <w:p w14:paraId="18441ED7" w14:textId="77777777" w:rsidR="00993480" w:rsidRPr="005A4D4E" w:rsidRDefault="00993480" w:rsidP="00ED0479">
            <w:pPr>
              <w:jc w:val="both"/>
              <w:rPr>
                <w:rFonts w:ascii="Arial" w:hAnsi="Arial" w:cs="Arial"/>
                <w:sz w:val="20"/>
              </w:rPr>
            </w:pPr>
            <w:r w:rsidRPr="005A4D4E">
              <w:rPr>
                <w:rFonts w:ascii="Arial" w:hAnsi="Arial" w:cs="Arial"/>
                <w:sz w:val="20"/>
              </w:rPr>
              <w:t>2</w:t>
            </w:r>
          </w:p>
        </w:tc>
      </w:tr>
      <w:tr w:rsidR="00993480" w:rsidRPr="005A4D4E" w14:paraId="2CB0DADF" w14:textId="77777777" w:rsidTr="00ED0479">
        <w:tc>
          <w:tcPr>
            <w:tcW w:w="1625" w:type="dxa"/>
            <w:tcBorders>
              <w:top w:val="single" w:sz="4" w:space="0" w:color="auto"/>
              <w:left w:val="single" w:sz="4" w:space="0" w:color="auto"/>
              <w:bottom w:val="single" w:sz="4" w:space="0" w:color="auto"/>
              <w:right w:val="single" w:sz="4" w:space="0" w:color="auto"/>
            </w:tcBorders>
            <w:hideMark/>
          </w:tcPr>
          <w:p w14:paraId="6295A928" w14:textId="77777777" w:rsidR="00993480" w:rsidRPr="005A4D4E" w:rsidRDefault="00993480" w:rsidP="00ED0479">
            <w:pPr>
              <w:jc w:val="both"/>
              <w:rPr>
                <w:rFonts w:ascii="Arial" w:hAnsi="Arial" w:cs="Arial"/>
                <w:sz w:val="20"/>
              </w:rPr>
            </w:pPr>
            <w:r w:rsidRPr="005A4D4E">
              <w:rPr>
                <w:rFonts w:ascii="Arial" w:hAnsi="Arial" w:cs="Arial"/>
                <w:sz w:val="20"/>
              </w:rPr>
              <w:t>70-72</w:t>
            </w:r>
          </w:p>
        </w:tc>
        <w:tc>
          <w:tcPr>
            <w:tcW w:w="1550" w:type="dxa"/>
            <w:tcBorders>
              <w:top w:val="single" w:sz="4" w:space="0" w:color="auto"/>
              <w:left w:val="single" w:sz="4" w:space="0" w:color="auto"/>
              <w:bottom w:val="single" w:sz="4" w:space="0" w:color="auto"/>
              <w:right w:val="single" w:sz="4" w:space="0" w:color="auto"/>
            </w:tcBorders>
            <w:hideMark/>
          </w:tcPr>
          <w:p w14:paraId="22874CA8" w14:textId="77777777" w:rsidR="00993480" w:rsidRPr="005A4D4E" w:rsidRDefault="00993480" w:rsidP="00ED0479">
            <w:pPr>
              <w:jc w:val="both"/>
              <w:rPr>
                <w:rFonts w:ascii="Arial" w:hAnsi="Arial" w:cs="Arial"/>
                <w:sz w:val="20"/>
              </w:rPr>
            </w:pPr>
            <w:r w:rsidRPr="005A4D4E">
              <w:rPr>
                <w:rFonts w:ascii="Arial" w:hAnsi="Arial" w:cs="Arial"/>
                <w:sz w:val="20"/>
              </w:rPr>
              <w:t>B-</w:t>
            </w:r>
          </w:p>
        </w:tc>
        <w:tc>
          <w:tcPr>
            <w:tcW w:w="1550" w:type="dxa"/>
            <w:tcBorders>
              <w:top w:val="single" w:sz="4" w:space="0" w:color="auto"/>
              <w:left w:val="single" w:sz="4" w:space="0" w:color="auto"/>
              <w:bottom w:val="single" w:sz="4" w:space="0" w:color="auto"/>
              <w:right w:val="double" w:sz="4" w:space="0" w:color="auto"/>
            </w:tcBorders>
            <w:hideMark/>
          </w:tcPr>
          <w:p w14:paraId="3B949CCD" w14:textId="77777777" w:rsidR="00993480" w:rsidRPr="005A4D4E" w:rsidRDefault="00993480" w:rsidP="00ED0479">
            <w:pPr>
              <w:jc w:val="both"/>
              <w:rPr>
                <w:rFonts w:ascii="Arial" w:hAnsi="Arial" w:cs="Arial"/>
                <w:sz w:val="20"/>
              </w:rPr>
            </w:pPr>
            <w:r w:rsidRPr="005A4D4E">
              <w:rPr>
                <w:rFonts w:ascii="Arial" w:hAnsi="Arial" w:cs="Arial"/>
                <w:sz w:val="20"/>
              </w:rPr>
              <w:t>7</w:t>
            </w:r>
          </w:p>
        </w:tc>
        <w:tc>
          <w:tcPr>
            <w:tcW w:w="1550" w:type="dxa"/>
            <w:tcBorders>
              <w:top w:val="single" w:sz="4" w:space="0" w:color="auto"/>
              <w:left w:val="double" w:sz="4" w:space="0" w:color="auto"/>
              <w:bottom w:val="single" w:sz="4" w:space="0" w:color="auto"/>
              <w:right w:val="single" w:sz="4" w:space="0" w:color="auto"/>
            </w:tcBorders>
            <w:hideMark/>
          </w:tcPr>
          <w:p w14:paraId="4F504129" w14:textId="77777777" w:rsidR="00993480" w:rsidRPr="005A4D4E" w:rsidRDefault="00993480" w:rsidP="00ED0479">
            <w:pPr>
              <w:jc w:val="both"/>
              <w:rPr>
                <w:rFonts w:ascii="Arial" w:hAnsi="Arial" w:cs="Arial"/>
                <w:sz w:val="20"/>
              </w:rPr>
            </w:pPr>
            <w:r w:rsidRPr="005A4D4E">
              <w:rPr>
                <w:rFonts w:ascii="Arial" w:hAnsi="Arial" w:cs="Arial"/>
                <w:sz w:val="20"/>
              </w:rPr>
              <w:t>50-52</w:t>
            </w:r>
          </w:p>
        </w:tc>
        <w:tc>
          <w:tcPr>
            <w:tcW w:w="1550" w:type="dxa"/>
            <w:tcBorders>
              <w:top w:val="single" w:sz="4" w:space="0" w:color="auto"/>
              <w:left w:val="single" w:sz="4" w:space="0" w:color="auto"/>
              <w:bottom w:val="single" w:sz="4" w:space="0" w:color="auto"/>
              <w:right w:val="single" w:sz="4" w:space="0" w:color="auto"/>
            </w:tcBorders>
            <w:hideMark/>
          </w:tcPr>
          <w:p w14:paraId="54E08FD2" w14:textId="77777777" w:rsidR="00993480" w:rsidRPr="005A4D4E" w:rsidRDefault="00993480" w:rsidP="00ED0479">
            <w:pPr>
              <w:jc w:val="both"/>
              <w:rPr>
                <w:rFonts w:ascii="Arial" w:hAnsi="Arial" w:cs="Arial"/>
                <w:sz w:val="20"/>
              </w:rPr>
            </w:pPr>
            <w:r w:rsidRPr="005A4D4E">
              <w:rPr>
                <w:rFonts w:ascii="Arial" w:hAnsi="Arial" w:cs="Arial"/>
                <w:sz w:val="20"/>
              </w:rPr>
              <w:t>D-</w:t>
            </w:r>
          </w:p>
        </w:tc>
        <w:tc>
          <w:tcPr>
            <w:tcW w:w="1551" w:type="dxa"/>
            <w:tcBorders>
              <w:top w:val="single" w:sz="4" w:space="0" w:color="auto"/>
              <w:left w:val="single" w:sz="4" w:space="0" w:color="auto"/>
              <w:bottom w:val="single" w:sz="4" w:space="0" w:color="auto"/>
              <w:right w:val="single" w:sz="4" w:space="0" w:color="auto"/>
            </w:tcBorders>
            <w:hideMark/>
          </w:tcPr>
          <w:p w14:paraId="45FA4188" w14:textId="77777777" w:rsidR="00993480" w:rsidRPr="005A4D4E" w:rsidRDefault="00993480" w:rsidP="00ED0479">
            <w:pPr>
              <w:jc w:val="both"/>
              <w:rPr>
                <w:rFonts w:ascii="Arial" w:hAnsi="Arial" w:cs="Arial"/>
                <w:sz w:val="20"/>
              </w:rPr>
            </w:pPr>
            <w:r w:rsidRPr="005A4D4E">
              <w:rPr>
                <w:rFonts w:ascii="Arial" w:hAnsi="Arial" w:cs="Arial"/>
                <w:sz w:val="20"/>
              </w:rPr>
              <w:t>1</w:t>
            </w:r>
          </w:p>
        </w:tc>
      </w:tr>
    </w:tbl>
    <w:p w14:paraId="17C95609" w14:textId="77777777" w:rsidR="00993480" w:rsidRPr="005A4D4E" w:rsidRDefault="00993480" w:rsidP="00993480">
      <w:pPr>
        <w:rPr>
          <w:rFonts w:ascii="Arial" w:hAnsi="Arial"/>
          <w:szCs w:val="24"/>
          <w:lang w:val="en-GB"/>
        </w:rPr>
      </w:pPr>
    </w:p>
    <w:p w14:paraId="21F65384" w14:textId="77777777" w:rsidR="00993480" w:rsidRPr="005A4D4E" w:rsidRDefault="00993480" w:rsidP="00993480">
      <w:pPr>
        <w:rPr>
          <w:rFonts w:ascii="Arial" w:hAnsi="Arial"/>
          <w:b/>
          <w:bCs/>
          <w:szCs w:val="24"/>
          <w:lang w:val="en-GB"/>
        </w:rPr>
      </w:pPr>
      <w:r w:rsidRPr="00993480">
        <w:rPr>
          <w:rFonts w:ascii="Arial" w:hAnsi="Arial"/>
          <w:szCs w:val="24"/>
          <w:lang w:val="en-CA"/>
        </w:rPr>
        <w:t>Standing in a course is determined by the course instructor subject to the approval of the Faculty Dean. This means that grades submitted by an instructor may be subject to revision. No grades are final until they have been approved by the Dean.</w:t>
      </w:r>
    </w:p>
    <w:p w14:paraId="01EEA3EE" w14:textId="77777777" w:rsidR="00993480" w:rsidRPr="005A4D4E" w:rsidRDefault="00993480" w:rsidP="00993480">
      <w:pPr>
        <w:rPr>
          <w:rFonts w:ascii="Arial" w:hAnsi="Arial"/>
          <w:b/>
          <w:bCs/>
          <w:szCs w:val="24"/>
          <w:lang w:val="en-GB"/>
        </w:rPr>
      </w:pPr>
    </w:p>
    <w:p w14:paraId="3B13A50C" w14:textId="77777777" w:rsidR="00993480" w:rsidRPr="005A4D4E" w:rsidRDefault="00993480" w:rsidP="00993480">
      <w:pPr>
        <w:rPr>
          <w:rFonts w:ascii="Arial" w:hAnsi="Arial"/>
          <w:b/>
          <w:bCs/>
          <w:szCs w:val="24"/>
          <w:u w:val="single"/>
          <w:lang w:val="en-GB"/>
        </w:rPr>
      </w:pPr>
      <w:r w:rsidRPr="005A4D4E">
        <w:rPr>
          <w:rFonts w:ascii="Arial" w:hAnsi="Arial"/>
          <w:b/>
          <w:bCs/>
          <w:szCs w:val="24"/>
          <w:u w:val="single"/>
          <w:lang w:val="en-GB"/>
        </w:rPr>
        <w:t>Carleton E-mail Accounts</w:t>
      </w:r>
    </w:p>
    <w:p w14:paraId="7BAF910E" w14:textId="77777777" w:rsidR="00993480" w:rsidRPr="005A4D4E" w:rsidRDefault="00993480" w:rsidP="00993480">
      <w:pPr>
        <w:rPr>
          <w:rFonts w:ascii="Arial" w:hAnsi="Arial"/>
          <w:szCs w:val="24"/>
          <w:lang w:val="en-GB"/>
        </w:rPr>
      </w:pPr>
    </w:p>
    <w:p w14:paraId="195CB2CF" w14:textId="77777777" w:rsidR="00993480" w:rsidRPr="005A4D4E" w:rsidRDefault="00993480" w:rsidP="00993480">
      <w:pPr>
        <w:rPr>
          <w:rFonts w:ascii="Arial" w:hAnsi="Arial"/>
          <w:szCs w:val="24"/>
          <w:lang w:val="en-GB"/>
        </w:rPr>
      </w:pPr>
      <w:r w:rsidRPr="005A4D4E">
        <w:rPr>
          <w:rFonts w:ascii="Arial" w:hAnsi="Arial"/>
          <w:szCs w:val="24"/>
          <w:lang w:val="en-GB"/>
        </w:rPr>
        <w:t xml:space="preserve">All email communication to students from the Department of Political Science will be via official Carleton University e-mail accounts and/or Brightspace.  As important course and university information is distributed this way, it is the student’s responsibility to monitor their Carleton University email accounts and Brightspace. </w:t>
      </w:r>
    </w:p>
    <w:p w14:paraId="14447842" w14:textId="77777777" w:rsidR="00993480" w:rsidRPr="005A4D4E" w:rsidRDefault="00993480" w:rsidP="00993480">
      <w:pPr>
        <w:rPr>
          <w:rFonts w:ascii="Arial" w:hAnsi="Arial"/>
          <w:szCs w:val="24"/>
          <w:lang w:val="en-GB"/>
        </w:rPr>
      </w:pPr>
    </w:p>
    <w:p w14:paraId="21C63347" w14:textId="77777777" w:rsidR="00993480" w:rsidRPr="00993480" w:rsidRDefault="00993480" w:rsidP="00993480">
      <w:pPr>
        <w:rPr>
          <w:rFonts w:ascii="Arial" w:hAnsi="Arial"/>
          <w:b/>
          <w:bCs/>
          <w:szCs w:val="24"/>
          <w:u w:val="single"/>
          <w:lang w:val="en-CA"/>
        </w:rPr>
      </w:pPr>
      <w:r w:rsidRPr="00993480">
        <w:rPr>
          <w:rFonts w:ascii="Arial" w:hAnsi="Arial"/>
          <w:b/>
          <w:bCs/>
          <w:szCs w:val="24"/>
          <w:u w:val="single"/>
          <w:lang w:val="en-CA"/>
        </w:rPr>
        <w:t>Carleton Political Science Society</w:t>
      </w:r>
    </w:p>
    <w:p w14:paraId="4BA9E037" w14:textId="77777777" w:rsidR="00993480" w:rsidRPr="00993480" w:rsidRDefault="00993480" w:rsidP="00993480">
      <w:pPr>
        <w:rPr>
          <w:rFonts w:ascii="Arial" w:hAnsi="Arial"/>
          <w:szCs w:val="24"/>
          <w:lang w:val="en-CA"/>
        </w:rPr>
      </w:pPr>
    </w:p>
    <w:p w14:paraId="4F0B8B60" w14:textId="77777777" w:rsidR="00993480" w:rsidRPr="00993480" w:rsidRDefault="00993480" w:rsidP="00993480">
      <w:pPr>
        <w:rPr>
          <w:rFonts w:ascii="Arial" w:hAnsi="Arial"/>
          <w:szCs w:val="24"/>
          <w:lang w:val="en-CA"/>
        </w:rPr>
      </w:pPr>
      <w:r w:rsidRPr="00993480">
        <w:rPr>
          <w:rFonts w:ascii="Arial" w:hAnsi="Arial"/>
          <w:szCs w:val="24"/>
          <w:lang w:val="en-CA"/>
        </w:rPr>
        <w:t xml:space="preserve">The Carleton Political Science Society (CPSS) has made its mission to provide a social environment for politically inclined students and faculty. By hosting social events, including Model Parliament, debates, professional development sessions and more, CPSS aims to involve all political science students at Carleton University. Our mandate is to arrange social and academic activities </w:t>
      </w:r>
      <w:proofErr w:type="gramStart"/>
      <w:r w:rsidRPr="00993480">
        <w:rPr>
          <w:rFonts w:ascii="Arial" w:hAnsi="Arial"/>
          <w:szCs w:val="24"/>
          <w:lang w:val="en-CA"/>
        </w:rPr>
        <w:t>in order to</w:t>
      </w:r>
      <w:proofErr w:type="gramEnd"/>
      <w:r w:rsidRPr="00993480">
        <w:rPr>
          <w:rFonts w:ascii="Arial" w:hAnsi="Arial"/>
          <w:szCs w:val="24"/>
          <w:lang w:val="en-CA"/>
        </w:rPr>
        <w:t xml:space="preserve"> instill a sense of belonging within the Department and the larger University community. Members can benefit through our networking opportunities, academic engagement initiatives and numerous events which aim to complement both academic and social life at Carleton University. To find out more, visit us on Facebook </w:t>
      </w:r>
      <w:hyperlink r:id="rId44" w:tgtFrame="_blank" w:history="1">
        <w:r w:rsidRPr="00993480">
          <w:rPr>
            <w:rFonts w:ascii="Arial" w:hAnsi="Arial"/>
            <w:color w:val="0000FF"/>
            <w:szCs w:val="24"/>
            <w:u w:val="single"/>
            <w:lang w:val="en-CA"/>
          </w:rPr>
          <w:t>https://www.facebook.com/CarletonPoliticalScienceSociety/</w:t>
        </w:r>
      </w:hyperlink>
      <w:r w:rsidRPr="00993480">
        <w:rPr>
          <w:rFonts w:ascii="Arial" w:hAnsi="Arial"/>
          <w:szCs w:val="24"/>
          <w:lang w:val="en-CA"/>
        </w:rPr>
        <w:t>.</w:t>
      </w:r>
    </w:p>
    <w:p w14:paraId="08EEC336" w14:textId="77777777" w:rsidR="00993480" w:rsidRPr="00993480" w:rsidRDefault="00993480" w:rsidP="00993480">
      <w:pPr>
        <w:rPr>
          <w:rFonts w:ascii="Arial" w:hAnsi="Arial"/>
          <w:szCs w:val="24"/>
          <w:lang w:val="en-CA"/>
        </w:rPr>
      </w:pPr>
    </w:p>
    <w:p w14:paraId="4AC3A038" w14:textId="77777777" w:rsidR="00993480" w:rsidRPr="005A4D4E" w:rsidRDefault="00993480" w:rsidP="00993480">
      <w:pPr>
        <w:rPr>
          <w:rFonts w:ascii="Arial" w:hAnsi="Arial"/>
          <w:b/>
          <w:szCs w:val="24"/>
          <w:lang w:val="en-GB"/>
        </w:rPr>
      </w:pPr>
      <w:r w:rsidRPr="005A4D4E">
        <w:rPr>
          <w:rFonts w:ascii="Arial" w:hAnsi="Arial"/>
          <w:b/>
          <w:szCs w:val="24"/>
          <w:lang w:val="en-GB"/>
        </w:rPr>
        <w:t>Official Course Outline</w:t>
      </w:r>
    </w:p>
    <w:p w14:paraId="4DE667A0" w14:textId="77777777" w:rsidR="00993480" w:rsidRPr="005A4D4E" w:rsidRDefault="00993480" w:rsidP="00993480">
      <w:pPr>
        <w:rPr>
          <w:rFonts w:ascii="Arial" w:hAnsi="Arial"/>
          <w:szCs w:val="24"/>
          <w:lang w:val="en-GB"/>
        </w:rPr>
      </w:pPr>
    </w:p>
    <w:p w14:paraId="20D52390" w14:textId="181A5A1F" w:rsidR="00CB4B83" w:rsidRPr="00993480" w:rsidRDefault="00993480" w:rsidP="00E746D4">
      <w:pPr>
        <w:rPr>
          <w:rFonts w:ascii="Arial" w:hAnsi="Arial"/>
          <w:szCs w:val="24"/>
          <w:lang w:val="en-CA"/>
        </w:rPr>
      </w:pPr>
      <w:r w:rsidRPr="005A4D4E">
        <w:rPr>
          <w:rFonts w:ascii="Arial" w:hAnsi="Arial"/>
          <w:szCs w:val="24"/>
          <w:lang w:val="en-GB"/>
        </w:rPr>
        <w:t>The course outline posted to the Political Science website is the official course outline.</w:t>
      </w:r>
    </w:p>
    <w:sectPr w:rsidR="00CB4B83" w:rsidRPr="00993480" w:rsidSect="002B29A8">
      <w:footerReference w:type="even" r:id="rId45"/>
      <w:footerReference w:type="default" r:id="rId46"/>
      <w:pgSz w:w="12242" w:h="15842" w:code="1"/>
      <w:pgMar w:top="1412" w:right="1412" w:bottom="1140" w:left="141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39BC" w14:textId="77777777" w:rsidR="00573913" w:rsidRDefault="00573913">
      <w:r>
        <w:separator/>
      </w:r>
    </w:p>
  </w:endnote>
  <w:endnote w:type="continuationSeparator" w:id="0">
    <w:p w14:paraId="37667352" w14:textId="77777777" w:rsidR="00573913" w:rsidRDefault="0057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A517" w14:textId="77777777" w:rsidR="00920A45" w:rsidRDefault="00920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343CA" w14:textId="77777777" w:rsidR="00920A45" w:rsidRDefault="00920A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E982" w14:textId="77777777" w:rsidR="00920A45" w:rsidRDefault="00920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71E0F6D" w14:textId="77777777" w:rsidR="00920A45" w:rsidRDefault="00920A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B342" w14:textId="77777777" w:rsidR="00573913" w:rsidRDefault="00573913">
      <w:r>
        <w:separator/>
      </w:r>
    </w:p>
  </w:footnote>
  <w:footnote w:type="continuationSeparator" w:id="0">
    <w:p w14:paraId="7AD398E3" w14:textId="77777777" w:rsidR="00573913" w:rsidRDefault="00573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467"/>
    <w:multiLevelType w:val="hybridMultilevel"/>
    <w:tmpl w:val="EC785A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8535F"/>
    <w:multiLevelType w:val="hybridMultilevel"/>
    <w:tmpl w:val="52D07E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44720"/>
    <w:multiLevelType w:val="hybridMultilevel"/>
    <w:tmpl w:val="AEEC1C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B63B4"/>
    <w:multiLevelType w:val="hybridMultilevel"/>
    <w:tmpl w:val="80E41F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32D1B"/>
    <w:multiLevelType w:val="hybridMultilevel"/>
    <w:tmpl w:val="6B5043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4652C2"/>
    <w:multiLevelType w:val="hybridMultilevel"/>
    <w:tmpl w:val="EFA8BE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954D3"/>
    <w:multiLevelType w:val="hybridMultilevel"/>
    <w:tmpl w:val="13A85B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E0937"/>
    <w:multiLevelType w:val="hybridMultilevel"/>
    <w:tmpl w:val="48101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46738F"/>
    <w:multiLevelType w:val="hybridMultilevel"/>
    <w:tmpl w:val="F50EE3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123B0B"/>
    <w:multiLevelType w:val="hybridMultilevel"/>
    <w:tmpl w:val="E8F6B8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FE63DA"/>
    <w:multiLevelType w:val="hybridMultilevel"/>
    <w:tmpl w:val="D59A2C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30553"/>
    <w:multiLevelType w:val="hybridMultilevel"/>
    <w:tmpl w:val="D55E35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508F4"/>
    <w:multiLevelType w:val="multilevel"/>
    <w:tmpl w:val="665A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762A72"/>
    <w:multiLevelType w:val="hybridMultilevel"/>
    <w:tmpl w:val="F46090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E147B"/>
    <w:multiLevelType w:val="hybridMultilevel"/>
    <w:tmpl w:val="B45CC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A14064"/>
    <w:multiLevelType w:val="hybridMultilevel"/>
    <w:tmpl w:val="18D89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E0C6C"/>
    <w:multiLevelType w:val="hybridMultilevel"/>
    <w:tmpl w:val="8A321CD2"/>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3B376CE"/>
    <w:multiLevelType w:val="hybridMultilevel"/>
    <w:tmpl w:val="03425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2F79A3"/>
    <w:multiLevelType w:val="hybridMultilevel"/>
    <w:tmpl w:val="9D78AA6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4547B54"/>
    <w:multiLevelType w:val="hybridMultilevel"/>
    <w:tmpl w:val="2E0030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F787B"/>
    <w:multiLevelType w:val="hybridMultilevel"/>
    <w:tmpl w:val="CE3A299C"/>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1" w15:restartNumberingAfterBreak="0">
    <w:nsid w:val="485A7574"/>
    <w:multiLevelType w:val="hybridMultilevel"/>
    <w:tmpl w:val="7FC8A404"/>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E8D3960"/>
    <w:multiLevelType w:val="hybridMultilevel"/>
    <w:tmpl w:val="96A6D1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AC597F"/>
    <w:multiLevelType w:val="hybridMultilevel"/>
    <w:tmpl w:val="4C4458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0A650E"/>
    <w:multiLevelType w:val="hybridMultilevel"/>
    <w:tmpl w:val="4DC4E3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B45D2B"/>
    <w:multiLevelType w:val="hybridMultilevel"/>
    <w:tmpl w:val="09B60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21758B"/>
    <w:multiLevelType w:val="hybridMultilevel"/>
    <w:tmpl w:val="52C0F5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0C42BE"/>
    <w:multiLevelType w:val="hybridMultilevel"/>
    <w:tmpl w:val="5532D1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6F017A"/>
    <w:multiLevelType w:val="hybridMultilevel"/>
    <w:tmpl w:val="A25C367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04D2567"/>
    <w:multiLevelType w:val="hybridMultilevel"/>
    <w:tmpl w:val="481A6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DA2E10"/>
    <w:multiLevelType w:val="hybridMultilevel"/>
    <w:tmpl w:val="A33CB9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0A63DD"/>
    <w:multiLevelType w:val="hybridMultilevel"/>
    <w:tmpl w:val="A4CC9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9922175">
    <w:abstractNumId w:val="25"/>
  </w:num>
  <w:num w:numId="2" w16cid:durableId="101728998">
    <w:abstractNumId w:val="24"/>
  </w:num>
  <w:num w:numId="3" w16cid:durableId="1426149279">
    <w:abstractNumId w:val="14"/>
  </w:num>
  <w:num w:numId="4" w16cid:durableId="1232274142">
    <w:abstractNumId w:val="17"/>
  </w:num>
  <w:num w:numId="5" w16cid:durableId="1297490493">
    <w:abstractNumId w:val="22"/>
  </w:num>
  <w:num w:numId="6" w16cid:durableId="538589577">
    <w:abstractNumId w:val="6"/>
  </w:num>
  <w:num w:numId="7" w16cid:durableId="151995122">
    <w:abstractNumId w:val="9"/>
  </w:num>
  <w:num w:numId="8" w16cid:durableId="423650562">
    <w:abstractNumId w:val="2"/>
  </w:num>
  <w:num w:num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ableId="1796604056">
    <w:abstractNumId w:val="15"/>
  </w:num>
  <w:num w:numId="14" w16cid:durableId="1174959028">
    <w:abstractNumId w:val="19"/>
  </w:num>
  <w:num w:numId="15" w16cid:durableId="2053117796">
    <w:abstractNumId w:val="7"/>
  </w:num>
  <w:num w:numId="16" w16cid:durableId="1472212122">
    <w:abstractNumId w:val="13"/>
  </w:num>
  <w:num w:numId="17" w16cid:durableId="1440831653">
    <w:abstractNumId w:val="5"/>
  </w:num>
  <w:num w:numId="18" w16cid:durableId="249314001">
    <w:abstractNumId w:val="31"/>
  </w:num>
  <w:num w:numId="19" w16cid:durableId="1394812933">
    <w:abstractNumId w:val="4"/>
  </w:num>
  <w:num w:numId="20" w16cid:durableId="85002620">
    <w:abstractNumId w:val="0"/>
  </w:num>
  <w:num w:numId="21" w16cid:durableId="1353800050">
    <w:abstractNumId w:val="29"/>
  </w:num>
  <w:num w:numId="22" w16cid:durableId="2131507924">
    <w:abstractNumId w:val="11"/>
  </w:num>
  <w:num w:numId="23" w16cid:durableId="455217313">
    <w:abstractNumId w:val="3"/>
  </w:num>
  <w:num w:numId="24" w16cid:durableId="1952780694">
    <w:abstractNumId w:val="1"/>
  </w:num>
  <w:num w:numId="25" w16cid:durableId="1968000233">
    <w:abstractNumId w:val="8"/>
  </w:num>
  <w:num w:numId="26" w16cid:durableId="2074966028">
    <w:abstractNumId w:val="26"/>
  </w:num>
  <w:num w:numId="27" w16cid:durableId="479809312">
    <w:abstractNumId w:val="16"/>
  </w:num>
  <w:num w:numId="28" w16cid:durableId="1225219578">
    <w:abstractNumId w:val="21"/>
  </w:num>
  <w:num w:numId="29" w16cid:durableId="336736627">
    <w:abstractNumId w:val="28"/>
  </w:num>
  <w:num w:numId="30" w16cid:durableId="1639258425">
    <w:abstractNumId w:val="20"/>
  </w:num>
  <w:num w:numId="31" w16cid:durableId="2063946120">
    <w:abstractNumId w:val="18"/>
  </w:num>
  <w:num w:numId="32" w16cid:durableId="113575561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AE"/>
    <w:rsid w:val="0000157E"/>
    <w:rsid w:val="000019ED"/>
    <w:rsid w:val="00002893"/>
    <w:rsid w:val="00004A7B"/>
    <w:rsid w:val="00005A61"/>
    <w:rsid w:val="00007D49"/>
    <w:rsid w:val="0001078F"/>
    <w:rsid w:val="0001082C"/>
    <w:rsid w:val="00012AD1"/>
    <w:rsid w:val="00012BF5"/>
    <w:rsid w:val="000130D5"/>
    <w:rsid w:val="00022CEA"/>
    <w:rsid w:val="00024155"/>
    <w:rsid w:val="0002466A"/>
    <w:rsid w:val="000274E2"/>
    <w:rsid w:val="00032604"/>
    <w:rsid w:val="0003293C"/>
    <w:rsid w:val="000354C4"/>
    <w:rsid w:val="0004163E"/>
    <w:rsid w:val="000459EE"/>
    <w:rsid w:val="00047910"/>
    <w:rsid w:val="0004798D"/>
    <w:rsid w:val="00050539"/>
    <w:rsid w:val="0005340F"/>
    <w:rsid w:val="000544F0"/>
    <w:rsid w:val="000559E9"/>
    <w:rsid w:val="00055F6E"/>
    <w:rsid w:val="0005723B"/>
    <w:rsid w:val="00057419"/>
    <w:rsid w:val="000616B9"/>
    <w:rsid w:val="000625DA"/>
    <w:rsid w:val="00062DE9"/>
    <w:rsid w:val="000646B3"/>
    <w:rsid w:val="0006608F"/>
    <w:rsid w:val="000666E8"/>
    <w:rsid w:val="00072D3D"/>
    <w:rsid w:val="0007635D"/>
    <w:rsid w:val="00077879"/>
    <w:rsid w:val="00080F01"/>
    <w:rsid w:val="00083098"/>
    <w:rsid w:val="00086219"/>
    <w:rsid w:val="000872F9"/>
    <w:rsid w:val="000911B2"/>
    <w:rsid w:val="0009270E"/>
    <w:rsid w:val="00094FF4"/>
    <w:rsid w:val="00095A28"/>
    <w:rsid w:val="00096659"/>
    <w:rsid w:val="0009759B"/>
    <w:rsid w:val="00097A28"/>
    <w:rsid w:val="00097E77"/>
    <w:rsid w:val="000A31A1"/>
    <w:rsid w:val="000A7EF9"/>
    <w:rsid w:val="000B6AF8"/>
    <w:rsid w:val="000B7D5F"/>
    <w:rsid w:val="000B7FD9"/>
    <w:rsid w:val="000C2BDE"/>
    <w:rsid w:val="000C2EAD"/>
    <w:rsid w:val="000C4491"/>
    <w:rsid w:val="000C50DA"/>
    <w:rsid w:val="000C58B9"/>
    <w:rsid w:val="000C6C45"/>
    <w:rsid w:val="000C7045"/>
    <w:rsid w:val="000C776D"/>
    <w:rsid w:val="000C7787"/>
    <w:rsid w:val="000D1333"/>
    <w:rsid w:val="000E2181"/>
    <w:rsid w:val="000E22C0"/>
    <w:rsid w:val="000F0414"/>
    <w:rsid w:val="000F12E1"/>
    <w:rsid w:val="000F1375"/>
    <w:rsid w:val="000F1C3B"/>
    <w:rsid w:val="000F28A9"/>
    <w:rsid w:val="000F38D8"/>
    <w:rsid w:val="0010242E"/>
    <w:rsid w:val="001041A7"/>
    <w:rsid w:val="00104C21"/>
    <w:rsid w:val="00105E58"/>
    <w:rsid w:val="00106534"/>
    <w:rsid w:val="00107C3D"/>
    <w:rsid w:val="00110A2F"/>
    <w:rsid w:val="00113F4C"/>
    <w:rsid w:val="00115315"/>
    <w:rsid w:val="00121205"/>
    <w:rsid w:val="00122154"/>
    <w:rsid w:val="001232E1"/>
    <w:rsid w:val="001318D4"/>
    <w:rsid w:val="00132D7D"/>
    <w:rsid w:val="00133722"/>
    <w:rsid w:val="00134EC7"/>
    <w:rsid w:val="00136A23"/>
    <w:rsid w:val="00141236"/>
    <w:rsid w:val="001412FC"/>
    <w:rsid w:val="00142BFC"/>
    <w:rsid w:val="00143984"/>
    <w:rsid w:val="001450FA"/>
    <w:rsid w:val="001468BF"/>
    <w:rsid w:val="00146A2D"/>
    <w:rsid w:val="00151A0C"/>
    <w:rsid w:val="00152D54"/>
    <w:rsid w:val="00155FDA"/>
    <w:rsid w:val="00156FF4"/>
    <w:rsid w:val="00160695"/>
    <w:rsid w:val="001616D7"/>
    <w:rsid w:val="00161E01"/>
    <w:rsid w:val="001622B8"/>
    <w:rsid w:val="0016280C"/>
    <w:rsid w:val="001638F8"/>
    <w:rsid w:val="001650EE"/>
    <w:rsid w:val="0016686F"/>
    <w:rsid w:val="00166ADF"/>
    <w:rsid w:val="00167AC3"/>
    <w:rsid w:val="00172DFE"/>
    <w:rsid w:val="001742BF"/>
    <w:rsid w:val="001760A5"/>
    <w:rsid w:val="00177124"/>
    <w:rsid w:val="00180828"/>
    <w:rsid w:val="00184D92"/>
    <w:rsid w:val="001917BF"/>
    <w:rsid w:val="00193DEC"/>
    <w:rsid w:val="0019750B"/>
    <w:rsid w:val="001A463C"/>
    <w:rsid w:val="001A7FCC"/>
    <w:rsid w:val="001B03BF"/>
    <w:rsid w:val="001B0FE5"/>
    <w:rsid w:val="001B26C0"/>
    <w:rsid w:val="001B4E51"/>
    <w:rsid w:val="001C0C41"/>
    <w:rsid w:val="001C5D5C"/>
    <w:rsid w:val="001C6BB2"/>
    <w:rsid w:val="001D1F89"/>
    <w:rsid w:val="001E0942"/>
    <w:rsid w:val="001E0CD3"/>
    <w:rsid w:val="001E18EB"/>
    <w:rsid w:val="001E3E7E"/>
    <w:rsid w:val="001E3F8D"/>
    <w:rsid w:val="001E6698"/>
    <w:rsid w:val="001E7F72"/>
    <w:rsid w:val="001F1783"/>
    <w:rsid w:val="001F361B"/>
    <w:rsid w:val="001F4566"/>
    <w:rsid w:val="001F4F87"/>
    <w:rsid w:val="00200BEA"/>
    <w:rsid w:val="0020194C"/>
    <w:rsid w:val="00202D6E"/>
    <w:rsid w:val="00202EC0"/>
    <w:rsid w:val="002046D2"/>
    <w:rsid w:val="00204AD7"/>
    <w:rsid w:val="00211A36"/>
    <w:rsid w:val="00212A15"/>
    <w:rsid w:val="002135F5"/>
    <w:rsid w:val="00213CB4"/>
    <w:rsid w:val="002201CC"/>
    <w:rsid w:val="002215AA"/>
    <w:rsid w:val="002224F7"/>
    <w:rsid w:val="0022256D"/>
    <w:rsid w:val="00223C87"/>
    <w:rsid w:val="00227B49"/>
    <w:rsid w:val="00232B14"/>
    <w:rsid w:val="0023313F"/>
    <w:rsid w:val="00236790"/>
    <w:rsid w:val="00237A72"/>
    <w:rsid w:val="00241882"/>
    <w:rsid w:val="002427DD"/>
    <w:rsid w:val="00242DEA"/>
    <w:rsid w:val="0024431C"/>
    <w:rsid w:val="00245750"/>
    <w:rsid w:val="0025531B"/>
    <w:rsid w:val="00256F0C"/>
    <w:rsid w:val="002614C5"/>
    <w:rsid w:val="00263E91"/>
    <w:rsid w:val="00267282"/>
    <w:rsid w:val="00272E32"/>
    <w:rsid w:val="002743DB"/>
    <w:rsid w:val="002752D7"/>
    <w:rsid w:val="00276CA2"/>
    <w:rsid w:val="002800BC"/>
    <w:rsid w:val="0028073E"/>
    <w:rsid w:val="0029003A"/>
    <w:rsid w:val="002918F4"/>
    <w:rsid w:val="00294026"/>
    <w:rsid w:val="002945CF"/>
    <w:rsid w:val="00294E5D"/>
    <w:rsid w:val="0029623D"/>
    <w:rsid w:val="002A0EC8"/>
    <w:rsid w:val="002A5597"/>
    <w:rsid w:val="002A5CA6"/>
    <w:rsid w:val="002B29A8"/>
    <w:rsid w:val="002B30B6"/>
    <w:rsid w:val="002B4F5B"/>
    <w:rsid w:val="002B6105"/>
    <w:rsid w:val="002B6E7A"/>
    <w:rsid w:val="002C0345"/>
    <w:rsid w:val="002C20D5"/>
    <w:rsid w:val="002C6066"/>
    <w:rsid w:val="002C681C"/>
    <w:rsid w:val="002C7EC6"/>
    <w:rsid w:val="002D17F0"/>
    <w:rsid w:val="002D2835"/>
    <w:rsid w:val="002D5380"/>
    <w:rsid w:val="002D563A"/>
    <w:rsid w:val="002D698B"/>
    <w:rsid w:val="002E252C"/>
    <w:rsid w:val="002E32EC"/>
    <w:rsid w:val="002E6657"/>
    <w:rsid w:val="002E694B"/>
    <w:rsid w:val="002F5F3C"/>
    <w:rsid w:val="002F6661"/>
    <w:rsid w:val="0030120E"/>
    <w:rsid w:val="00301820"/>
    <w:rsid w:val="003030EC"/>
    <w:rsid w:val="003032E6"/>
    <w:rsid w:val="003033BC"/>
    <w:rsid w:val="00305283"/>
    <w:rsid w:val="003078DC"/>
    <w:rsid w:val="0031053C"/>
    <w:rsid w:val="00313A2E"/>
    <w:rsid w:val="003150B0"/>
    <w:rsid w:val="00321572"/>
    <w:rsid w:val="0032185C"/>
    <w:rsid w:val="00322877"/>
    <w:rsid w:val="003279D0"/>
    <w:rsid w:val="003279EF"/>
    <w:rsid w:val="003312B2"/>
    <w:rsid w:val="00331D50"/>
    <w:rsid w:val="00332C19"/>
    <w:rsid w:val="003335AB"/>
    <w:rsid w:val="003343E6"/>
    <w:rsid w:val="0033540A"/>
    <w:rsid w:val="0033651C"/>
    <w:rsid w:val="003436DC"/>
    <w:rsid w:val="0034558F"/>
    <w:rsid w:val="00346492"/>
    <w:rsid w:val="00346FE9"/>
    <w:rsid w:val="00350BAF"/>
    <w:rsid w:val="00351026"/>
    <w:rsid w:val="003616F3"/>
    <w:rsid w:val="00364CC2"/>
    <w:rsid w:val="00364DF2"/>
    <w:rsid w:val="00365366"/>
    <w:rsid w:val="00366DAC"/>
    <w:rsid w:val="0037078E"/>
    <w:rsid w:val="003708AB"/>
    <w:rsid w:val="0037097D"/>
    <w:rsid w:val="00372574"/>
    <w:rsid w:val="003741DE"/>
    <w:rsid w:val="00376359"/>
    <w:rsid w:val="00376456"/>
    <w:rsid w:val="003773E7"/>
    <w:rsid w:val="00377F70"/>
    <w:rsid w:val="003828D7"/>
    <w:rsid w:val="003832C2"/>
    <w:rsid w:val="00391AC5"/>
    <w:rsid w:val="0039246E"/>
    <w:rsid w:val="00393E6B"/>
    <w:rsid w:val="003A2ACD"/>
    <w:rsid w:val="003A3179"/>
    <w:rsid w:val="003A559A"/>
    <w:rsid w:val="003A750D"/>
    <w:rsid w:val="003B057F"/>
    <w:rsid w:val="003B3DE9"/>
    <w:rsid w:val="003B4659"/>
    <w:rsid w:val="003B5C9A"/>
    <w:rsid w:val="003B7BB8"/>
    <w:rsid w:val="003C1F8A"/>
    <w:rsid w:val="003C6BDA"/>
    <w:rsid w:val="003D1A5D"/>
    <w:rsid w:val="003D45F0"/>
    <w:rsid w:val="003D7726"/>
    <w:rsid w:val="003D7A86"/>
    <w:rsid w:val="003E23FE"/>
    <w:rsid w:val="003E4826"/>
    <w:rsid w:val="003E4BB1"/>
    <w:rsid w:val="003E59E4"/>
    <w:rsid w:val="003E5BC2"/>
    <w:rsid w:val="003E626E"/>
    <w:rsid w:val="003E6782"/>
    <w:rsid w:val="003F0517"/>
    <w:rsid w:val="003F4E33"/>
    <w:rsid w:val="003F611F"/>
    <w:rsid w:val="003F7AAE"/>
    <w:rsid w:val="00400231"/>
    <w:rsid w:val="00400602"/>
    <w:rsid w:val="00400888"/>
    <w:rsid w:val="00401378"/>
    <w:rsid w:val="00403084"/>
    <w:rsid w:val="004036AA"/>
    <w:rsid w:val="004045D2"/>
    <w:rsid w:val="00410B1D"/>
    <w:rsid w:val="00414AA4"/>
    <w:rsid w:val="004209AE"/>
    <w:rsid w:val="00420A57"/>
    <w:rsid w:val="00421B77"/>
    <w:rsid w:val="004242D1"/>
    <w:rsid w:val="0042586A"/>
    <w:rsid w:val="00425E60"/>
    <w:rsid w:val="004307F6"/>
    <w:rsid w:val="00432939"/>
    <w:rsid w:val="00432E6E"/>
    <w:rsid w:val="00433D82"/>
    <w:rsid w:val="00434745"/>
    <w:rsid w:val="0043509D"/>
    <w:rsid w:val="00436132"/>
    <w:rsid w:val="0043654A"/>
    <w:rsid w:val="0044042C"/>
    <w:rsid w:val="00440CA5"/>
    <w:rsid w:val="00442990"/>
    <w:rsid w:val="00446DAF"/>
    <w:rsid w:val="0045054A"/>
    <w:rsid w:val="004566B6"/>
    <w:rsid w:val="004568F4"/>
    <w:rsid w:val="00463751"/>
    <w:rsid w:val="004654B0"/>
    <w:rsid w:val="00465840"/>
    <w:rsid w:val="00466F15"/>
    <w:rsid w:val="0047517D"/>
    <w:rsid w:val="004751BC"/>
    <w:rsid w:val="00477171"/>
    <w:rsid w:val="00477A3C"/>
    <w:rsid w:val="004814C1"/>
    <w:rsid w:val="00491882"/>
    <w:rsid w:val="00492073"/>
    <w:rsid w:val="004A1CCE"/>
    <w:rsid w:val="004A59D7"/>
    <w:rsid w:val="004A5D2A"/>
    <w:rsid w:val="004B1630"/>
    <w:rsid w:val="004B2C24"/>
    <w:rsid w:val="004B4337"/>
    <w:rsid w:val="004B5A18"/>
    <w:rsid w:val="004B70E8"/>
    <w:rsid w:val="004C0B96"/>
    <w:rsid w:val="004C1AAA"/>
    <w:rsid w:val="004C4115"/>
    <w:rsid w:val="004C452C"/>
    <w:rsid w:val="004C479B"/>
    <w:rsid w:val="004C49DF"/>
    <w:rsid w:val="004C57A2"/>
    <w:rsid w:val="004C67E0"/>
    <w:rsid w:val="004D1546"/>
    <w:rsid w:val="004D17BD"/>
    <w:rsid w:val="004D5631"/>
    <w:rsid w:val="004D5F95"/>
    <w:rsid w:val="004D69FA"/>
    <w:rsid w:val="004D7644"/>
    <w:rsid w:val="004E3A27"/>
    <w:rsid w:val="004E3FA6"/>
    <w:rsid w:val="004F39A5"/>
    <w:rsid w:val="004F3D20"/>
    <w:rsid w:val="004F6AA4"/>
    <w:rsid w:val="004F7211"/>
    <w:rsid w:val="00503B67"/>
    <w:rsid w:val="00506369"/>
    <w:rsid w:val="00514851"/>
    <w:rsid w:val="00515848"/>
    <w:rsid w:val="00516B75"/>
    <w:rsid w:val="00517425"/>
    <w:rsid w:val="00521527"/>
    <w:rsid w:val="00521EBC"/>
    <w:rsid w:val="005242D6"/>
    <w:rsid w:val="00524391"/>
    <w:rsid w:val="00524CD8"/>
    <w:rsid w:val="00525ED8"/>
    <w:rsid w:val="00526275"/>
    <w:rsid w:val="00531269"/>
    <w:rsid w:val="005345AB"/>
    <w:rsid w:val="00536588"/>
    <w:rsid w:val="00536837"/>
    <w:rsid w:val="00540B05"/>
    <w:rsid w:val="00540F2A"/>
    <w:rsid w:val="00541A86"/>
    <w:rsid w:val="005439C1"/>
    <w:rsid w:val="00544436"/>
    <w:rsid w:val="00544E8F"/>
    <w:rsid w:val="005471E5"/>
    <w:rsid w:val="005507ED"/>
    <w:rsid w:val="00551D8F"/>
    <w:rsid w:val="00553025"/>
    <w:rsid w:val="005536B9"/>
    <w:rsid w:val="005605CC"/>
    <w:rsid w:val="00566877"/>
    <w:rsid w:val="0056758E"/>
    <w:rsid w:val="005710FA"/>
    <w:rsid w:val="0057200E"/>
    <w:rsid w:val="00573913"/>
    <w:rsid w:val="0057468C"/>
    <w:rsid w:val="0057528C"/>
    <w:rsid w:val="00581EBE"/>
    <w:rsid w:val="00584634"/>
    <w:rsid w:val="00585356"/>
    <w:rsid w:val="005873A2"/>
    <w:rsid w:val="00587B42"/>
    <w:rsid w:val="00587B5F"/>
    <w:rsid w:val="0059050B"/>
    <w:rsid w:val="005A0EC4"/>
    <w:rsid w:val="005A0FB9"/>
    <w:rsid w:val="005A112A"/>
    <w:rsid w:val="005A2DFD"/>
    <w:rsid w:val="005A6672"/>
    <w:rsid w:val="005B0388"/>
    <w:rsid w:val="005B04A7"/>
    <w:rsid w:val="005B0FE4"/>
    <w:rsid w:val="005B2667"/>
    <w:rsid w:val="005B4FC9"/>
    <w:rsid w:val="005B641B"/>
    <w:rsid w:val="005B7E6B"/>
    <w:rsid w:val="005C0649"/>
    <w:rsid w:val="005C099E"/>
    <w:rsid w:val="005C1CF9"/>
    <w:rsid w:val="005C32E9"/>
    <w:rsid w:val="005C4677"/>
    <w:rsid w:val="005C617F"/>
    <w:rsid w:val="005C6873"/>
    <w:rsid w:val="005D2530"/>
    <w:rsid w:val="005E27E9"/>
    <w:rsid w:val="005E365D"/>
    <w:rsid w:val="005E4008"/>
    <w:rsid w:val="005E5AF8"/>
    <w:rsid w:val="005F29B1"/>
    <w:rsid w:val="005F2BDA"/>
    <w:rsid w:val="005F3534"/>
    <w:rsid w:val="005F4F99"/>
    <w:rsid w:val="005F4F9F"/>
    <w:rsid w:val="005F5144"/>
    <w:rsid w:val="005F5A7A"/>
    <w:rsid w:val="006013DF"/>
    <w:rsid w:val="0060167B"/>
    <w:rsid w:val="006018B2"/>
    <w:rsid w:val="006044D3"/>
    <w:rsid w:val="00606E83"/>
    <w:rsid w:val="006148F2"/>
    <w:rsid w:val="00617B1C"/>
    <w:rsid w:val="00622B0C"/>
    <w:rsid w:val="006246A6"/>
    <w:rsid w:val="00625063"/>
    <w:rsid w:val="00634D3B"/>
    <w:rsid w:val="006356AE"/>
    <w:rsid w:val="0063744B"/>
    <w:rsid w:val="0063788F"/>
    <w:rsid w:val="00640978"/>
    <w:rsid w:val="00641E7D"/>
    <w:rsid w:val="006422CE"/>
    <w:rsid w:val="00651CB6"/>
    <w:rsid w:val="0065788D"/>
    <w:rsid w:val="00666928"/>
    <w:rsid w:val="00666A06"/>
    <w:rsid w:val="006704E2"/>
    <w:rsid w:val="00675EC7"/>
    <w:rsid w:val="00675EE5"/>
    <w:rsid w:val="00680C2D"/>
    <w:rsid w:val="006833FF"/>
    <w:rsid w:val="00683EFE"/>
    <w:rsid w:val="00683FB3"/>
    <w:rsid w:val="00684A73"/>
    <w:rsid w:val="00685A03"/>
    <w:rsid w:val="006925A1"/>
    <w:rsid w:val="00692FF5"/>
    <w:rsid w:val="00695CBF"/>
    <w:rsid w:val="00695EB9"/>
    <w:rsid w:val="006A1148"/>
    <w:rsid w:val="006A447E"/>
    <w:rsid w:val="006A77B5"/>
    <w:rsid w:val="006B11C9"/>
    <w:rsid w:val="006B4F71"/>
    <w:rsid w:val="006B51A5"/>
    <w:rsid w:val="006B64D8"/>
    <w:rsid w:val="006C1019"/>
    <w:rsid w:val="006C3685"/>
    <w:rsid w:val="006C487D"/>
    <w:rsid w:val="006C7584"/>
    <w:rsid w:val="006D12B3"/>
    <w:rsid w:val="006D14C6"/>
    <w:rsid w:val="006D2EB6"/>
    <w:rsid w:val="006D3570"/>
    <w:rsid w:val="006D5DEC"/>
    <w:rsid w:val="006D5FF7"/>
    <w:rsid w:val="006D6B4D"/>
    <w:rsid w:val="006D6F4E"/>
    <w:rsid w:val="006E149A"/>
    <w:rsid w:val="006E1A6C"/>
    <w:rsid w:val="006E4A02"/>
    <w:rsid w:val="006F15DA"/>
    <w:rsid w:val="006F31C9"/>
    <w:rsid w:val="0070069B"/>
    <w:rsid w:val="00700888"/>
    <w:rsid w:val="007012F7"/>
    <w:rsid w:val="00702407"/>
    <w:rsid w:val="00705301"/>
    <w:rsid w:val="00707D36"/>
    <w:rsid w:val="00710569"/>
    <w:rsid w:val="00711CB2"/>
    <w:rsid w:val="00712480"/>
    <w:rsid w:val="00712779"/>
    <w:rsid w:val="00714843"/>
    <w:rsid w:val="007160FC"/>
    <w:rsid w:val="007224DB"/>
    <w:rsid w:val="007230A2"/>
    <w:rsid w:val="007246DA"/>
    <w:rsid w:val="00724A3D"/>
    <w:rsid w:val="00725BEC"/>
    <w:rsid w:val="00725C5D"/>
    <w:rsid w:val="00726CA8"/>
    <w:rsid w:val="00732167"/>
    <w:rsid w:val="0073487A"/>
    <w:rsid w:val="0073518A"/>
    <w:rsid w:val="0073604D"/>
    <w:rsid w:val="007379D3"/>
    <w:rsid w:val="0074156C"/>
    <w:rsid w:val="00742F82"/>
    <w:rsid w:val="00743A9B"/>
    <w:rsid w:val="00747D42"/>
    <w:rsid w:val="00752ACF"/>
    <w:rsid w:val="0075757F"/>
    <w:rsid w:val="00760B70"/>
    <w:rsid w:val="00761293"/>
    <w:rsid w:val="00761ECA"/>
    <w:rsid w:val="007636D9"/>
    <w:rsid w:val="00766D67"/>
    <w:rsid w:val="007751A2"/>
    <w:rsid w:val="00775748"/>
    <w:rsid w:val="00776A71"/>
    <w:rsid w:val="007926DE"/>
    <w:rsid w:val="007928CB"/>
    <w:rsid w:val="00793BAD"/>
    <w:rsid w:val="00796E51"/>
    <w:rsid w:val="007A0063"/>
    <w:rsid w:val="007A0626"/>
    <w:rsid w:val="007A24B2"/>
    <w:rsid w:val="007A40A2"/>
    <w:rsid w:val="007A4D27"/>
    <w:rsid w:val="007B1C55"/>
    <w:rsid w:val="007B390D"/>
    <w:rsid w:val="007B3D27"/>
    <w:rsid w:val="007B4573"/>
    <w:rsid w:val="007B4FE8"/>
    <w:rsid w:val="007B5F63"/>
    <w:rsid w:val="007C2947"/>
    <w:rsid w:val="007D04C3"/>
    <w:rsid w:val="007D2A33"/>
    <w:rsid w:val="007D4FD4"/>
    <w:rsid w:val="007D5C81"/>
    <w:rsid w:val="007D616D"/>
    <w:rsid w:val="007E02E8"/>
    <w:rsid w:val="007E462E"/>
    <w:rsid w:val="007E5163"/>
    <w:rsid w:val="007E66BF"/>
    <w:rsid w:val="007E6B58"/>
    <w:rsid w:val="007E6EEC"/>
    <w:rsid w:val="007F0ADC"/>
    <w:rsid w:val="007F12CE"/>
    <w:rsid w:val="007F1C82"/>
    <w:rsid w:val="007F3DEB"/>
    <w:rsid w:val="00804909"/>
    <w:rsid w:val="00805E10"/>
    <w:rsid w:val="00806184"/>
    <w:rsid w:val="00811DD1"/>
    <w:rsid w:val="008129A4"/>
    <w:rsid w:val="00814AEE"/>
    <w:rsid w:val="008163BB"/>
    <w:rsid w:val="00817EDD"/>
    <w:rsid w:val="008263BB"/>
    <w:rsid w:val="00834912"/>
    <w:rsid w:val="008350FC"/>
    <w:rsid w:val="00836090"/>
    <w:rsid w:val="00842CD7"/>
    <w:rsid w:val="00843A54"/>
    <w:rsid w:val="00844312"/>
    <w:rsid w:val="0084572B"/>
    <w:rsid w:val="00850FCF"/>
    <w:rsid w:val="008523F1"/>
    <w:rsid w:val="0085371B"/>
    <w:rsid w:val="00853B89"/>
    <w:rsid w:val="00854795"/>
    <w:rsid w:val="008550A3"/>
    <w:rsid w:val="008606F8"/>
    <w:rsid w:val="00860746"/>
    <w:rsid w:val="0086164A"/>
    <w:rsid w:val="0086270E"/>
    <w:rsid w:val="008629D0"/>
    <w:rsid w:val="0086580D"/>
    <w:rsid w:val="00870052"/>
    <w:rsid w:val="00872B96"/>
    <w:rsid w:val="00876E7A"/>
    <w:rsid w:val="00877067"/>
    <w:rsid w:val="00877D68"/>
    <w:rsid w:val="00882045"/>
    <w:rsid w:val="00882B4A"/>
    <w:rsid w:val="008856BA"/>
    <w:rsid w:val="008952E8"/>
    <w:rsid w:val="008A1AF3"/>
    <w:rsid w:val="008A6C54"/>
    <w:rsid w:val="008B0911"/>
    <w:rsid w:val="008B2EC4"/>
    <w:rsid w:val="008B4D29"/>
    <w:rsid w:val="008B4FBC"/>
    <w:rsid w:val="008B6961"/>
    <w:rsid w:val="008C35BA"/>
    <w:rsid w:val="008C6048"/>
    <w:rsid w:val="008C6065"/>
    <w:rsid w:val="008C6B1D"/>
    <w:rsid w:val="008D05D8"/>
    <w:rsid w:val="008D19B2"/>
    <w:rsid w:val="008D205B"/>
    <w:rsid w:val="008D498D"/>
    <w:rsid w:val="008D4A0C"/>
    <w:rsid w:val="008D55CB"/>
    <w:rsid w:val="008D6665"/>
    <w:rsid w:val="008D79B1"/>
    <w:rsid w:val="008E1520"/>
    <w:rsid w:val="008F14EE"/>
    <w:rsid w:val="008F4ACF"/>
    <w:rsid w:val="008F56E9"/>
    <w:rsid w:val="008F69BF"/>
    <w:rsid w:val="00903465"/>
    <w:rsid w:val="00905746"/>
    <w:rsid w:val="009062EE"/>
    <w:rsid w:val="00910968"/>
    <w:rsid w:val="0091734A"/>
    <w:rsid w:val="00920A45"/>
    <w:rsid w:val="00920BF5"/>
    <w:rsid w:val="00922E0A"/>
    <w:rsid w:val="0092389D"/>
    <w:rsid w:val="00924320"/>
    <w:rsid w:val="00924FCD"/>
    <w:rsid w:val="009268A1"/>
    <w:rsid w:val="00934E84"/>
    <w:rsid w:val="00935E54"/>
    <w:rsid w:val="00936878"/>
    <w:rsid w:val="00937333"/>
    <w:rsid w:val="009375A8"/>
    <w:rsid w:val="00937A5C"/>
    <w:rsid w:val="00937A7D"/>
    <w:rsid w:val="00942B8F"/>
    <w:rsid w:val="00942E4F"/>
    <w:rsid w:val="00944880"/>
    <w:rsid w:val="00947722"/>
    <w:rsid w:val="0095394C"/>
    <w:rsid w:val="00954095"/>
    <w:rsid w:val="00957356"/>
    <w:rsid w:val="009576FD"/>
    <w:rsid w:val="009601BB"/>
    <w:rsid w:val="009638E6"/>
    <w:rsid w:val="00964D45"/>
    <w:rsid w:val="0097193C"/>
    <w:rsid w:val="009732B2"/>
    <w:rsid w:val="009813C3"/>
    <w:rsid w:val="0099004D"/>
    <w:rsid w:val="00990C7A"/>
    <w:rsid w:val="009911C5"/>
    <w:rsid w:val="00993480"/>
    <w:rsid w:val="009974AE"/>
    <w:rsid w:val="0099784D"/>
    <w:rsid w:val="009A0828"/>
    <w:rsid w:val="009A0A2C"/>
    <w:rsid w:val="009B2CD2"/>
    <w:rsid w:val="009B6EFE"/>
    <w:rsid w:val="009C0131"/>
    <w:rsid w:val="009C4CEF"/>
    <w:rsid w:val="009C5C06"/>
    <w:rsid w:val="009D5E4E"/>
    <w:rsid w:val="009D72FE"/>
    <w:rsid w:val="009E0EA4"/>
    <w:rsid w:val="009E47EB"/>
    <w:rsid w:val="009E56FD"/>
    <w:rsid w:val="009E5C54"/>
    <w:rsid w:val="009F1A34"/>
    <w:rsid w:val="009F258A"/>
    <w:rsid w:val="009F259C"/>
    <w:rsid w:val="009F5BCE"/>
    <w:rsid w:val="00A0242E"/>
    <w:rsid w:val="00A05CDC"/>
    <w:rsid w:val="00A10D68"/>
    <w:rsid w:val="00A123B5"/>
    <w:rsid w:val="00A157AB"/>
    <w:rsid w:val="00A1748D"/>
    <w:rsid w:val="00A23EE2"/>
    <w:rsid w:val="00A255A3"/>
    <w:rsid w:val="00A25CF8"/>
    <w:rsid w:val="00A271BD"/>
    <w:rsid w:val="00A30A09"/>
    <w:rsid w:val="00A3197E"/>
    <w:rsid w:val="00A3290E"/>
    <w:rsid w:val="00A33D9B"/>
    <w:rsid w:val="00A3723E"/>
    <w:rsid w:val="00A40564"/>
    <w:rsid w:val="00A40AD0"/>
    <w:rsid w:val="00A422BF"/>
    <w:rsid w:val="00A427CA"/>
    <w:rsid w:val="00A43332"/>
    <w:rsid w:val="00A441E4"/>
    <w:rsid w:val="00A519C7"/>
    <w:rsid w:val="00A52F8B"/>
    <w:rsid w:val="00A54C01"/>
    <w:rsid w:val="00A54D89"/>
    <w:rsid w:val="00A55298"/>
    <w:rsid w:val="00A56AD4"/>
    <w:rsid w:val="00A574F5"/>
    <w:rsid w:val="00A64A8F"/>
    <w:rsid w:val="00A67BFA"/>
    <w:rsid w:val="00A723F3"/>
    <w:rsid w:val="00A72F08"/>
    <w:rsid w:val="00A7380A"/>
    <w:rsid w:val="00A75E8E"/>
    <w:rsid w:val="00A84521"/>
    <w:rsid w:val="00A85A53"/>
    <w:rsid w:val="00A869E7"/>
    <w:rsid w:val="00A870DE"/>
    <w:rsid w:val="00A908A1"/>
    <w:rsid w:val="00A959C7"/>
    <w:rsid w:val="00AA3094"/>
    <w:rsid w:val="00AA40CE"/>
    <w:rsid w:val="00AA42D9"/>
    <w:rsid w:val="00AA4D2A"/>
    <w:rsid w:val="00AA5E2A"/>
    <w:rsid w:val="00AA6816"/>
    <w:rsid w:val="00AB0B2F"/>
    <w:rsid w:val="00AB136D"/>
    <w:rsid w:val="00AB4E72"/>
    <w:rsid w:val="00AB5E63"/>
    <w:rsid w:val="00AC1636"/>
    <w:rsid w:val="00AC1763"/>
    <w:rsid w:val="00AC3053"/>
    <w:rsid w:val="00AD38B3"/>
    <w:rsid w:val="00AD5543"/>
    <w:rsid w:val="00AE12E1"/>
    <w:rsid w:val="00AE201A"/>
    <w:rsid w:val="00AE3AB5"/>
    <w:rsid w:val="00AE69C4"/>
    <w:rsid w:val="00AE6B4B"/>
    <w:rsid w:val="00AF0781"/>
    <w:rsid w:val="00AF429A"/>
    <w:rsid w:val="00AF4610"/>
    <w:rsid w:val="00AF66C3"/>
    <w:rsid w:val="00B0211A"/>
    <w:rsid w:val="00B128F0"/>
    <w:rsid w:val="00B12F2D"/>
    <w:rsid w:val="00B1333C"/>
    <w:rsid w:val="00B15212"/>
    <w:rsid w:val="00B171A5"/>
    <w:rsid w:val="00B20622"/>
    <w:rsid w:val="00B22397"/>
    <w:rsid w:val="00B223EB"/>
    <w:rsid w:val="00B22FE5"/>
    <w:rsid w:val="00B300DC"/>
    <w:rsid w:val="00B31BDB"/>
    <w:rsid w:val="00B34057"/>
    <w:rsid w:val="00B3489C"/>
    <w:rsid w:val="00B35E01"/>
    <w:rsid w:val="00B36280"/>
    <w:rsid w:val="00B36E2A"/>
    <w:rsid w:val="00B407CA"/>
    <w:rsid w:val="00B416EF"/>
    <w:rsid w:val="00B417D0"/>
    <w:rsid w:val="00B437A5"/>
    <w:rsid w:val="00B4642A"/>
    <w:rsid w:val="00B46714"/>
    <w:rsid w:val="00B47B13"/>
    <w:rsid w:val="00B47D73"/>
    <w:rsid w:val="00B52B0C"/>
    <w:rsid w:val="00B52B6B"/>
    <w:rsid w:val="00B61ABF"/>
    <w:rsid w:val="00B6578D"/>
    <w:rsid w:val="00B67FC4"/>
    <w:rsid w:val="00B70482"/>
    <w:rsid w:val="00B70918"/>
    <w:rsid w:val="00B715CB"/>
    <w:rsid w:val="00B71633"/>
    <w:rsid w:val="00B75A96"/>
    <w:rsid w:val="00B7648C"/>
    <w:rsid w:val="00B76D28"/>
    <w:rsid w:val="00B76DFC"/>
    <w:rsid w:val="00B90F3D"/>
    <w:rsid w:val="00B91117"/>
    <w:rsid w:val="00B9233B"/>
    <w:rsid w:val="00B9420B"/>
    <w:rsid w:val="00B942F7"/>
    <w:rsid w:val="00B94906"/>
    <w:rsid w:val="00BA17E8"/>
    <w:rsid w:val="00BA1D6C"/>
    <w:rsid w:val="00BA663F"/>
    <w:rsid w:val="00BA6827"/>
    <w:rsid w:val="00BA6A3A"/>
    <w:rsid w:val="00BA7CF4"/>
    <w:rsid w:val="00BB077D"/>
    <w:rsid w:val="00BB07BB"/>
    <w:rsid w:val="00BB1FCC"/>
    <w:rsid w:val="00BB23D0"/>
    <w:rsid w:val="00BB293B"/>
    <w:rsid w:val="00BB3441"/>
    <w:rsid w:val="00BB40BF"/>
    <w:rsid w:val="00BC06AF"/>
    <w:rsid w:val="00BC0D65"/>
    <w:rsid w:val="00BC41BE"/>
    <w:rsid w:val="00BC44EB"/>
    <w:rsid w:val="00BC6756"/>
    <w:rsid w:val="00BC6AB7"/>
    <w:rsid w:val="00BD36AA"/>
    <w:rsid w:val="00BD3C44"/>
    <w:rsid w:val="00BD415A"/>
    <w:rsid w:val="00BD7F43"/>
    <w:rsid w:val="00BE03E3"/>
    <w:rsid w:val="00BE1726"/>
    <w:rsid w:val="00BE2D80"/>
    <w:rsid w:val="00BE2F9C"/>
    <w:rsid w:val="00BE3B9B"/>
    <w:rsid w:val="00BE4BC8"/>
    <w:rsid w:val="00BE725B"/>
    <w:rsid w:val="00BF0C9F"/>
    <w:rsid w:val="00BF1A04"/>
    <w:rsid w:val="00BF74AB"/>
    <w:rsid w:val="00BF74B3"/>
    <w:rsid w:val="00BF7E34"/>
    <w:rsid w:val="00BF7E6D"/>
    <w:rsid w:val="00C0024F"/>
    <w:rsid w:val="00C00CB4"/>
    <w:rsid w:val="00C04FDD"/>
    <w:rsid w:val="00C07DDC"/>
    <w:rsid w:val="00C14889"/>
    <w:rsid w:val="00C14F6B"/>
    <w:rsid w:val="00C16294"/>
    <w:rsid w:val="00C16570"/>
    <w:rsid w:val="00C17A54"/>
    <w:rsid w:val="00C202B0"/>
    <w:rsid w:val="00C205F6"/>
    <w:rsid w:val="00C2141B"/>
    <w:rsid w:val="00C21E9E"/>
    <w:rsid w:val="00C2286B"/>
    <w:rsid w:val="00C22B7C"/>
    <w:rsid w:val="00C24545"/>
    <w:rsid w:val="00C3283D"/>
    <w:rsid w:val="00C34739"/>
    <w:rsid w:val="00C369A8"/>
    <w:rsid w:val="00C36D00"/>
    <w:rsid w:val="00C4110C"/>
    <w:rsid w:val="00C413DA"/>
    <w:rsid w:val="00C41D90"/>
    <w:rsid w:val="00C470D0"/>
    <w:rsid w:val="00C514B9"/>
    <w:rsid w:val="00C516BA"/>
    <w:rsid w:val="00C52239"/>
    <w:rsid w:val="00C53956"/>
    <w:rsid w:val="00C55110"/>
    <w:rsid w:val="00C56F0A"/>
    <w:rsid w:val="00C5792D"/>
    <w:rsid w:val="00C60B21"/>
    <w:rsid w:val="00C61131"/>
    <w:rsid w:val="00C6162F"/>
    <w:rsid w:val="00C64702"/>
    <w:rsid w:val="00C65FF7"/>
    <w:rsid w:val="00C67A40"/>
    <w:rsid w:val="00C71A64"/>
    <w:rsid w:val="00C73217"/>
    <w:rsid w:val="00C84082"/>
    <w:rsid w:val="00C86278"/>
    <w:rsid w:val="00C942BF"/>
    <w:rsid w:val="00C956A2"/>
    <w:rsid w:val="00C957D3"/>
    <w:rsid w:val="00C95F07"/>
    <w:rsid w:val="00C96D74"/>
    <w:rsid w:val="00CA1CBD"/>
    <w:rsid w:val="00CA2322"/>
    <w:rsid w:val="00CA41F9"/>
    <w:rsid w:val="00CA6C73"/>
    <w:rsid w:val="00CA6E07"/>
    <w:rsid w:val="00CB2AC5"/>
    <w:rsid w:val="00CB30E0"/>
    <w:rsid w:val="00CB4B83"/>
    <w:rsid w:val="00CB60C7"/>
    <w:rsid w:val="00CB6E10"/>
    <w:rsid w:val="00CB715C"/>
    <w:rsid w:val="00CB72BF"/>
    <w:rsid w:val="00CC2D22"/>
    <w:rsid w:val="00CC37BC"/>
    <w:rsid w:val="00CC592E"/>
    <w:rsid w:val="00CC5ABF"/>
    <w:rsid w:val="00CC6388"/>
    <w:rsid w:val="00CD39C2"/>
    <w:rsid w:val="00CD6FC9"/>
    <w:rsid w:val="00CD7236"/>
    <w:rsid w:val="00CE0F54"/>
    <w:rsid w:val="00CE1630"/>
    <w:rsid w:val="00CE316E"/>
    <w:rsid w:val="00CE59A8"/>
    <w:rsid w:val="00CE5C02"/>
    <w:rsid w:val="00CF0098"/>
    <w:rsid w:val="00CF2758"/>
    <w:rsid w:val="00CF2B09"/>
    <w:rsid w:val="00CF3382"/>
    <w:rsid w:val="00CF341B"/>
    <w:rsid w:val="00CF440A"/>
    <w:rsid w:val="00CF6A2F"/>
    <w:rsid w:val="00D03B38"/>
    <w:rsid w:val="00D07F09"/>
    <w:rsid w:val="00D1101B"/>
    <w:rsid w:val="00D11719"/>
    <w:rsid w:val="00D12540"/>
    <w:rsid w:val="00D13FA3"/>
    <w:rsid w:val="00D14BFB"/>
    <w:rsid w:val="00D212A4"/>
    <w:rsid w:val="00D24B72"/>
    <w:rsid w:val="00D24D82"/>
    <w:rsid w:val="00D270D6"/>
    <w:rsid w:val="00D303DE"/>
    <w:rsid w:val="00D3259B"/>
    <w:rsid w:val="00D32E94"/>
    <w:rsid w:val="00D34270"/>
    <w:rsid w:val="00D34FD3"/>
    <w:rsid w:val="00D434CC"/>
    <w:rsid w:val="00D4368B"/>
    <w:rsid w:val="00D460DA"/>
    <w:rsid w:val="00D467B2"/>
    <w:rsid w:val="00D5006C"/>
    <w:rsid w:val="00D506B8"/>
    <w:rsid w:val="00D520F7"/>
    <w:rsid w:val="00D5466D"/>
    <w:rsid w:val="00D55859"/>
    <w:rsid w:val="00D57F4E"/>
    <w:rsid w:val="00D65957"/>
    <w:rsid w:val="00D65A75"/>
    <w:rsid w:val="00D66C50"/>
    <w:rsid w:val="00D700C6"/>
    <w:rsid w:val="00D71522"/>
    <w:rsid w:val="00D87FAF"/>
    <w:rsid w:val="00DA01B5"/>
    <w:rsid w:val="00DA180E"/>
    <w:rsid w:val="00DA20CD"/>
    <w:rsid w:val="00DA231B"/>
    <w:rsid w:val="00DA792D"/>
    <w:rsid w:val="00DB419F"/>
    <w:rsid w:val="00DB4A05"/>
    <w:rsid w:val="00DB4B24"/>
    <w:rsid w:val="00DB5110"/>
    <w:rsid w:val="00DB76DF"/>
    <w:rsid w:val="00DB7BC4"/>
    <w:rsid w:val="00DB7CC6"/>
    <w:rsid w:val="00DC111D"/>
    <w:rsid w:val="00DD1A21"/>
    <w:rsid w:val="00DD6350"/>
    <w:rsid w:val="00DE050E"/>
    <w:rsid w:val="00DE05D4"/>
    <w:rsid w:val="00DE28A7"/>
    <w:rsid w:val="00DE3172"/>
    <w:rsid w:val="00DF52B0"/>
    <w:rsid w:val="00DF7291"/>
    <w:rsid w:val="00E00F64"/>
    <w:rsid w:val="00E01309"/>
    <w:rsid w:val="00E02739"/>
    <w:rsid w:val="00E0355C"/>
    <w:rsid w:val="00E07476"/>
    <w:rsid w:val="00E12A83"/>
    <w:rsid w:val="00E15744"/>
    <w:rsid w:val="00E1654D"/>
    <w:rsid w:val="00E16A6B"/>
    <w:rsid w:val="00E17795"/>
    <w:rsid w:val="00E237BF"/>
    <w:rsid w:val="00E260FA"/>
    <w:rsid w:val="00E2660C"/>
    <w:rsid w:val="00E266BB"/>
    <w:rsid w:val="00E268F4"/>
    <w:rsid w:val="00E26C47"/>
    <w:rsid w:val="00E27414"/>
    <w:rsid w:val="00E31713"/>
    <w:rsid w:val="00E33A00"/>
    <w:rsid w:val="00E35A24"/>
    <w:rsid w:val="00E35E63"/>
    <w:rsid w:val="00E413B9"/>
    <w:rsid w:val="00E41783"/>
    <w:rsid w:val="00E43B5E"/>
    <w:rsid w:val="00E4481F"/>
    <w:rsid w:val="00E46072"/>
    <w:rsid w:val="00E51B17"/>
    <w:rsid w:val="00E52F92"/>
    <w:rsid w:val="00E53B9B"/>
    <w:rsid w:val="00E541CF"/>
    <w:rsid w:val="00E5420F"/>
    <w:rsid w:val="00E6294E"/>
    <w:rsid w:val="00E642A9"/>
    <w:rsid w:val="00E67CB5"/>
    <w:rsid w:val="00E700EA"/>
    <w:rsid w:val="00E700F5"/>
    <w:rsid w:val="00E746D4"/>
    <w:rsid w:val="00E800FE"/>
    <w:rsid w:val="00E81906"/>
    <w:rsid w:val="00E82BE5"/>
    <w:rsid w:val="00E82DED"/>
    <w:rsid w:val="00E8609F"/>
    <w:rsid w:val="00E90B32"/>
    <w:rsid w:val="00E9618A"/>
    <w:rsid w:val="00EA0A13"/>
    <w:rsid w:val="00EA4DC4"/>
    <w:rsid w:val="00EB0E98"/>
    <w:rsid w:val="00EB1305"/>
    <w:rsid w:val="00EB22BB"/>
    <w:rsid w:val="00EB4CF6"/>
    <w:rsid w:val="00EB7909"/>
    <w:rsid w:val="00EC025E"/>
    <w:rsid w:val="00EC65C0"/>
    <w:rsid w:val="00ED0479"/>
    <w:rsid w:val="00ED05E7"/>
    <w:rsid w:val="00ED07B2"/>
    <w:rsid w:val="00ED6B9E"/>
    <w:rsid w:val="00ED7160"/>
    <w:rsid w:val="00EE0FF1"/>
    <w:rsid w:val="00EE1572"/>
    <w:rsid w:val="00EE226B"/>
    <w:rsid w:val="00EF108A"/>
    <w:rsid w:val="00EF13D7"/>
    <w:rsid w:val="00EF21A4"/>
    <w:rsid w:val="00EF2AAC"/>
    <w:rsid w:val="00EF2D86"/>
    <w:rsid w:val="00EF3413"/>
    <w:rsid w:val="00EF358E"/>
    <w:rsid w:val="00EF54E7"/>
    <w:rsid w:val="00F012B0"/>
    <w:rsid w:val="00F02E62"/>
    <w:rsid w:val="00F046CB"/>
    <w:rsid w:val="00F0705A"/>
    <w:rsid w:val="00F132BD"/>
    <w:rsid w:val="00F13C3F"/>
    <w:rsid w:val="00F14C32"/>
    <w:rsid w:val="00F20F6E"/>
    <w:rsid w:val="00F23343"/>
    <w:rsid w:val="00F23D33"/>
    <w:rsid w:val="00F26047"/>
    <w:rsid w:val="00F302ED"/>
    <w:rsid w:val="00F312D9"/>
    <w:rsid w:val="00F334D1"/>
    <w:rsid w:val="00F340CC"/>
    <w:rsid w:val="00F40E95"/>
    <w:rsid w:val="00F42BED"/>
    <w:rsid w:val="00F52636"/>
    <w:rsid w:val="00F54165"/>
    <w:rsid w:val="00F5603D"/>
    <w:rsid w:val="00F56730"/>
    <w:rsid w:val="00F572BF"/>
    <w:rsid w:val="00F623C1"/>
    <w:rsid w:val="00F629CB"/>
    <w:rsid w:val="00F648A3"/>
    <w:rsid w:val="00F713F0"/>
    <w:rsid w:val="00F72B26"/>
    <w:rsid w:val="00F74866"/>
    <w:rsid w:val="00F76C32"/>
    <w:rsid w:val="00F77FFD"/>
    <w:rsid w:val="00F808B1"/>
    <w:rsid w:val="00F8139B"/>
    <w:rsid w:val="00F859DF"/>
    <w:rsid w:val="00F91C2E"/>
    <w:rsid w:val="00FA018A"/>
    <w:rsid w:val="00FA1B66"/>
    <w:rsid w:val="00FA23D8"/>
    <w:rsid w:val="00FA262D"/>
    <w:rsid w:val="00FA3382"/>
    <w:rsid w:val="00FA36BB"/>
    <w:rsid w:val="00FA3B66"/>
    <w:rsid w:val="00FA6DFE"/>
    <w:rsid w:val="00FB2DA8"/>
    <w:rsid w:val="00FB5AB3"/>
    <w:rsid w:val="00FC0456"/>
    <w:rsid w:val="00FD7067"/>
    <w:rsid w:val="00FE19F8"/>
    <w:rsid w:val="00FE2247"/>
    <w:rsid w:val="00FE3998"/>
    <w:rsid w:val="00FE4AC4"/>
    <w:rsid w:val="00FE5430"/>
    <w:rsid w:val="00FF17D9"/>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72E4"/>
  <w15:chartTrackingRefBased/>
  <w15:docId w15:val="{0B0748EC-B916-45A1-B56D-A0A74092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BFB"/>
    <w:rPr>
      <w:sz w:val="24"/>
      <w:lang w:val="de-DE" w:eastAsia="de-DE"/>
    </w:rPr>
  </w:style>
  <w:style w:type="paragraph" w:styleId="Heading1">
    <w:name w:val="heading 1"/>
    <w:basedOn w:val="Normal"/>
    <w:next w:val="Normal"/>
    <w:qFormat/>
    <w:pPr>
      <w:keepNext/>
      <w:outlineLvl w:val="0"/>
    </w:pPr>
    <w:rPr>
      <w:sz w:val="28"/>
      <w:u w:val="single"/>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4" w:hanging="284"/>
    </w:pPr>
  </w:style>
  <w:style w:type="paragraph" w:styleId="BodyText">
    <w:name w:val="Body Text"/>
    <w:basedOn w:val="Normal"/>
    <w:pPr>
      <w:spacing w:after="120"/>
    </w:p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customStyle="1" w:styleId="PlainText1">
    <w:name w:val="Plain Text1"/>
    <w:basedOn w:val="Normal"/>
    <w:rPr>
      <w:rFonts w:ascii="Courier New" w:hAnsi="Courier New"/>
      <w:sz w:val="20"/>
    </w:rPr>
  </w:style>
  <w:style w:type="paragraph" w:customStyle="1" w:styleId="syslit">
    <w:name w:val="syslit"/>
    <w:pPr>
      <w:tabs>
        <w:tab w:val="left" w:pos="284"/>
      </w:tabs>
      <w:spacing w:line="200" w:lineRule="exact"/>
      <w:ind w:left="284" w:hanging="284"/>
      <w:jc w:val="both"/>
    </w:pPr>
    <w:rPr>
      <w:rFonts w:ascii="Times" w:hAnsi="Times"/>
      <w:sz w:val="18"/>
      <w:lang w:val="de-DE" w:eastAsia="de-DE"/>
    </w:rPr>
  </w:style>
  <w:style w:type="paragraph" w:customStyle="1" w:styleId="H2">
    <w:name w:val="H2"/>
    <w:basedOn w:val="Normal"/>
    <w:next w:val="Normal"/>
    <w:pPr>
      <w:keepNext/>
      <w:spacing w:before="100" w:after="100"/>
      <w:outlineLvl w:val="2"/>
    </w:pPr>
    <w:rPr>
      <w:b/>
      <w:snapToGrid w:val="0"/>
      <w:sz w:val="36"/>
      <w:szCs w:val="24"/>
    </w:rPr>
  </w:style>
  <w:style w:type="character" w:styleId="Emphasis">
    <w:name w:val="Emphasis"/>
    <w:qFormat/>
    <w:rPr>
      <w:i/>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FollowedHyperlink">
    <w:name w:val="FollowedHyperlink"/>
    <w:rsid w:val="00ED05E7"/>
    <w:rPr>
      <w:color w:val="800080"/>
      <w:u w:val="single"/>
    </w:rPr>
  </w:style>
  <w:style w:type="paragraph" w:customStyle="1" w:styleId="Normal1">
    <w:name w:val="Normal1"/>
    <w:basedOn w:val="Normal"/>
    <w:pPr>
      <w:spacing w:before="100" w:beforeAutospacing="1" w:after="100" w:afterAutospacing="1"/>
    </w:pPr>
    <w:rPr>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character" w:customStyle="1" w:styleId="subhead">
    <w:name w:val="subhead"/>
    <w:basedOn w:val="DefaultParagraphFont"/>
  </w:style>
  <w:style w:type="paragraph" w:customStyle="1" w:styleId="standardohneeinzug">
    <w:name w:val="standard_ohne_einzug"/>
    <w:basedOn w:val="Normal"/>
    <w:next w:val="Normal"/>
    <w:pPr>
      <w:spacing w:line="360" w:lineRule="atLeast"/>
      <w:jc w:val="both"/>
    </w:pPr>
  </w:style>
  <w:style w:type="paragraph" w:customStyle="1" w:styleId="literatur">
    <w:name w:val="literatur"/>
    <w:pPr>
      <w:tabs>
        <w:tab w:val="left" w:pos="170"/>
      </w:tabs>
      <w:spacing w:after="40" w:line="280" w:lineRule="atLeast"/>
      <w:ind w:left="284" w:hanging="284"/>
      <w:jc w:val="both"/>
    </w:pPr>
    <w:rPr>
      <w:lang w:eastAsia="de-DE"/>
    </w:rPr>
  </w:style>
  <w:style w:type="character" w:customStyle="1" w:styleId="Hypertext">
    <w:name w:val="Hypertext"/>
    <w:rPr>
      <w:color w:val="0000FF"/>
      <w:u w:val="single"/>
    </w:rPr>
  </w:style>
  <w:style w:type="paragraph" w:customStyle="1" w:styleId="References">
    <w:name w:val="References"/>
    <w:basedOn w:val="BodyText"/>
    <w:autoRedefine/>
    <w:pPr>
      <w:spacing w:after="0" w:line="360" w:lineRule="auto"/>
      <w:ind w:left="720" w:hanging="720"/>
      <w:jc w:val="both"/>
    </w:pPr>
    <w:rPr>
      <w:sz w:val="22"/>
      <w:szCs w:val="22"/>
      <w:lang w:val="en-GB" w:eastAsia="fr-FR"/>
    </w:rPr>
  </w:style>
  <w:style w:type="character" w:customStyle="1" w:styleId="citationauthoredbookauthors">
    <w:name w:val="citationauthoredbookauthors"/>
    <w:rsid w:val="005F5144"/>
  </w:style>
  <w:style w:type="paragraph" w:styleId="ListParagraph">
    <w:name w:val="List Paragraph"/>
    <w:basedOn w:val="Normal"/>
    <w:uiPriority w:val="34"/>
    <w:qFormat/>
    <w:rsid w:val="00E237BF"/>
    <w:pPr>
      <w:ind w:left="720"/>
    </w:pPr>
  </w:style>
  <w:style w:type="character" w:styleId="CommentReference">
    <w:name w:val="annotation reference"/>
    <w:rsid w:val="00C53956"/>
    <w:rPr>
      <w:sz w:val="16"/>
      <w:szCs w:val="16"/>
    </w:rPr>
  </w:style>
  <w:style w:type="paragraph" w:styleId="CommentText">
    <w:name w:val="annotation text"/>
    <w:basedOn w:val="Normal"/>
    <w:link w:val="CommentTextChar"/>
    <w:rsid w:val="00C53956"/>
    <w:rPr>
      <w:sz w:val="20"/>
    </w:rPr>
  </w:style>
  <w:style w:type="character" w:customStyle="1" w:styleId="CommentTextChar">
    <w:name w:val="Comment Text Char"/>
    <w:link w:val="CommentText"/>
    <w:rsid w:val="00C53956"/>
    <w:rPr>
      <w:lang w:val="de-DE" w:eastAsia="de-DE"/>
    </w:rPr>
  </w:style>
  <w:style w:type="paragraph" w:styleId="CommentSubject">
    <w:name w:val="annotation subject"/>
    <w:basedOn w:val="CommentText"/>
    <w:next w:val="CommentText"/>
    <w:link w:val="CommentSubjectChar"/>
    <w:rsid w:val="00C53956"/>
    <w:rPr>
      <w:b/>
      <w:bCs/>
    </w:rPr>
  </w:style>
  <w:style w:type="character" w:customStyle="1" w:styleId="CommentSubjectChar">
    <w:name w:val="Comment Subject Char"/>
    <w:link w:val="CommentSubject"/>
    <w:rsid w:val="00C53956"/>
    <w:rPr>
      <w:b/>
      <w:bCs/>
      <w:lang w:val="de-DE" w:eastAsia="de-DE"/>
    </w:rPr>
  </w:style>
  <w:style w:type="table" w:styleId="TableGrid">
    <w:name w:val="Table Grid"/>
    <w:basedOn w:val="TableNormal"/>
    <w:rsid w:val="00D1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2">
    <w:name w:val="Table Colorful 2"/>
    <w:basedOn w:val="TableNormal"/>
    <w:rsid w:val="00D14B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Professional">
    <w:name w:val="Table Professional"/>
    <w:basedOn w:val="TableNormal"/>
    <w:rsid w:val="00D14B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7379D3"/>
    <w:pPr>
      <w:autoSpaceDE w:val="0"/>
      <w:autoSpaceDN w:val="0"/>
      <w:adjustRightInd w:val="0"/>
    </w:pPr>
    <w:rPr>
      <w:rFonts w:ascii="Symbol" w:hAnsi="Symbol" w:cs="Symbol"/>
      <w:color w:val="000000"/>
      <w:sz w:val="24"/>
      <w:szCs w:val="24"/>
    </w:rPr>
  </w:style>
  <w:style w:type="character" w:customStyle="1" w:styleId="NichtaufgelsteErwhnung1">
    <w:name w:val="Nicht aufgelöste Erwähnung1"/>
    <w:basedOn w:val="DefaultParagraphFont"/>
    <w:uiPriority w:val="99"/>
    <w:semiHidden/>
    <w:unhideWhenUsed/>
    <w:rsid w:val="008350FC"/>
    <w:rPr>
      <w:color w:val="605E5C"/>
      <w:shd w:val="clear" w:color="auto" w:fill="E1DFDD"/>
    </w:rPr>
  </w:style>
  <w:style w:type="paragraph" w:styleId="NoSpacing">
    <w:name w:val="No Spacing"/>
    <w:uiPriority w:val="1"/>
    <w:qFormat/>
    <w:rsid w:val="004242D1"/>
    <w:rPr>
      <w:sz w:val="24"/>
      <w:szCs w:val="24"/>
    </w:rPr>
  </w:style>
  <w:style w:type="character" w:styleId="UnresolvedMention">
    <w:name w:val="Unresolved Mention"/>
    <w:basedOn w:val="DefaultParagraphFont"/>
    <w:uiPriority w:val="99"/>
    <w:semiHidden/>
    <w:unhideWhenUsed/>
    <w:rsid w:val="004F3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1792">
      <w:bodyDiv w:val="1"/>
      <w:marLeft w:val="0"/>
      <w:marRight w:val="0"/>
      <w:marTop w:val="0"/>
      <w:marBottom w:val="0"/>
      <w:divBdr>
        <w:top w:val="none" w:sz="0" w:space="0" w:color="auto"/>
        <w:left w:val="none" w:sz="0" w:space="0" w:color="auto"/>
        <w:bottom w:val="none" w:sz="0" w:space="0" w:color="auto"/>
        <w:right w:val="none" w:sz="0" w:space="0" w:color="auto"/>
      </w:divBdr>
    </w:div>
    <w:div w:id="186522710">
      <w:bodyDiv w:val="1"/>
      <w:marLeft w:val="0"/>
      <w:marRight w:val="0"/>
      <w:marTop w:val="0"/>
      <w:marBottom w:val="0"/>
      <w:divBdr>
        <w:top w:val="none" w:sz="0" w:space="0" w:color="auto"/>
        <w:left w:val="none" w:sz="0" w:space="0" w:color="auto"/>
        <w:bottom w:val="none" w:sz="0" w:space="0" w:color="auto"/>
        <w:right w:val="none" w:sz="0" w:space="0" w:color="auto"/>
      </w:divBdr>
      <w:divsChild>
        <w:div w:id="1075123729">
          <w:marLeft w:val="0"/>
          <w:marRight w:val="0"/>
          <w:marTop w:val="0"/>
          <w:marBottom w:val="0"/>
          <w:divBdr>
            <w:top w:val="none" w:sz="0" w:space="0" w:color="auto"/>
            <w:left w:val="none" w:sz="0" w:space="0" w:color="auto"/>
            <w:bottom w:val="none" w:sz="0" w:space="0" w:color="auto"/>
            <w:right w:val="none" w:sz="0" w:space="0" w:color="auto"/>
          </w:divBdr>
        </w:div>
      </w:divsChild>
    </w:div>
    <w:div w:id="229081021">
      <w:bodyDiv w:val="1"/>
      <w:marLeft w:val="0"/>
      <w:marRight w:val="0"/>
      <w:marTop w:val="0"/>
      <w:marBottom w:val="0"/>
      <w:divBdr>
        <w:top w:val="none" w:sz="0" w:space="0" w:color="auto"/>
        <w:left w:val="none" w:sz="0" w:space="0" w:color="auto"/>
        <w:bottom w:val="none" w:sz="0" w:space="0" w:color="auto"/>
        <w:right w:val="none" w:sz="0" w:space="0" w:color="auto"/>
      </w:divBdr>
    </w:div>
    <w:div w:id="268124586">
      <w:bodyDiv w:val="1"/>
      <w:marLeft w:val="0"/>
      <w:marRight w:val="0"/>
      <w:marTop w:val="0"/>
      <w:marBottom w:val="0"/>
      <w:divBdr>
        <w:top w:val="none" w:sz="0" w:space="0" w:color="auto"/>
        <w:left w:val="none" w:sz="0" w:space="0" w:color="auto"/>
        <w:bottom w:val="none" w:sz="0" w:space="0" w:color="auto"/>
        <w:right w:val="none" w:sz="0" w:space="0" w:color="auto"/>
      </w:divBdr>
      <w:divsChild>
        <w:div w:id="692000093">
          <w:marLeft w:val="0"/>
          <w:marRight w:val="0"/>
          <w:marTop w:val="0"/>
          <w:marBottom w:val="0"/>
          <w:divBdr>
            <w:top w:val="none" w:sz="0" w:space="0" w:color="auto"/>
            <w:left w:val="none" w:sz="0" w:space="0" w:color="auto"/>
            <w:bottom w:val="none" w:sz="0" w:space="0" w:color="auto"/>
            <w:right w:val="none" w:sz="0" w:space="0" w:color="auto"/>
          </w:divBdr>
        </w:div>
      </w:divsChild>
    </w:div>
    <w:div w:id="504513755">
      <w:bodyDiv w:val="1"/>
      <w:marLeft w:val="0"/>
      <w:marRight w:val="0"/>
      <w:marTop w:val="0"/>
      <w:marBottom w:val="0"/>
      <w:divBdr>
        <w:top w:val="none" w:sz="0" w:space="0" w:color="auto"/>
        <w:left w:val="none" w:sz="0" w:space="0" w:color="auto"/>
        <w:bottom w:val="none" w:sz="0" w:space="0" w:color="auto"/>
        <w:right w:val="none" w:sz="0" w:space="0" w:color="auto"/>
      </w:divBdr>
      <w:divsChild>
        <w:div w:id="38165741">
          <w:marLeft w:val="0"/>
          <w:marRight w:val="0"/>
          <w:marTop w:val="0"/>
          <w:marBottom w:val="0"/>
          <w:divBdr>
            <w:top w:val="none" w:sz="0" w:space="0" w:color="auto"/>
            <w:left w:val="none" w:sz="0" w:space="0" w:color="auto"/>
            <w:bottom w:val="none" w:sz="0" w:space="0" w:color="auto"/>
            <w:right w:val="none" w:sz="0" w:space="0" w:color="auto"/>
          </w:divBdr>
        </w:div>
      </w:divsChild>
    </w:div>
    <w:div w:id="1120145773">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11835634">
      <w:bodyDiv w:val="1"/>
      <w:marLeft w:val="0"/>
      <w:marRight w:val="0"/>
      <w:marTop w:val="0"/>
      <w:marBottom w:val="0"/>
      <w:divBdr>
        <w:top w:val="none" w:sz="0" w:space="0" w:color="auto"/>
        <w:left w:val="none" w:sz="0" w:space="0" w:color="auto"/>
        <w:bottom w:val="none" w:sz="0" w:space="0" w:color="auto"/>
        <w:right w:val="none" w:sz="0" w:space="0" w:color="auto"/>
      </w:divBdr>
      <w:divsChild>
        <w:div w:id="777682534">
          <w:marLeft w:val="0"/>
          <w:marRight w:val="0"/>
          <w:marTop w:val="0"/>
          <w:marBottom w:val="0"/>
          <w:divBdr>
            <w:top w:val="none" w:sz="0" w:space="0" w:color="auto"/>
            <w:left w:val="none" w:sz="0" w:space="0" w:color="auto"/>
            <w:bottom w:val="none" w:sz="0" w:space="0" w:color="auto"/>
            <w:right w:val="none" w:sz="0" w:space="0" w:color="auto"/>
          </w:divBdr>
        </w:div>
      </w:divsChild>
    </w:div>
    <w:div w:id="1432238729">
      <w:bodyDiv w:val="1"/>
      <w:marLeft w:val="0"/>
      <w:marRight w:val="0"/>
      <w:marTop w:val="0"/>
      <w:marBottom w:val="0"/>
      <w:divBdr>
        <w:top w:val="none" w:sz="0" w:space="0" w:color="auto"/>
        <w:left w:val="none" w:sz="0" w:space="0" w:color="auto"/>
        <w:bottom w:val="none" w:sz="0" w:space="0" w:color="auto"/>
        <w:right w:val="none" w:sz="0" w:space="0" w:color="auto"/>
      </w:divBdr>
      <w:divsChild>
        <w:div w:id="60711531">
          <w:marLeft w:val="0"/>
          <w:marRight w:val="0"/>
          <w:marTop w:val="0"/>
          <w:marBottom w:val="0"/>
          <w:divBdr>
            <w:top w:val="none" w:sz="0" w:space="0" w:color="auto"/>
            <w:left w:val="none" w:sz="0" w:space="0" w:color="auto"/>
            <w:bottom w:val="none" w:sz="0" w:space="0" w:color="auto"/>
            <w:right w:val="none" w:sz="0" w:space="0" w:color="auto"/>
          </w:divBdr>
        </w:div>
      </w:divsChild>
    </w:div>
    <w:div w:id="1501316454">
      <w:bodyDiv w:val="1"/>
      <w:marLeft w:val="0"/>
      <w:marRight w:val="0"/>
      <w:marTop w:val="0"/>
      <w:marBottom w:val="0"/>
      <w:divBdr>
        <w:top w:val="none" w:sz="0" w:space="0" w:color="auto"/>
        <w:left w:val="none" w:sz="0" w:space="0" w:color="auto"/>
        <w:bottom w:val="none" w:sz="0" w:space="0" w:color="auto"/>
        <w:right w:val="none" w:sz="0" w:space="0" w:color="auto"/>
      </w:divBdr>
    </w:div>
    <w:div w:id="1580403071">
      <w:bodyDiv w:val="1"/>
      <w:marLeft w:val="0"/>
      <w:marRight w:val="0"/>
      <w:marTop w:val="0"/>
      <w:marBottom w:val="0"/>
      <w:divBdr>
        <w:top w:val="none" w:sz="0" w:space="0" w:color="auto"/>
        <w:left w:val="none" w:sz="0" w:space="0" w:color="auto"/>
        <w:bottom w:val="none" w:sz="0" w:space="0" w:color="auto"/>
        <w:right w:val="none" w:sz="0" w:space="0" w:color="auto"/>
      </w:divBdr>
      <w:divsChild>
        <w:div w:id="39107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national.gc.ca/trade-commerce/trade-agreements-accords-commerciaux/agr-acc/cuktca-acccru/agreement_trade_continuity-accord_continuite_commerciale.aspx?lang=eng" TargetMode="External"/><Relationship Id="rId18" Type="http://schemas.openxmlformats.org/officeDocument/2006/relationships/hyperlink" Target="https://doi.org/10.1093/acrefore/9780190228637.013.1082" TargetMode="External"/><Relationship Id="rId26" Type="http://schemas.openxmlformats.org/officeDocument/2006/relationships/hyperlink" Target="http://www.pbo-dpb.gc.ca/web/default/files%20/Documents/Reports/2017/CETA/CETA_EN.pdf" TargetMode="External"/><Relationship Id="rId39" Type="http://schemas.openxmlformats.org/officeDocument/2006/relationships/hyperlink" Target="http://carleton.ca/pmc" TargetMode="External"/><Relationship Id="rId21" Type="http://schemas.openxmlformats.org/officeDocument/2006/relationships/hyperlink" Target="http://foreignpolicy.com/2017/04/13/europe-is-still-a-superpower/" TargetMode="External"/><Relationship Id="rId34" Type="http://schemas.openxmlformats.org/officeDocument/2006/relationships/hyperlink" Target="https://carleton.ca/covid19/faq/" TargetMode="External"/><Relationship Id="rId42" Type="http://schemas.openxmlformats.org/officeDocument/2006/relationships/hyperlink" Target="http://carleton.ca/sexual-violence-suppor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penjournals.library.sydney.edu.au/index.php/ANZJES/issue/view/1054" TargetMode="External"/><Relationship Id="rId29" Type="http://schemas.openxmlformats.org/officeDocument/2006/relationships/hyperlink" Target="https://europa.eu/globalstrategy/sites/globalstrategy/files/pages/files/eugs_review_web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ational.gc.ca/europe/assets/pdfs/can-eu-spa-text-eng.pdf" TargetMode="External"/><Relationship Id="rId24" Type="http://schemas.openxmlformats.org/officeDocument/2006/relationships/hyperlink" Target="http://library.fes.de/pdf-files/id/ipa/15694-20191014.pdf" TargetMode="External"/><Relationship Id="rId32" Type="http://schemas.openxmlformats.org/officeDocument/2006/relationships/hyperlink" Target="https://carleton.ca/covid19/policies-and-protocols/mask-policy/" TargetMode="External"/><Relationship Id="rId37" Type="http://schemas.openxmlformats.org/officeDocument/2006/relationships/hyperlink" Target="http://carleton.ca/equity/wp-content/uploads/Student-Guide-to-Academic-Accommodation.pdf" TargetMode="External"/><Relationship Id="rId40" Type="http://schemas.openxmlformats.org/officeDocument/2006/relationships/hyperlink" Target="https://carleton.ca/senate/wp-content/uploads/Accommodation-for-Student-Activities-1.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gai.ca/canada_and_the_european_union_a_new_transatlantic_alliance" TargetMode="External"/><Relationship Id="rId23" Type="http://schemas.openxmlformats.org/officeDocument/2006/relationships/hyperlink" Target="https://www.canada.ca/en/global-affairs/news/2022/05/joint-declaration-following-the-third-eu-canada-joint-ministerial-committee-meeting.html" TargetMode="External"/><Relationship Id="rId28" Type="http://schemas.openxmlformats.org/officeDocument/2006/relationships/hyperlink" Target="http://dgpaapp.forces.gc.ca/en/canada-defence-policy/docs/canada-defence-policy-report.pdf" TargetMode="External"/><Relationship Id="rId36" Type="http://schemas.openxmlformats.org/officeDocument/2006/relationships/hyperlink" Target="http://carleton.ca/equity/wp-content/uploads/Student-Guide-to-Academic-Accommodation.pdf" TargetMode="External"/><Relationship Id="rId10" Type="http://schemas.openxmlformats.org/officeDocument/2006/relationships/hyperlink" Target="https://www.treaty-accord.gc.ca/text-texte.aspx?id=101156" TargetMode="External"/><Relationship Id="rId19" Type="http://schemas.openxmlformats.org/officeDocument/2006/relationships/hyperlink" Target="https://youtu.be/zaElPDIabnw" TargetMode="External"/><Relationship Id="rId31" Type="http://schemas.openxmlformats.org/officeDocument/2006/relationships/hyperlink" Target="https://carleton.ca/covid19/covid-19-symptom-reporting/" TargetMode="External"/><Relationship Id="rId44" Type="http://schemas.openxmlformats.org/officeDocument/2006/relationships/hyperlink" Target="https://www.facebook.com/CarletonPoliticalScienceSociety/" TargetMode="External"/><Relationship Id="rId4" Type="http://schemas.openxmlformats.org/officeDocument/2006/relationships/settings" Target="settings.xml"/><Relationship Id="rId9" Type="http://schemas.openxmlformats.org/officeDocument/2006/relationships/hyperlink" Target="https://www.swp-berlin.org/fileadmin/contents/products/arbeitspapiere/1_WP_Bendiek_etal_EU-Canada_relations_final_01.pdf" TargetMode="External"/><Relationship Id="rId14" Type="http://schemas.openxmlformats.org/officeDocument/2006/relationships/hyperlink" Target="https://eucenter.as.miami.edu/_assets/pdf/crociverdunfinal.pdf" TargetMode="External"/><Relationship Id="rId22" Type="http://schemas.openxmlformats.org/officeDocument/2006/relationships/hyperlink" Target="https://carnegieendowment.org/files/2-24_Lehne-EU_Geopolitics.pdf" TargetMode="External"/><Relationship Id="rId27" Type="http://schemas.openxmlformats.org/officeDocument/2006/relationships/hyperlink" Target="https://www.eliamep.gr/wp-content/uploads/2022/03/Policy-paper-95-Pagoulatos-and-Blavoukos-%CE%95%CE%9D-final-21.pdf" TargetMode="External"/><Relationship Id="rId30" Type="http://schemas.openxmlformats.org/officeDocument/2006/relationships/hyperlink" Target="https://carleton.ca/covid19/health-and-safety/reducing-your-risks/" TargetMode="External"/><Relationship Id="rId35" Type="http://schemas.openxmlformats.org/officeDocument/2006/relationships/hyperlink" Target="mailto:covidinfo@carleton.ca" TargetMode="External"/><Relationship Id="rId43" Type="http://schemas.openxmlformats.org/officeDocument/2006/relationships/hyperlink" Target="https://carleton.ca/registrar/academic-integrity/" TargetMode="External"/><Relationship Id="rId48" Type="http://schemas.openxmlformats.org/officeDocument/2006/relationships/theme" Target="theme/theme1.xml"/><Relationship Id="rId8" Type="http://schemas.openxmlformats.org/officeDocument/2006/relationships/hyperlink" Target="mailto:achim.hurrelmann@carleton.ca" TargetMode="External"/><Relationship Id="rId3" Type="http://schemas.openxmlformats.org/officeDocument/2006/relationships/styles" Target="styles.xml"/><Relationship Id="rId12" Type="http://schemas.openxmlformats.org/officeDocument/2006/relationships/hyperlink" Target="http://www.international.gc.ca/trade-commerce/trade-agreements-accords-commerciaux/agr-acc/ceta-aecg/text-texte/toc-tdm.aspx?lang=eng" TargetMode="External"/><Relationship Id="rId17" Type="http://schemas.openxmlformats.org/officeDocument/2006/relationships/hyperlink" Target="https://doi.org/10.1093/acrefore/9780190228637.013.1098" TargetMode="External"/><Relationship Id="rId25" Type="http://schemas.openxmlformats.org/officeDocument/2006/relationships/hyperlink" Target="https://trade.ec.europa.eu/doclib/html/159438.htm" TargetMode="External"/><Relationship Id="rId33" Type="http://schemas.openxmlformats.org/officeDocument/2006/relationships/hyperlink" Target="https://carleton.ca/covid19/" TargetMode="External"/><Relationship Id="rId38" Type="http://schemas.openxmlformats.org/officeDocument/2006/relationships/hyperlink" Target="mailto:pmc@carleton.ca" TargetMode="External"/><Relationship Id="rId46" Type="http://schemas.openxmlformats.org/officeDocument/2006/relationships/footer" Target="footer2.xml"/><Relationship Id="rId20" Type="http://schemas.openxmlformats.org/officeDocument/2006/relationships/hyperlink" Target="https://www.youtube.com/watch?v=mVdz0vDOKuc" TargetMode="External"/><Relationship Id="rId41" Type="http://schemas.openxmlformats.org/officeDocument/2006/relationships/hyperlink" Target="http://students.carleton.ca/course-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56F8-9EB1-4663-9667-1414BDEF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17</Pages>
  <Words>6929</Words>
  <Characters>39500</Characters>
  <Application>Microsoft Office Word</Application>
  <DocSecurity>0</DocSecurity>
  <Lines>329</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Dipl</vt:lpstr>
      <vt:lpstr>Dipl</vt:lpstr>
    </vt:vector>
  </TitlesOfParts>
  <Company>Carleton University</Company>
  <LinksUpToDate>false</LinksUpToDate>
  <CharactersWithSpaces>46337</CharactersWithSpaces>
  <SharedDoc>false</SharedDoc>
  <HLinks>
    <vt:vector size="96" baseType="variant">
      <vt:variant>
        <vt:i4>1769491</vt:i4>
      </vt:variant>
      <vt:variant>
        <vt:i4>48</vt:i4>
      </vt:variant>
      <vt:variant>
        <vt:i4>0</vt:i4>
      </vt:variant>
      <vt:variant>
        <vt:i4>5</vt:i4>
      </vt:variant>
      <vt:variant>
        <vt:lpwstr>http://www.carleton.ca/equity</vt:lpwstr>
      </vt:variant>
      <vt:variant>
        <vt:lpwstr/>
      </vt:variant>
      <vt:variant>
        <vt:i4>2424851</vt:i4>
      </vt:variant>
      <vt:variant>
        <vt:i4>45</vt:i4>
      </vt:variant>
      <vt:variant>
        <vt:i4>0</vt:i4>
      </vt:variant>
      <vt:variant>
        <vt:i4>5</vt:i4>
      </vt:variant>
      <vt:variant>
        <vt:lpwstr>mailto:pmc@carleton.ca</vt:lpwstr>
      </vt:variant>
      <vt:variant>
        <vt:lpwstr/>
      </vt:variant>
      <vt:variant>
        <vt:i4>2818157</vt:i4>
      </vt:variant>
      <vt:variant>
        <vt:i4>42</vt:i4>
      </vt:variant>
      <vt:variant>
        <vt:i4>0</vt:i4>
      </vt:variant>
      <vt:variant>
        <vt:i4>5</vt:i4>
      </vt:variant>
      <vt:variant>
        <vt:lpwstr>https://www.canada.ca/en/global-affairs/news/2017/06/address_by_ministerfreelandoncanadasforeignpolicypriorities.html</vt:lpwstr>
      </vt:variant>
      <vt:variant>
        <vt:lpwstr/>
      </vt:variant>
      <vt:variant>
        <vt:i4>6750284</vt:i4>
      </vt:variant>
      <vt:variant>
        <vt:i4>39</vt:i4>
      </vt:variant>
      <vt:variant>
        <vt:i4>0</vt:i4>
      </vt:variant>
      <vt:variant>
        <vt:i4>5</vt:i4>
      </vt:variant>
      <vt:variant>
        <vt:lpwstr>https://europa.eu/globalstrategy/sites/globalstrategy/files/pages/files/eugs_review_web_13.pdf</vt:lpwstr>
      </vt:variant>
      <vt:variant>
        <vt:lpwstr/>
      </vt:variant>
      <vt:variant>
        <vt:i4>6357048</vt:i4>
      </vt:variant>
      <vt:variant>
        <vt:i4>36</vt:i4>
      </vt:variant>
      <vt:variant>
        <vt:i4>0</vt:i4>
      </vt:variant>
      <vt:variant>
        <vt:i4>5</vt:i4>
      </vt:variant>
      <vt:variant>
        <vt:lpwstr>http://europeanlawblog.eu/2017/05/18/opinion-215-and-the-future-of-mixity-and-isds/</vt:lpwstr>
      </vt:variant>
      <vt:variant>
        <vt:lpwstr/>
      </vt:variant>
      <vt:variant>
        <vt:i4>1638433</vt:i4>
      </vt:variant>
      <vt:variant>
        <vt:i4>33</vt:i4>
      </vt:variant>
      <vt:variant>
        <vt:i4>0</vt:i4>
      </vt:variant>
      <vt:variant>
        <vt:i4>5</vt:i4>
      </vt:variant>
      <vt:variant>
        <vt:lpwstr>http://www.pbo-dpb.gc.ca/web/default/files/Documents/Reports/2017/CETA/CETA_EN.pdf</vt:lpwstr>
      </vt:variant>
      <vt:variant>
        <vt:lpwstr/>
      </vt:variant>
      <vt:variant>
        <vt:i4>589835</vt:i4>
      </vt:variant>
      <vt:variant>
        <vt:i4>30</vt:i4>
      </vt:variant>
      <vt:variant>
        <vt:i4>0</vt:i4>
      </vt:variant>
      <vt:variant>
        <vt:i4>5</vt:i4>
      </vt:variant>
      <vt:variant>
        <vt:lpwstr>http://foreignpolicy.com/2017/04/13/europe-is-still-a-superpower/</vt:lpwstr>
      </vt:variant>
      <vt:variant>
        <vt:lpwstr/>
      </vt:variant>
      <vt:variant>
        <vt:i4>4128864</vt:i4>
      </vt:variant>
      <vt:variant>
        <vt:i4>27</vt:i4>
      </vt:variant>
      <vt:variant>
        <vt:i4>0</vt:i4>
      </vt:variant>
      <vt:variant>
        <vt:i4>5</vt:i4>
      </vt:variant>
      <vt:variant>
        <vt:lpwstr>https://canadiandimension.com/articles/view/empires-ally-canadian-foreign-policy-greg-albo</vt:lpwstr>
      </vt:variant>
      <vt:variant>
        <vt:lpwstr/>
      </vt:variant>
      <vt:variant>
        <vt:i4>1769490</vt:i4>
      </vt:variant>
      <vt:variant>
        <vt:i4>24</vt:i4>
      </vt:variant>
      <vt:variant>
        <vt:i4>0</vt:i4>
      </vt:variant>
      <vt:variant>
        <vt:i4>5</vt:i4>
      </vt:variant>
      <vt:variant>
        <vt:lpwstr>http://www.macleans.ca/politics/ottawa/stephane-dion-how-ethics-inspires-liberal-foreign-policy/</vt:lpwstr>
      </vt:variant>
      <vt:variant>
        <vt:lpwstr/>
      </vt:variant>
      <vt:variant>
        <vt:i4>4128889</vt:i4>
      </vt:variant>
      <vt:variant>
        <vt:i4>21</vt:i4>
      </vt:variant>
      <vt:variant>
        <vt:i4>0</vt:i4>
      </vt:variant>
      <vt:variant>
        <vt:i4>5</vt:i4>
      </vt:variant>
      <vt:variant>
        <vt:lpwstr>https://www.youtube.com/watch?v=mVdz0vDOKuc</vt:lpwstr>
      </vt:variant>
      <vt:variant>
        <vt:lpwstr/>
      </vt:variant>
      <vt:variant>
        <vt:i4>917576</vt:i4>
      </vt:variant>
      <vt:variant>
        <vt:i4>18</vt:i4>
      </vt:variant>
      <vt:variant>
        <vt:i4>0</vt:i4>
      </vt:variant>
      <vt:variant>
        <vt:i4>5</vt:i4>
      </vt:variant>
      <vt:variant>
        <vt:lpwstr>http://www.international.gc.ca/trade-commerce/trade-agreements-accords-commerciaux/agr-acc/ceta-aecg/text-texte/toc-tdm.aspx?lang=eng</vt:lpwstr>
      </vt:variant>
      <vt:variant>
        <vt:lpwstr/>
      </vt:variant>
      <vt:variant>
        <vt:i4>6029332</vt:i4>
      </vt:variant>
      <vt:variant>
        <vt:i4>15</vt:i4>
      </vt:variant>
      <vt:variant>
        <vt:i4>0</vt:i4>
      </vt:variant>
      <vt:variant>
        <vt:i4>5</vt:i4>
      </vt:variant>
      <vt:variant>
        <vt:lpwstr>http://www.international.gc.ca/europe/assets/pdfs/can-eu-spa-text-eng.pdf</vt:lpwstr>
      </vt:variant>
      <vt:variant>
        <vt:lpwstr/>
      </vt:variant>
      <vt:variant>
        <vt:i4>1114168</vt:i4>
      </vt:variant>
      <vt:variant>
        <vt:i4>12</vt:i4>
      </vt:variant>
      <vt:variant>
        <vt:i4>0</vt:i4>
      </vt:variant>
      <vt:variant>
        <vt:i4>5</vt:i4>
      </vt:variant>
      <vt:variant>
        <vt:lpwstr>http://www.canadainternational.gc.ca/eu-ue/commerce_international/joint_political-politique_conjointe.aspx?lang=eng</vt:lpwstr>
      </vt:variant>
      <vt:variant>
        <vt:lpwstr/>
      </vt:variant>
      <vt:variant>
        <vt:i4>6881354</vt:i4>
      </vt:variant>
      <vt:variant>
        <vt:i4>9</vt:i4>
      </vt:variant>
      <vt:variant>
        <vt:i4>0</vt:i4>
      </vt:variant>
      <vt:variant>
        <vt:i4>5</vt:i4>
      </vt:variant>
      <vt:variant>
        <vt:lpwstr>http://www.canadainternational.gc.ca/eu-ue/commerce_international/transatlantic-transatlantique.aspx?lang=eng</vt:lpwstr>
      </vt:variant>
      <vt:variant>
        <vt:lpwstr/>
      </vt:variant>
      <vt:variant>
        <vt:i4>1966118</vt:i4>
      </vt:variant>
      <vt:variant>
        <vt:i4>6</vt:i4>
      </vt:variant>
      <vt:variant>
        <vt:i4>0</vt:i4>
      </vt:variant>
      <vt:variant>
        <vt:i4>5</vt:i4>
      </vt:variant>
      <vt:variant>
        <vt:lpwstr>http://www.canadainternational.gc.ca/eu-ue/commerce_international/agreements-accords.aspx?lang=eng</vt:lpwstr>
      </vt:variant>
      <vt:variant>
        <vt:lpwstr/>
      </vt:variant>
      <vt:variant>
        <vt:i4>5111871</vt:i4>
      </vt:variant>
      <vt:variant>
        <vt:i4>0</vt:i4>
      </vt:variant>
      <vt:variant>
        <vt:i4>0</vt:i4>
      </vt:variant>
      <vt:variant>
        <vt:i4>5</vt:i4>
      </vt:variant>
      <vt:variant>
        <vt:lpwstr>mailto:achim.hurrelmann@carleton.ca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dc:title>
  <dc:subject/>
  <dc:creator>Achim Hurrelmann</dc:creator>
  <cp:keywords/>
  <cp:lastModifiedBy>Achim Hurrelmann</cp:lastModifiedBy>
  <cp:revision>26</cp:revision>
  <cp:lastPrinted>2020-05-14T16:32:00Z</cp:lastPrinted>
  <dcterms:created xsi:type="dcterms:W3CDTF">2022-05-05T21:03:00Z</dcterms:created>
  <dcterms:modified xsi:type="dcterms:W3CDTF">2022-05-23T20:50:00Z</dcterms:modified>
</cp:coreProperties>
</file>