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90C7D" w14:textId="1AA8B254" w:rsidR="00AA0782" w:rsidRPr="00F958C7" w:rsidRDefault="00AA0782" w:rsidP="00AA0782">
      <w:pPr>
        <w:spacing w:after="60"/>
        <w:jc w:val="center"/>
        <w:rPr>
          <w:b/>
          <w:szCs w:val="24"/>
        </w:rPr>
      </w:pPr>
      <w:r w:rsidRPr="00F958C7">
        <w:rPr>
          <w:b/>
          <w:szCs w:val="24"/>
          <w:u w:val="single"/>
        </w:rPr>
        <w:t xml:space="preserve">Philosophy of </w:t>
      </w:r>
      <w:r w:rsidR="00FC4C03">
        <w:rPr>
          <w:b/>
          <w:szCs w:val="24"/>
          <w:u w:val="single"/>
        </w:rPr>
        <w:t>Agency</w:t>
      </w:r>
      <w:r w:rsidRPr="00F958C7">
        <w:rPr>
          <w:b/>
          <w:szCs w:val="24"/>
          <w:u w:val="single"/>
        </w:rPr>
        <w:t xml:space="preserve"> (PHIL4</w:t>
      </w:r>
      <w:r w:rsidR="002839D4">
        <w:rPr>
          <w:b/>
          <w:szCs w:val="24"/>
          <w:u w:val="single"/>
        </w:rPr>
        <w:t>220</w:t>
      </w:r>
      <w:r w:rsidRPr="00F958C7">
        <w:rPr>
          <w:b/>
          <w:szCs w:val="24"/>
          <w:u w:val="single"/>
        </w:rPr>
        <w:t>A/5</w:t>
      </w:r>
      <w:r w:rsidR="002839D4">
        <w:rPr>
          <w:b/>
          <w:szCs w:val="24"/>
          <w:u w:val="single"/>
        </w:rPr>
        <w:t>2</w:t>
      </w:r>
      <w:r w:rsidRPr="00F958C7">
        <w:rPr>
          <w:b/>
          <w:szCs w:val="24"/>
          <w:u w:val="single"/>
        </w:rPr>
        <w:t>00</w:t>
      </w:r>
      <w:r w:rsidR="002839D4">
        <w:rPr>
          <w:b/>
          <w:szCs w:val="24"/>
          <w:u w:val="single"/>
        </w:rPr>
        <w:t>B</w:t>
      </w:r>
      <w:r w:rsidRPr="00F958C7">
        <w:rPr>
          <w:b/>
          <w:szCs w:val="24"/>
          <w:u w:val="single"/>
        </w:rPr>
        <w:t>)</w:t>
      </w:r>
    </w:p>
    <w:p w14:paraId="2E60D77A" w14:textId="77777777" w:rsidR="00AA0782" w:rsidRPr="00F958C7" w:rsidRDefault="00AA0782" w:rsidP="00AA0782">
      <w:pPr>
        <w:spacing w:after="60"/>
        <w:jc w:val="center"/>
        <w:rPr>
          <w:i/>
          <w:szCs w:val="24"/>
        </w:rPr>
      </w:pPr>
    </w:p>
    <w:p w14:paraId="54372269" w14:textId="477F0E0A" w:rsidR="00AA0782" w:rsidRPr="00F958C7" w:rsidRDefault="00AA0782" w:rsidP="00AA0782">
      <w:pPr>
        <w:spacing w:after="60"/>
        <w:jc w:val="center"/>
        <w:rPr>
          <w:szCs w:val="24"/>
        </w:rPr>
      </w:pPr>
      <w:r w:rsidRPr="00F958C7">
        <w:rPr>
          <w:szCs w:val="24"/>
        </w:rPr>
        <w:t xml:space="preserve">Carleton University, </w:t>
      </w:r>
      <w:r w:rsidR="00FC4C03">
        <w:rPr>
          <w:szCs w:val="24"/>
        </w:rPr>
        <w:t>Winter 2023</w:t>
      </w:r>
    </w:p>
    <w:p w14:paraId="622FEDBC" w14:textId="77777777" w:rsidR="00AA0782" w:rsidRPr="00F958C7" w:rsidRDefault="00AA0782" w:rsidP="00AA0782">
      <w:pPr>
        <w:spacing w:after="60"/>
        <w:jc w:val="center"/>
        <w:rPr>
          <w:szCs w:val="24"/>
        </w:rPr>
      </w:pPr>
      <w:bookmarkStart w:id="0" w:name="_GoBack"/>
      <w:bookmarkEnd w:id="0"/>
    </w:p>
    <w:p w14:paraId="63C02C19" w14:textId="0EAC55CF" w:rsidR="00AA0782" w:rsidRPr="00F958C7" w:rsidRDefault="00AA0782" w:rsidP="00AA0782">
      <w:pPr>
        <w:spacing w:after="60"/>
        <w:jc w:val="center"/>
        <w:rPr>
          <w:szCs w:val="24"/>
        </w:rPr>
      </w:pPr>
      <w:r w:rsidRPr="00F958C7">
        <w:rPr>
          <w:b/>
          <w:szCs w:val="24"/>
        </w:rPr>
        <w:t>Day/Time:</w:t>
      </w:r>
      <w:r w:rsidR="0053769C" w:rsidRPr="00F958C7">
        <w:rPr>
          <w:szCs w:val="24"/>
        </w:rPr>
        <w:t xml:space="preserve"> </w:t>
      </w:r>
      <w:r w:rsidR="00FC4C03">
        <w:rPr>
          <w:szCs w:val="24"/>
        </w:rPr>
        <w:t>Monday</w:t>
      </w:r>
      <w:r w:rsidR="0053769C" w:rsidRPr="00F958C7">
        <w:rPr>
          <w:szCs w:val="24"/>
        </w:rPr>
        <w:t>, 11:35 am – 2:25</w:t>
      </w:r>
      <w:r w:rsidRPr="00F958C7">
        <w:rPr>
          <w:szCs w:val="24"/>
        </w:rPr>
        <w:t xml:space="preserve"> pm </w:t>
      </w:r>
      <w:r w:rsidRPr="00F958C7">
        <w:rPr>
          <w:b/>
          <w:szCs w:val="24"/>
        </w:rPr>
        <w:t>Location:</w:t>
      </w:r>
      <w:r w:rsidRPr="00F958C7">
        <w:rPr>
          <w:szCs w:val="24"/>
        </w:rPr>
        <w:t xml:space="preserve"> </w:t>
      </w:r>
      <w:r w:rsidR="0053769C" w:rsidRPr="00F958C7">
        <w:rPr>
          <w:szCs w:val="24"/>
        </w:rPr>
        <w:t>Paterson Hall 3A36</w:t>
      </w:r>
    </w:p>
    <w:p w14:paraId="5E689D03" w14:textId="77777777" w:rsidR="00AA0782" w:rsidRPr="00F958C7" w:rsidRDefault="00AA0782" w:rsidP="00AA0782">
      <w:pPr>
        <w:spacing w:after="60"/>
        <w:rPr>
          <w:b/>
          <w:szCs w:val="24"/>
        </w:rPr>
      </w:pPr>
    </w:p>
    <w:p w14:paraId="6E5C6570" w14:textId="77777777" w:rsidR="00AA0782" w:rsidRPr="00F958C7" w:rsidRDefault="00AA0782" w:rsidP="00AA0782">
      <w:pPr>
        <w:pStyle w:val="Paragraphs"/>
        <w:spacing w:after="60"/>
        <w:ind w:left="0"/>
        <w:jc w:val="center"/>
        <w:rPr>
          <w:rFonts w:ascii="Times New Roman" w:hAnsi="Times New Roman" w:cs="Times New Roman"/>
          <w:sz w:val="24"/>
          <w:szCs w:val="24"/>
        </w:rPr>
      </w:pPr>
      <w:r w:rsidRPr="00F958C7">
        <w:rPr>
          <w:rFonts w:ascii="Times New Roman" w:hAnsi="Times New Roman" w:cs="Times New Roman"/>
          <w:sz w:val="24"/>
          <w:szCs w:val="24"/>
        </w:rPr>
        <w:t>Dr. Joshua Shepherd</w:t>
      </w:r>
    </w:p>
    <w:p w14:paraId="44A1A078" w14:textId="77777777" w:rsidR="00FC4C03" w:rsidRPr="00560197" w:rsidRDefault="00FC4C03" w:rsidP="00FC4C03">
      <w:pPr>
        <w:pStyle w:val="Paragraphs"/>
        <w:spacing w:after="60"/>
        <w:ind w:left="0"/>
        <w:rPr>
          <w:rFonts w:ascii="Times New Roman" w:hAnsi="Times New Roman" w:cs="Times New Roman"/>
          <w:sz w:val="24"/>
          <w:szCs w:val="24"/>
          <w:u w:color="000E94"/>
        </w:rPr>
      </w:pPr>
    </w:p>
    <w:p w14:paraId="0795F057" w14:textId="77777777" w:rsidR="00FC4C03" w:rsidRPr="00560197" w:rsidRDefault="00FC4C03" w:rsidP="00FC4C03">
      <w:pPr>
        <w:spacing w:after="60"/>
        <w:jc w:val="center"/>
        <w:rPr>
          <w:szCs w:val="24"/>
        </w:rPr>
      </w:pPr>
      <w:r w:rsidRPr="00560197">
        <w:rPr>
          <w:b/>
          <w:szCs w:val="24"/>
        </w:rPr>
        <w:t>Office:</w:t>
      </w:r>
      <w:r>
        <w:rPr>
          <w:szCs w:val="24"/>
        </w:rPr>
        <w:t xml:space="preserve"> 3A6</w:t>
      </w:r>
      <w:r w:rsidRPr="00560197">
        <w:rPr>
          <w:szCs w:val="24"/>
        </w:rPr>
        <w:t>1</w:t>
      </w:r>
      <w:r w:rsidRPr="00560197">
        <w:rPr>
          <w:szCs w:val="24"/>
          <w:u w:color="000E94"/>
        </w:rPr>
        <w:t xml:space="preserve"> </w:t>
      </w:r>
      <w:r w:rsidRPr="00560197">
        <w:rPr>
          <w:b/>
          <w:szCs w:val="24"/>
        </w:rPr>
        <w:t>Office Telephone:</w:t>
      </w:r>
      <w:r w:rsidRPr="00560197">
        <w:rPr>
          <w:szCs w:val="24"/>
        </w:rPr>
        <w:t xml:space="preserve"> 1783</w:t>
      </w:r>
    </w:p>
    <w:p w14:paraId="1E31FDCB" w14:textId="0C94EDFA" w:rsidR="00FC4C03" w:rsidRPr="00560197" w:rsidRDefault="00FC4C03" w:rsidP="00FC4C03">
      <w:pPr>
        <w:pStyle w:val="Paragraphs"/>
        <w:spacing w:after="60"/>
        <w:ind w:left="0"/>
        <w:jc w:val="center"/>
        <w:rPr>
          <w:rFonts w:ascii="Times New Roman" w:hAnsi="Times New Roman" w:cs="Times New Roman"/>
          <w:sz w:val="24"/>
          <w:szCs w:val="24"/>
          <w:u w:color="000E94"/>
        </w:rPr>
      </w:pPr>
      <w:r w:rsidRPr="00560197">
        <w:rPr>
          <w:rFonts w:ascii="Times New Roman" w:hAnsi="Times New Roman" w:cs="Times New Roman"/>
          <w:b/>
          <w:sz w:val="24"/>
          <w:szCs w:val="24"/>
        </w:rPr>
        <w:t>Office Hours:</w:t>
      </w:r>
      <w:r w:rsidRPr="00560197">
        <w:rPr>
          <w:rFonts w:ascii="Times New Roman" w:hAnsi="Times New Roman" w:cs="Times New Roman"/>
          <w:sz w:val="24"/>
          <w:szCs w:val="24"/>
        </w:rPr>
        <w:t xml:space="preserve"> </w:t>
      </w:r>
      <w:r>
        <w:rPr>
          <w:rFonts w:ascii="Times New Roman" w:hAnsi="Times New Roman" w:cs="Times New Roman"/>
          <w:sz w:val="24"/>
          <w:szCs w:val="24"/>
          <w:u w:color="000E94"/>
        </w:rPr>
        <w:t>Mondays, 2:30-3:30</w:t>
      </w:r>
    </w:p>
    <w:p w14:paraId="7EE21375" w14:textId="77777777" w:rsidR="00FC4C03" w:rsidRPr="00560197" w:rsidRDefault="00FC4C03" w:rsidP="00FC4C03">
      <w:pPr>
        <w:pStyle w:val="Paragraphs"/>
        <w:spacing w:after="60"/>
        <w:ind w:left="0"/>
        <w:jc w:val="center"/>
        <w:rPr>
          <w:rFonts w:ascii="Times New Roman" w:hAnsi="Times New Roman" w:cs="Times New Roman"/>
          <w:sz w:val="24"/>
          <w:szCs w:val="24"/>
        </w:rPr>
      </w:pPr>
      <w:r w:rsidRPr="00560197">
        <w:rPr>
          <w:rFonts w:ascii="Times New Roman" w:hAnsi="Times New Roman" w:cs="Times New Roman"/>
          <w:b/>
          <w:sz w:val="24"/>
          <w:szCs w:val="24"/>
        </w:rPr>
        <w:t>E-mail:</w:t>
      </w:r>
      <w:r w:rsidRPr="00560197">
        <w:rPr>
          <w:rFonts w:ascii="Times New Roman" w:hAnsi="Times New Roman" w:cs="Times New Roman"/>
          <w:sz w:val="24"/>
          <w:szCs w:val="24"/>
        </w:rPr>
        <w:t xml:space="preserve"> </w:t>
      </w:r>
      <w:hyperlink r:id="rId5" w:history="1">
        <w:r w:rsidRPr="00560197">
          <w:rPr>
            <w:rStyle w:val="Hyperlink"/>
            <w:rFonts w:ascii="Times New Roman" w:hAnsi="Times New Roman" w:cs="Times New Roman"/>
            <w:sz w:val="24"/>
            <w:szCs w:val="24"/>
          </w:rPr>
          <w:t>Joshua.Shepherd@carleton.ca</w:t>
        </w:r>
      </w:hyperlink>
    </w:p>
    <w:p w14:paraId="3BB2B42D" w14:textId="77777777" w:rsidR="00AA0782" w:rsidRPr="00F958C7" w:rsidRDefault="00AA0782" w:rsidP="00AA0782">
      <w:pPr>
        <w:spacing w:after="60"/>
        <w:rPr>
          <w:b/>
          <w:szCs w:val="24"/>
        </w:rPr>
      </w:pPr>
    </w:p>
    <w:p w14:paraId="51B703D4" w14:textId="77777777" w:rsidR="00AA0782" w:rsidRPr="00F958C7" w:rsidRDefault="00AA0782" w:rsidP="00AA0782">
      <w:pPr>
        <w:spacing w:after="60"/>
        <w:rPr>
          <w:b/>
          <w:szCs w:val="24"/>
          <w:u w:val="single"/>
        </w:rPr>
      </w:pPr>
      <w:r w:rsidRPr="00F958C7">
        <w:rPr>
          <w:b/>
          <w:szCs w:val="24"/>
          <w:u w:val="single"/>
        </w:rPr>
        <w:t>Course Description</w:t>
      </w:r>
    </w:p>
    <w:p w14:paraId="06135082" w14:textId="77777777" w:rsidR="00FC4C03" w:rsidRPr="00FC4C03" w:rsidRDefault="00FC4C03" w:rsidP="00FC4C03">
      <w:r w:rsidRPr="00FC4C03">
        <w:t>This seminar will explore the notion of ‘agency’ as it figures in the philosophical psychology of several notable philosophers over the past 50 years or so. As agency has many different aspects, the work we will explore is at intersections between philosophy of action, philosophy of mind, epistemology, and the philosophy of cognitive science. We will also see how different philosophers emphasize different facets of agency, including consciousness, rationality, free will, attention, and executive control.</w:t>
      </w:r>
    </w:p>
    <w:p w14:paraId="449BBFCA" w14:textId="52CE7108" w:rsidR="00AA0782" w:rsidRDefault="00AA0782" w:rsidP="00AA0782">
      <w:pPr>
        <w:spacing w:after="60"/>
        <w:jc w:val="both"/>
        <w:rPr>
          <w:szCs w:val="24"/>
        </w:rPr>
      </w:pPr>
    </w:p>
    <w:p w14:paraId="42A65984" w14:textId="77777777" w:rsidR="00AD7CB9" w:rsidRDefault="00AD7CB9" w:rsidP="00AD7CB9">
      <w:pPr>
        <w:spacing w:after="60"/>
        <w:rPr>
          <w:b/>
          <w:szCs w:val="24"/>
          <w:u w:val="single"/>
        </w:rPr>
      </w:pPr>
      <w:r>
        <w:rPr>
          <w:b/>
          <w:szCs w:val="24"/>
          <w:u w:val="single"/>
        </w:rPr>
        <w:t>Learning outcomes</w:t>
      </w:r>
    </w:p>
    <w:p w14:paraId="02C4E63D" w14:textId="1915430F" w:rsidR="00AD7CB9" w:rsidRDefault="00AD7CB9" w:rsidP="00AD7CB9">
      <w:pPr>
        <w:spacing w:after="60"/>
        <w:rPr>
          <w:szCs w:val="24"/>
        </w:rPr>
      </w:pPr>
      <w:r>
        <w:rPr>
          <w:szCs w:val="24"/>
        </w:rPr>
        <w:t xml:space="preserve">Familiarity with key issues, themes, terms, distinctions in current </w:t>
      </w:r>
      <w:r w:rsidR="003E2439">
        <w:rPr>
          <w:szCs w:val="24"/>
        </w:rPr>
        <w:t xml:space="preserve">philosophy of </w:t>
      </w:r>
      <w:r w:rsidR="00FC4C03">
        <w:rPr>
          <w:szCs w:val="24"/>
        </w:rPr>
        <w:t>agency</w:t>
      </w:r>
      <w:r>
        <w:rPr>
          <w:szCs w:val="24"/>
        </w:rPr>
        <w:t>; improvement in critical thinking, reading and writing skills.</w:t>
      </w:r>
    </w:p>
    <w:p w14:paraId="56C157FF" w14:textId="77777777" w:rsidR="00AD7CB9" w:rsidRPr="0035395A" w:rsidRDefault="00AD7CB9" w:rsidP="00AD7CB9">
      <w:pPr>
        <w:spacing w:after="60"/>
        <w:rPr>
          <w:szCs w:val="24"/>
        </w:rPr>
      </w:pPr>
    </w:p>
    <w:p w14:paraId="261988E4" w14:textId="77777777" w:rsidR="00AA0782" w:rsidRPr="00F958C7" w:rsidRDefault="00AA0782" w:rsidP="00AA0782">
      <w:pPr>
        <w:spacing w:after="60"/>
        <w:rPr>
          <w:b/>
          <w:szCs w:val="24"/>
          <w:u w:val="single"/>
        </w:rPr>
      </w:pPr>
      <w:r w:rsidRPr="00F958C7">
        <w:rPr>
          <w:b/>
          <w:szCs w:val="24"/>
          <w:u w:val="single"/>
        </w:rPr>
        <w:t>Electronic Devices in the Classroom</w:t>
      </w:r>
    </w:p>
    <w:p w14:paraId="3CA56ADF" w14:textId="77777777" w:rsidR="00AA0782" w:rsidRPr="00F958C7" w:rsidRDefault="00AA0782" w:rsidP="00AA0782">
      <w:pPr>
        <w:spacing w:after="60"/>
        <w:rPr>
          <w:szCs w:val="24"/>
        </w:rPr>
      </w:pPr>
      <w:r w:rsidRPr="00F958C7">
        <w:rPr>
          <w:szCs w:val="24"/>
        </w:rPr>
        <w:t xml:space="preserve">Please turn off (or silence) your cell phones and put them away before the start of class. The use of laptops for the </w:t>
      </w:r>
      <w:r w:rsidRPr="00F958C7">
        <w:rPr>
          <w:b/>
          <w:szCs w:val="24"/>
        </w:rPr>
        <w:t>sole purpose</w:t>
      </w:r>
      <w:r w:rsidRPr="00F958C7">
        <w:rPr>
          <w:szCs w:val="24"/>
        </w:rPr>
        <w:t xml:space="preserve"> of note-taking is permitted.</w:t>
      </w:r>
    </w:p>
    <w:p w14:paraId="3101B0E6" w14:textId="77777777" w:rsidR="00AA0782" w:rsidRPr="00F958C7" w:rsidRDefault="00AA0782" w:rsidP="00AA0782">
      <w:pPr>
        <w:spacing w:after="60"/>
        <w:rPr>
          <w:szCs w:val="24"/>
        </w:rPr>
      </w:pPr>
    </w:p>
    <w:p w14:paraId="28EC30C3" w14:textId="77777777" w:rsidR="00AA0782" w:rsidRPr="00F958C7" w:rsidRDefault="00AA0782" w:rsidP="00AA0782">
      <w:pPr>
        <w:autoSpaceDE w:val="0"/>
        <w:autoSpaceDN w:val="0"/>
        <w:adjustRightInd w:val="0"/>
        <w:spacing w:after="60"/>
        <w:rPr>
          <w:szCs w:val="24"/>
          <w:u w:val="single"/>
        </w:rPr>
      </w:pPr>
      <w:r w:rsidRPr="00F958C7">
        <w:rPr>
          <w:b/>
          <w:szCs w:val="24"/>
          <w:u w:val="single"/>
        </w:rPr>
        <w:t>Course Materials</w:t>
      </w:r>
    </w:p>
    <w:p w14:paraId="08176E14" w14:textId="77777777" w:rsidR="00AA0782" w:rsidRPr="00F958C7" w:rsidRDefault="00AA0782" w:rsidP="00AA0782">
      <w:pPr>
        <w:spacing w:after="60"/>
        <w:rPr>
          <w:szCs w:val="24"/>
        </w:rPr>
      </w:pPr>
      <w:r w:rsidRPr="00F958C7">
        <w:rPr>
          <w:szCs w:val="24"/>
        </w:rPr>
        <w:t xml:space="preserve">All required readings and additional resources will be made available on </w:t>
      </w:r>
      <w:proofErr w:type="spellStart"/>
      <w:r w:rsidRPr="00F958C7">
        <w:rPr>
          <w:szCs w:val="24"/>
        </w:rPr>
        <w:t>cuLearn</w:t>
      </w:r>
      <w:proofErr w:type="spellEnd"/>
      <w:r w:rsidRPr="00F958C7">
        <w:rPr>
          <w:szCs w:val="24"/>
        </w:rPr>
        <w:t>.</w:t>
      </w:r>
    </w:p>
    <w:p w14:paraId="05E6A274" w14:textId="77777777" w:rsidR="00AA0782" w:rsidRPr="00F958C7" w:rsidRDefault="00AA0782" w:rsidP="00AA0782">
      <w:pPr>
        <w:spacing w:after="60"/>
        <w:rPr>
          <w:b/>
          <w:szCs w:val="24"/>
        </w:rPr>
      </w:pPr>
    </w:p>
    <w:p w14:paraId="7BF2DD8E" w14:textId="77777777" w:rsidR="00AA0782" w:rsidRPr="00F958C7" w:rsidRDefault="00AA0782" w:rsidP="00AA0782">
      <w:pPr>
        <w:spacing w:after="60"/>
        <w:jc w:val="both"/>
        <w:rPr>
          <w:b/>
          <w:szCs w:val="24"/>
          <w:u w:val="single"/>
        </w:rPr>
      </w:pPr>
      <w:r w:rsidRPr="00F958C7">
        <w:rPr>
          <w:b/>
          <w:szCs w:val="24"/>
          <w:u w:val="single"/>
        </w:rPr>
        <w:t>Course Requirements and Grade policies</w:t>
      </w:r>
    </w:p>
    <w:p w14:paraId="2F2A913D" w14:textId="77777777" w:rsidR="00AA0782" w:rsidRPr="00F958C7" w:rsidRDefault="00AA0782" w:rsidP="00AA0782">
      <w:pPr>
        <w:spacing w:after="60"/>
        <w:jc w:val="both"/>
        <w:rPr>
          <w:szCs w:val="24"/>
        </w:rPr>
      </w:pPr>
      <w:r w:rsidRPr="00F958C7">
        <w:rPr>
          <w:i/>
          <w:szCs w:val="24"/>
        </w:rPr>
        <w:t>Grade Schematic</w:t>
      </w:r>
    </w:p>
    <w:p w14:paraId="7834D224" w14:textId="0457AF3E" w:rsidR="004601D4" w:rsidRDefault="004601D4" w:rsidP="00AA0782">
      <w:pPr>
        <w:pStyle w:val="ListParagraph"/>
        <w:spacing w:after="60"/>
        <w:contextualSpacing w:val="0"/>
        <w:jc w:val="both"/>
        <w:rPr>
          <w:szCs w:val="24"/>
        </w:rPr>
      </w:pPr>
      <w:r>
        <w:rPr>
          <w:szCs w:val="24"/>
        </w:rPr>
        <w:t>4007</w:t>
      </w:r>
      <w:r w:rsidR="00603135">
        <w:rPr>
          <w:szCs w:val="24"/>
        </w:rPr>
        <w:t>A</w:t>
      </w:r>
    </w:p>
    <w:p w14:paraId="5A9F1D43" w14:textId="457F4C4E" w:rsidR="003E2439" w:rsidRDefault="00AA0782" w:rsidP="00AA0782">
      <w:pPr>
        <w:pStyle w:val="ListParagraph"/>
        <w:spacing w:after="60"/>
        <w:contextualSpacing w:val="0"/>
        <w:jc w:val="both"/>
        <w:rPr>
          <w:szCs w:val="24"/>
        </w:rPr>
      </w:pPr>
      <w:r w:rsidRPr="00F958C7">
        <w:rPr>
          <w:szCs w:val="24"/>
        </w:rPr>
        <w:t xml:space="preserve">Papers: </w:t>
      </w:r>
      <w:r w:rsidR="003E2439">
        <w:rPr>
          <w:szCs w:val="24"/>
        </w:rPr>
        <w:t>due each week at the beginning of class. Grades distributed evenly amongst them</w:t>
      </w:r>
      <w:r w:rsidR="009B333B">
        <w:rPr>
          <w:szCs w:val="24"/>
        </w:rPr>
        <w:t xml:space="preserve"> to reach </w:t>
      </w:r>
      <w:r w:rsidR="00FC4C03">
        <w:rPr>
          <w:szCs w:val="24"/>
        </w:rPr>
        <w:t>9</w:t>
      </w:r>
      <w:r w:rsidR="009B333B">
        <w:rPr>
          <w:szCs w:val="24"/>
        </w:rPr>
        <w:t>0% of the overall grade.</w:t>
      </w:r>
    </w:p>
    <w:p w14:paraId="369E7F54" w14:textId="382FE3CE" w:rsidR="00603135" w:rsidRDefault="00603135" w:rsidP="00AA0782">
      <w:pPr>
        <w:pStyle w:val="ListParagraph"/>
        <w:spacing w:after="60"/>
        <w:contextualSpacing w:val="0"/>
        <w:jc w:val="both"/>
        <w:rPr>
          <w:szCs w:val="24"/>
        </w:rPr>
      </w:pPr>
      <w:r>
        <w:rPr>
          <w:szCs w:val="24"/>
        </w:rPr>
        <w:t>Attendance and participation: 10%.</w:t>
      </w:r>
    </w:p>
    <w:p w14:paraId="4F41FE5B" w14:textId="32EA8948" w:rsidR="004601D4" w:rsidRDefault="004601D4" w:rsidP="00AA0782">
      <w:pPr>
        <w:pStyle w:val="ListParagraph"/>
        <w:spacing w:after="60"/>
        <w:contextualSpacing w:val="0"/>
        <w:jc w:val="both"/>
        <w:rPr>
          <w:szCs w:val="24"/>
        </w:rPr>
      </w:pPr>
      <w:r>
        <w:rPr>
          <w:szCs w:val="24"/>
        </w:rPr>
        <w:t>5500</w:t>
      </w:r>
      <w:r w:rsidR="00603135">
        <w:rPr>
          <w:szCs w:val="24"/>
        </w:rPr>
        <w:t>A</w:t>
      </w:r>
    </w:p>
    <w:p w14:paraId="10132B8D" w14:textId="6A3C9FC0" w:rsidR="00603135" w:rsidRDefault="00603135" w:rsidP="00603135">
      <w:pPr>
        <w:pStyle w:val="ListParagraph"/>
        <w:spacing w:after="60"/>
        <w:contextualSpacing w:val="0"/>
        <w:jc w:val="both"/>
        <w:rPr>
          <w:szCs w:val="24"/>
        </w:rPr>
      </w:pPr>
      <w:r w:rsidRPr="00F958C7">
        <w:rPr>
          <w:szCs w:val="24"/>
        </w:rPr>
        <w:t xml:space="preserve">Papers: </w:t>
      </w:r>
      <w:r>
        <w:rPr>
          <w:szCs w:val="24"/>
        </w:rPr>
        <w:t xml:space="preserve">due each week at the beginning of class. Grades distributed evenly amongst them to reach </w:t>
      </w:r>
      <w:r w:rsidR="00843379">
        <w:rPr>
          <w:szCs w:val="24"/>
        </w:rPr>
        <w:t>9</w:t>
      </w:r>
      <w:r>
        <w:rPr>
          <w:szCs w:val="24"/>
        </w:rPr>
        <w:t>0% of the overall grade.</w:t>
      </w:r>
    </w:p>
    <w:p w14:paraId="3F621A17" w14:textId="1540ECE7" w:rsidR="004601D4" w:rsidRDefault="00843379" w:rsidP="00AA0782">
      <w:pPr>
        <w:pStyle w:val="ListParagraph"/>
        <w:spacing w:after="60"/>
        <w:contextualSpacing w:val="0"/>
        <w:jc w:val="both"/>
        <w:rPr>
          <w:szCs w:val="24"/>
        </w:rPr>
      </w:pPr>
      <w:r>
        <w:rPr>
          <w:szCs w:val="24"/>
        </w:rPr>
        <w:lastRenderedPageBreak/>
        <w:t>Attendance and in-class discussion: 10%. (I require 5500A students to be ready to discuss aspects of the papers if called upon in class.)</w:t>
      </w:r>
    </w:p>
    <w:p w14:paraId="306362D9" w14:textId="77777777" w:rsidR="00F958C7" w:rsidRDefault="00AA0782" w:rsidP="00F958C7">
      <w:pPr>
        <w:pStyle w:val="ListParagraph"/>
        <w:spacing w:after="60"/>
        <w:contextualSpacing w:val="0"/>
        <w:jc w:val="both"/>
        <w:rPr>
          <w:szCs w:val="24"/>
        </w:rPr>
      </w:pPr>
      <w:r w:rsidRPr="00F958C7">
        <w:rPr>
          <w:szCs w:val="24"/>
        </w:rPr>
        <w:tab/>
      </w:r>
      <w:r w:rsidRPr="00F958C7">
        <w:rPr>
          <w:szCs w:val="24"/>
        </w:rPr>
        <w:tab/>
      </w:r>
      <w:r w:rsidRPr="00F958C7">
        <w:rPr>
          <w:szCs w:val="24"/>
        </w:rPr>
        <w:tab/>
      </w:r>
      <w:r w:rsidRPr="00F958C7">
        <w:rPr>
          <w:szCs w:val="24"/>
        </w:rPr>
        <w:tab/>
      </w:r>
    </w:p>
    <w:p w14:paraId="09884E34" w14:textId="4A8D935D" w:rsidR="00AA0782" w:rsidRPr="00F958C7" w:rsidRDefault="00AA0782" w:rsidP="00F958C7">
      <w:pPr>
        <w:spacing w:after="60"/>
        <w:jc w:val="both"/>
        <w:rPr>
          <w:szCs w:val="24"/>
        </w:rPr>
      </w:pPr>
      <w:r w:rsidRPr="00F958C7">
        <w:rPr>
          <w:i/>
          <w:szCs w:val="24"/>
        </w:rPr>
        <w:t>Paper</w:t>
      </w:r>
      <w:r w:rsidR="00F958C7">
        <w:rPr>
          <w:i/>
          <w:szCs w:val="24"/>
        </w:rPr>
        <w:t>s</w:t>
      </w:r>
    </w:p>
    <w:p w14:paraId="5A789D11" w14:textId="3EA5118C" w:rsidR="00FC4C03" w:rsidRDefault="00AA0782" w:rsidP="00AA0782">
      <w:pPr>
        <w:spacing w:after="60"/>
        <w:rPr>
          <w:szCs w:val="24"/>
        </w:rPr>
      </w:pPr>
      <w:r w:rsidRPr="00F958C7">
        <w:rPr>
          <w:szCs w:val="24"/>
        </w:rPr>
        <w:t xml:space="preserve">You will write </w:t>
      </w:r>
      <w:r w:rsidR="003E2439">
        <w:rPr>
          <w:szCs w:val="24"/>
        </w:rPr>
        <w:t xml:space="preserve">a </w:t>
      </w:r>
      <w:r w:rsidR="00FC4C03">
        <w:rPr>
          <w:szCs w:val="24"/>
        </w:rPr>
        <w:t xml:space="preserve">one-page </w:t>
      </w:r>
      <w:r w:rsidR="003E2439">
        <w:rPr>
          <w:szCs w:val="24"/>
        </w:rPr>
        <w:t xml:space="preserve">paper </w:t>
      </w:r>
      <w:r w:rsidR="00FC4C03">
        <w:rPr>
          <w:szCs w:val="24"/>
        </w:rPr>
        <w:t>on each reading assignment. Each paper should present a very tight summary of the main argument of the reading assignment, as well as a very tight assessment of the cogency of the main argument. These will probably get better over the course of the term, as you begin to see what I want out of these.</w:t>
      </w:r>
    </w:p>
    <w:p w14:paraId="0C7C5CDB" w14:textId="77777777" w:rsidR="00AA0782" w:rsidRPr="00F958C7" w:rsidRDefault="00AA0782" w:rsidP="00AA0782">
      <w:pPr>
        <w:spacing w:after="60"/>
        <w:rPr>
          <w:szCs w:val="24"/>
        </w:rPr>
      </w:pPr>
    </w:p>
    <w:p w14:paraId="0D27E3BE" w14:textId="5F3115EB" w:rsidR="003E2439" w:rsidRDefault="00F958C7" w:rsidP="00AA0782">
      <w:pPr>
        <w:spacing w:after="60"/>
        <w:rPr>
          <w:szCs w:val="24"/>
        </w:rPr>
      </w:pPr>
      <w:r>
        <w:rPr>
          <w:szCs w:val="24"/>
        </w:rPr>
        <w:t xml:space="preserve">Papers will be </w:t>
      </w:r>
      <w:r w:rsidR="00FC4C03">
        <w:rPr>
          <w:szCs w:val="24"/>
        </w:rPr>
        <w:t>single</w:t>
      </w:r>
      <w:r>
        <w:rPr>
          <w:szCs w:val="24"/>
        </w:rPr>
        <w:t>-spaced, Time</w:t>
      </w:r>
      <w:r w:rsidR="00F73914">
        <w:rPr>
          <w:szCs w:val="24"/>
        </w:rPr>
        <w:t>s New Roman, 12 point, with one-</w:t>
      </w:r>
      <w:r>
        <w:rPr>
          <w:szCs w:val="24"/>
        </w:rPr>
        <w:t xml:space="preserve">inch margins. </w:t>
      </w:r>
      <w:r w:rsidR="00FC4C03">
        <w:rPr>
          <w:szCs w:val="24"/>
        </w:rPr>
        <w:t xml:space="preserve">One page only. </w:t>
      </w:r>
      <w:r w:rsidR="00273EFF">
        <w:rPr>
          <w:szCs w:val="24"/>
        </w:rPr>
        <w:t>Any failure to follow these rules will result in the paper being given a zero.</w:t>
      </w:r>
    </w:p>
    <w:p w14:paraId="4BFE011E" w14:textId="39AC4C68" w:rsidR="003E2439" w:rsidRDefault="003E2439" w:rsidP="00AA0782">
      <w:pPr>
        <w:spacing w:after="60"/>
        <w:rPr>
          <w:szCs w:val="24"/>
        </w:rPr>
      </w:pPr>
      <w:r>
        <w:rPr>
          <w:szCs w:val="24"/>
        </w:rPr>
        <w:t>Bring the paper</w:t>
      </w:r>
      <w:r w:rsidR="00FC4C03">
        <w:rPr>
          <w:szCs w:val="24"/>
        </w:rPr>
        <w:t xml:space="preserve">s </w:t>
      </w:r>
      <w:r>
        <w:rPr>
          <w:szCs w:val="24"/>
        </w:rPr>
        <w:t>to class.</w:t>
      </w:r>
      <w:r w:rsidR="00603135">
        <w:rPr>
          <w:szCs w:val="24"/>
        </w:rPr>
        <w:t xml:space="preserve"> Late papers are not accepted.</w:t>
      </w:r>
    </w:p>
    <w:p w14:paraId="33966F75" w14:textId="77777777" w:rsidR="00AA0782" w:rsidRPr="00F958C7" w:rsidRDefault="00AA0782" w:rsidP="00AA0782">
      <w:pPr>
        <w:spacing w:after="60"/>
        <w:rPr>
          <w:szCs w:val="24"/>
        </w:rPr>
      </w:pPr>
    </w:p>
    <w:p w14:paraId="30C16279" w14:textId="05EB7D13" w:rsidR="00AD7CB9" w:rsidRDefault="00AD7CB9" w:rsidP="00AA0782">
      <w:pPr>
        <w:spacing w:after="60"/>
        <w:rPr>
          <w:szCs w:val="24"/>
        </w:rPr>
      </w:pPr>
    </w:p>
    <w:p w14:paraId="01D44622" w14:textId="77777777" w:rsidR="00AD7CB9" w:rsidRDefault="00AD7CB9" w:rsidP="00AD7CB9">
      <w:pPr>
        <w:pStyle w:val="Default"/>
        <w:rPr>
          <w:sz w:val="22"/>
          <w:szCs w:val="22"/>
        </w:rPr>
      </w:pPr>
      <w:r>
        <w:rPr>
          <w:b/>
          <w:bCs/>
          <w:sz w:val="22"/>
          <w:szCs w:val="22"/>
        </w:rPr>
        <w:t xml:space="preserve">PLAGIARISM </w:t>
      </w:r>
    </w:p>
    <w:p w14:paraId="479325AC" w14:textId="77777777" w:rsidR="00AD7CB9" w:rsidRPr="0035395A" w:rsidRDefault="00AD7CB9" w:rsidP="00AD7CB9">
      <w:r w:rsidRPr="0035395A">
        <w:t>The University Senate defines plagiarism as “</w:t>
      </w:r>
      <w:r>
        <w:rPr>
          <w:i/>
        </w:rPr>
        <w:t xml:space="preserve">presenting, whether intentionally or not, the ideas, expression of ideas or work of others as one’s own.” </w:t>
      </w:r>
      <w:r w:rsidRPr="0035395A">
        <w:t xml:space="preserve">This can include: </w:t>
      </w:r>
    </w:p>
    <w:p w14:paraId="73190E7A" w14:textId="77777777" w:rsidR="00AD7CB9" w:rsidRPr="0035395A" w:rsidRDefault="00AD7CB9" w:rsidP="00AD7CB9">
      <w:r>
        <w:t xml:space="preserve"> </w:t>
      </w:r>
      <w:r w:rsidRPr="0035395A">
        <w:t xml:space="preserve">reproducing or paraphrasing portions of someone else’s published or unpublished material, regardless of the source, and presenting these as one’s own without proper citation or reference to the original source; </w:t>
      </w:r>
    </w:p>
    <w:p w14:paraId="234D4ABE" w14:textId="77777777" w:rsidR="00AD7CB9" w:rsidRPr="0035395A" w:rsidRDefault="00AD7CB9" w:rsidP="00AD7CB9">
      <w:r>
        <w:t xml:space="preserve"> </w:t>
      </w:r>
      <w:r w:rsidRPr="0035395A">
        <w:t xml:space="preserve">submitting a take-home examination, essay, laboratory report or other assignment written, in whole or in part, by someone else; </w:t>
      </w:r>
    </w:p>
    <w:p w14:paraId="67392E91" w14:textId="77777777" w:rsidR="00AD7CB9" w:rsidRPr="0035395A" w:rsidRDefault="00AD7CB9" w:rsidP="00AD7CB9">
      <w:r>
        <w:t xml:space="preserve"> </w:t>
      </w:r>
      <w:r w:rsidRPr="0035395A">
        <w:t xml:space="preserve">using ideas or direct, verbatim quotations, or paraphrased material, concepts, or ideas without appropriate acknowledgment in any academic assignment; </w:t>
      </w:r>
    </w:p>
    <w:p w14:paraId="17BC5ED3" w14:textId="77777777" w:rsidR="00AD7CB9" w:rsidRPr="0035395A" w:rsidRDefault="00AD7CB9" w:rsidP="00AD7CB9">
      <w:r>
        <w:t xml:space="preserve"> </w:t>
      </w:r>
      <w:r>
        <w:rPr>
          <w:i/>
        </w:rPr>
        <w:t>using another’s data or research findings;</w:t>
      </w:r>
    </w:p>
    <w:p w14:paraId="308E7894" w14:textId="77777777" w:rsidR="00AD7CB9" w:rsidRPr="0035395A" w:rsidRDefault="00AD7CB9" w:rsidP="00AD7CB9">
      <w:r>
        <w:t xml:space="preserve"> </w:t>
      </w:r>
      <w:r w:rsidRPr="0035395A">
        <w:t xml:space="preserve">failing to acknowledge sources through the use of proper citations when using another’s works and/or failing to use quotation marks; </w:t>
      </w:r>
    </w:p>
    <w:p w14:paraId="64B49AE2" w14:textId="77777777" w:rsidR="00AD7CB9" w:rsidRPr="0035395A" w:rsidRDefault="00AD7CB9" w:rsidP="00AD7CB9">
      <w:r>
        <w:t xml:space="preserve"> </w:t>
      </w:r>
      <w:r w:rsidRPr="0035395A">
        <w:t xml:space="preserve">handing in "substantially the same piece of work for academic credit more than once without prior written permission of the course instructor in which the submission occurs." </w:t>
      </w:r>
    </w:p>
    <w:p w14:paraId="7FA6B720" w14:textId="77777777" w:rsidR="00AD7CB9" w:rsidRPr="0035395A" w:rsidRDefault="00AD7CB9" w:rsidP="00AD7CB9"/>
    <w:p w14:paraId="3629EF76" w14:textId="2B52B8BD" w:rsidR="00AD7CB9" w:rsidRPr="00AD7CB9" w:rsidRDefault="00AD7CB9" w:rsidP="00AD7CB9">
      <w:r w:rsidRPr="0035395A">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4CD4462E" w14:textId="188304D7" w:rsidR="00AA0782" w:rsidRPr="00F958C7" w:rsidRDefault="00AA0782" w:rsidP="00AA0782">
      <w:pPr>
        <w:spacing w:after="60"/>
        <w:jc w:val="both"/>
        <w:rPr>
          <w:szCs w:val="24"/>
        </w:rPr>
      </w:pPr>
    </w:p>
    <w:p w14:paraId="06953C4A" w14:textId="77777777" w:rsidR="00AA0782" w:rsidRPr="00F958C7" w:rsidRDefault="00AA0782" w:rsidP="00AA0782">
      <w:pPr>
        <w:spacing w:after="60"/>
        <w:jc w:val="both"/>
        <w:rPr>
          <w:i/>
          <w:szCs w:val="24"/>
        </w:rPr>
      </w:pPr>
      <w:r w:rsidRPr="00F958C7">
        <w:rPr>
          <w:i/>
          <w:szCs w:val="24"/>
        </w:rPr>
        <w:t>Late assignments policy</w:t>
      </w:r>
    </w:p>
    <w:p w14:paraId="263693BD" w14:textId="61FBA600" w:rsidR="00AA0782" w:rsidRDefault="003E2439" w:rsidP="00AA0782">
      <w:pPr>
        <w:pStyle w:val="ListParagraph"/>
        <w:spacing w:after="60"/>
        <w:contextualSpacing w:val="0"/>
        <w:jc w:val="both"/>
        <w:rPr>
          <w:szCs w:val="24"/>
        </w:rPr>
      </w:pPr>
      <w:r>
        <w:rPr>
          <w:szCs w:val="24"/>
        </w:rPr>
        <w:t xml:space="preserve">Late </w:t>
      </w:r>
      <w:r w:rsidR="00603135">
        <w:rPr>
          <w:szCs w:val="24"/>
        </w:rPr>
        <w:t>assignments</w:t>
      </w:r>
      <w:r>
        <w:rPr>
          <w:szCs w:val="24"/>
        </w:rPr>
        <w:t xml:space="preserve"> will </w:t>
      </w:r>
      <w:r w:rsidR="00843379">
        <w:rPr>
          <w:szCs w:val="24"/>
        </w:rPr>
        <w:t xml:space="preserve">generally </w:t>
      </w:r>
      <w:r>
        <w:rPr>
          <w:szCs w:val="24"/>
        </w:rPr>
        <w:t xml:space="preserve">not be accepted. If you </w:t>
      </w:r>
      <w:r w:rsidR="00843379">
        <w:rPr>
          <w:szCs w:val="24"/>
        </w:rPr>
        <w:t xml:space="preserve">wish to appeal this, then we will have a conversation about this and I will make a judgment based upon details of the case. This may include accepting the assignment at a reduced grade; it may include not accepting the assignment. If you miss the class due to illness, </w:t>
      </w:r>
      <w:r>
        <w:rPr>
          <w:szCs w:val="24"/>
        </w:rPr>
        <w:t>then e-mail the paper</w:t>
      </w:r>
      <w:r w:rsidR="00843379">
        <w:rPr>
          <w:szCs w:val="24"/>
        </w:rPr>
        <w:t>s</w:t>
      </w:r>
      <w:r>
        <w:rPr>
          <w:szCs w:val="24"/>
        </w:rPr>
        <w:t xml:space="preserve"> to me along with a</w:t>
      </w:r>
      <w:r w:rsidR="00843379">
        <w:rPr>
          <w:szCs w:val="24"/>
        </w:rPr>
        <w:t>n explanation</w:t>
      </w:r>
      <w:r>
        <w:rPr>
          <w:szCs w:val="24"/>
        </w:rPr>
        <w:t>.</w:t>
      </w:r>
      <w:r w:rsidR="00FC4C03">
        <w:rPr>
          <w:szCs w:val="24"/>
        </w:rPr>
        <w:t xml:space="preserve"> </w:t>
      </w:r>
    </w:p>
    <w:p w14:paraId="16CE7D9F" w14:textId="77777777" w:rsidR="00AA0782" w:rsidRPr="00F958C7" w:rsidRDefault="00AA0782" w:rsidP="00AA0782">
      <w:pPr>
        <w:spacing w:after="60"/>
        <w:rPr>
          <w:szCs w:val="24"/>
        </w:rPr>
      </w:pPr>
    </w:p>
    <w:p w14:paraId="0AB60CF0" w14:textId="77777777" w:rsidR="00AA0782" w:rsidRPr="00F958C7" w:rsidRDefault="00AA0782" w:rsidP="00AA0782">
      <w:pPr>
        <w:spacing w:after="60"/>
        <w:rPr>
          <w:b/>
          <w:szCs w:val="24"/>
          <w:u w:val="single"/>
        </w:rPr>
      </w:pPr>
      <w:r w:rsidRPr="00F958C7">
        <w:rPr>
          <w:b/>
          <w:szCs w:val="24"/>
          <w:u w:val="single"/>
        </w:rPr>
        <w:t>Readings</w:t>
      </w:r>
    </w:p>
    <w:p w14:paraId="051B144E" w14:textId="20C30332" w:rsidR="00AA0782" w:rsidRPr="00F958C7" w:rsidRDefault="00AA0782" w:rsidP="00AA0782">
      <w:pPr>
        <w:spacing w:before="2" w:after="60"/>
        <w:rPr>
          <w:szCs w:val="24"/>
        </w:rPr>
      </w:pPr>
      <w:r w:rsidRPr="00F958C7">
        <w:rPr>
          <w:szCs w:val="24"/>
        </w:rPr>
        <w:lastRenderedPageBreak/>
        <w:t xml:space="preserve">I will assign readings each week based upon our previous progress. </w:t>
      </w:r>
      <w:r w:rsidRPr="00F958C7">
        <w:rPr>
          <w:b/>
          <w:szCs w:val="24"/>
        </w:rPr>
        <w:t xml:space="preserve">We may not discuss all of these readings in class. Some of these may be relegated to ‘optional reading’ as we move through. </w:t>
      </w:r>
      <w:r w:rsidR="00F958C7">
        <w:rPr>
          <w:b/>
          <w:szCs w:val="24"/>
        </w:rPr>
        <w:t xml:space="preserve">Some readings may be added as we go along. </w:t>
      </w:r>
      <w:r w:rsidRPr="00F958C7">
        <w:rPr>
          <w:szCs w:val="24"/>
        </w:rPr>
        <w:t>The course outline gives a general prediction regarding the progress we will make.</w:t>
      </w:r>
    </w:p>
    <w:p w14:paraId="7AE6A1E4" w14:textId="77777777" w:rsidR="00AA0782" w:rsidRPr="00F958C7" w:rsidRDefault="00AA0782" w:rsidP="00AA0782">
      <w:pPr>
        <w:spacing w:after="60"/>
        <w:rPr>
          <w:szCs w:val="24"/>
        </w:rPr>
      </w:pPr>
    </w:p>
    <w:p w14:paraId="7CDD9273" w14:textId="77777777" w:rsidR="00AA0782" w:rsidRPr="00F958C7" w:rsidRDefault="00AA0782" w:rsidP="00AA0782">
      <w:pPr>
        <w:spacing w:after="60"/>
        <w:rPr>
          <w:b/>
          <w:szCs w:val="24"/>
          <w:u w:val="single"/>
        </w:rPr>
      </w:pPr>
      <w:r w:rsidRPr="00F958C7">
        <w:rPr>
          <w:b/>
          <w:szCs w:val="24"/>
          <w:u w:val="single"/>
        </w:rPr>
        <w:t>Course Outline</w:t>
      </w:r>
    </w:p>
    <w:p w14:paraId="5F085202" w14:textId="77777777" w:rsidR="00FC4C03" w:rsidRPr="00FC4C03" w:rsidRDefault="00FC4C03" w:rsidP="00FC4C03">
      <w:pPr>
        <w:rPr>
          <w:b/>
          <w:bCs/>
        </w:rPr>
      </w:pPr>
      <w:r w:rsidRPr="00FC4C03">
        <w:rPr>
          <w:b/>
          <w:bCs/>
        </w:rPr>
        <w:t>Big picture treatments of human agency (weeks 1-3)</w:t>
      </w:r>
    </w:p>
    <w:p w14:paraId="5D3F094B" w14:textId="77777777" w:rsidR="00FC4C03" w:rsidRPr="00FC4C03" w:rsidRDefault="00FC4C03" w:rsidP="00FC4C03">
      <w:pPr>
        <w:rPr>
          <w:lang w:val="en-CA"/>
        </w:rPr>
      </w:pPr>
      <w:r w:rsidRPr="00FC4C03">
        <w:rPr>
          <w:color w:val="222222"/>
          <w:shd w:val="clear" w:color="auto" w:fill="FFFFFF"/>
          <w:lang w:val="en-CA"/>
        </w:rPr>
        <w:t>Frankfurt, H. G. (1971). Freedom of the Will and the Concept of a Person. </w:t>
      </w:r>
      <w:r w:rsidRPr="00FC4C03">
        <w:rPr>
          <w:i/>
          <w:iCs/>
          <w:color w:val="222222"/>
          <w:shd w:val="clear" w:color="auto" w:fill="FFFFFF"/>
          <w:lang w:val="en-CA"/>
        </w:rPr>
        <w:t>The Journal of Philosophy</w:t>
      </w:r>
      <w:r w:rsidRPr="00FC4C03">
        <w:rPr>
          <w:color w:val="222222"/>
          <w:shd w:val="clear" w:color="auto" w:fill="FFFFFF"/>
          <w:lang w:val="en-CA"/>
        </w:rPr>
        <w:t>, </w:t>
      </w:r>
      <w:r w:rsidRPr="00FC4C03">
        <w:rPr>
          <w:i/>
          <w:iCs/>
          <w:color w:val="222222"/>
          <w:shd w:val="clear" w:color="auto" w:fill="FFFFFF"/>
          <w:lang w:val="en-CA"/>
        </w:rPr>
        <w:t>68</w:t>
      </w:r>
      <w:r w:rsidRPr="00FC4C03">
        <w:rPr>
          <w:color w:val="222222"/>
          <w:shd w:val="clear" w:color="auto" w:fill="FFFFFF"/>
          <w:lang w:val="en-CA"/>
        </w:rPr>
        <w:t>(1), 5-20.</w:t>
      </w:r>
    </w:p>
    <w:p w14:paraId="565468AC" w14:textId="77777777" w:rsidR="00FC4C03" w:rsidRPr="00FC4C03" w:rsidRDefault="00FC4C03" w:rsidP="00FC4C03">
      <w:pPr>
        <w:rPr>
          <w:lang w:val="en-CA"/>
        </w:rPr>
      </w:pPr>
      <w:r w:rsidRPr="00FC4C03">
        <w:rPr>
          <w:color w:val="222222"/>
          <w:shd w:val="clear" w:color="auto" w:fill="FFFFFF"/>
          <w:lang w:val="en-CA"/>
        </w:rPr>
        <w:t>Watson, G. (1975). Free agency. </w:t>
      </w:r>
      <w:r w:rsidRPr="00FC4C03">
        <w:rPr>
          <w:i/>
          <w:iCs/>
          <w:color w:val="222222"/>
          <w:shd w:val="clear" w:color="auto" w:fill="FFFFFF"/>
          <w:lang w:val="en-CA"/>
        </w:rPr>
        <w:t>The Journal of Philosophy</w:t>
      </w:r>
      <w:r w:rsidRPr="00FC4C03">
        <w:rPr>
          <w:color w:val="222222"/>
          <w:shd w:val="clear" w:color="auto" w:fill="FFFFFF"/>
          <w:lang w:val="en-CA"/>
        </w:rPr>
        <w:t>, </w:t>
      </w:r>
      <w:r w:rsidRPr="00FC4C03">
        <w:rPr>
          <w:i/>
          <w:iCs/>
          <w:color w:val="222222"/>
          <w:shd w:val="clear" w:color="auto" w:fill="FFFFFF"/>
          <w:lang w:val="en-CA"/>
        </w:rPr>
        <w:t>72</w:t>
      </w:r>
      <w:r w:rsidRPr="00FC4C03">
        <w:rPr>
          <w:color w:val="222222"/>
          <w:shd w:val="clear" w:color="auto" w:fill="FFFFFF"/>
          <w:lang w:val="en-CA"/>
        </w:rPr>
        <w:t>(8), 205-220.</w:t>
      </w:r>
    </w:p>
    <w:p w14:paraId="7F4073EF" w14:textId="77777777" w:rsidR="00FC4C03" w:rsidRPr="00FC4C03" w:rsidRDefault="00FC4C03" w:rsidP="00FC4C03">
      <w:pPr>
        <w:rPr>
          <w:lang w:val="en-CA"/>
        </w:rPr>
      </w:pPr>
      <w:r w:rsidRPr="00FC4C03">
        <w:rPr>
          <w:color w:val="222222"/>
          <w:shd w:val="clear" w:color="auto" w:fill="FFFFFF"/>
          <w:lang w:val="en-CA"/>
        </w:rPr>
        <w:t>Shoemaker, D. W. (2003). Caring, identification, and agency. </w:t>
      </w:r>
      <w:r w:rsidRPr="00FC4C03">
        <w:rPr>
          <w:i/>
          <w:iCs/>
          <w:color w:val="222222"/>
          <w:shd w:val="clear" w:color="auto" w:fill="FFFFFF"/>
          <w:lang w:val="en-CA"/>
        </w:rPr>
        <w:t>Ethics</w:t>
      </w:r>
      <w:r w:rsidRPr="00FC4C03">
        <w:rPr>
          <w:color w:val="222222"/>
          <w:shd w:val="clear" w:color="auto" w:fill="FFFFFF"/>
          <w:lang w:val="en-CA"/>
        </w:rPr>
        <w:t>, </w:t>
      </w:r>
      <w:r w:rsidRPr="00FC4C03">
        <w:rPr>
          <w:i/>
          <w:iCs/>
          <w:color w:val="222222"/>
          <w:shd w:val="clear" w:color="auto" w:fill="FFFFFF"/>
          <w:lang w:val="en-CA"/>
        </w:rPr>
        <w:t>114</w:t>
      </w:r>
      <w:r w:rsidRPr="00FC4C03">
        <w:rPr>
          <w:color w:val="222222"/>
          <w:shd w:val="clear" w:color="auto" w:fill="FFFFFF"/>
          <w:lang w:val="en-CA"/>
        </w:rPr>
        <w:t>(1), 88-118.</w:t>
      </w:r>
    </w:p>
    <w:p w14:paraId="66AC95C7" w14:textId="0574A8B3" w:rsidR="00FC4C03" w:rsidRPr="00FC4C03" w:rsidRDefault="00FC4C03" w:rsidP="00FC4C03">
      <w:pPr>
        <w:rPr>
          <w:color w:val="222222"/>
          <w:shd w:val="clear" w:color="auto" w:fill="FFFFFF"/>
          <w:lang w:val="en-CA"/>
        </w:rPr>
      </w:pPr>
      <w:r w:rsidRPr="00FC4C03">
        <w:rPr>
          <w:color w:val="222222"/>
          <w:shd w:val="clear" w:color="auto" w:fill="FFFFFF"/>
          <w:lang w:val="en-CA"/>
        </w:rPr>
        <w:t>Bratman, M. E. (200</w:t>
      </w:r>
      <w:r w:rsidR="007A6173">
        <w:rPr>
          <w:color w:val="222222"/>
          <w:shd w:val="clear" w:color="auto" w:fill="FFFFFF"/>
          <w:lang w:val="en-CA"/>
        </w:rPr>
        <w:t>0</w:t>
      </w:r>
      <w:r w:rsidRPr="00FC4C03">
        <w:rPr>
          <w:color w:val="222222"/>
          <w:shd w:val="clear" w:color="auto" w:fill="FFFFFF"/>
          <w:lang w:val="en-CA"/>
        </w:rPr>
        <w:t xml:space="preserve">). </w:t>
      </w:r>
      <w:r w:rsidR="007A6173">
        <w:rPr>
          <w:color w:val="222222"/>
          <w:shd w:val="clear" w:color="auto" w:fill="FFFFFF"/>
          <w:lang w:val="en-CA"/>
        </w:rPr>
        <w:t>Reflection, planning, and temporally extended agency</w:t>
      </w:r>
      <w:r w:rsidRPr="00FC4C03">
        <w:rPr>
          <w:color w:val="222222"/>
          <w:shd w:val="clear" w:color="auto" w:fill="FFFFFF"/>
          <w:lang w:val="en-CA"/>
        </w:rPr>
        <w:t>. </w:t>
      </w:r>
      <w:r w:rsidR="007A6173">
        <w:rPr>
          <w:i/>
          <w:iCs/>
          <w:color w:val="222222"/>
          <w:shd w:val="clear" w:color="auto" w:fill="FFFFFF"/>
          <w:lang w:val="en-CA"/>
        </w:rPr>
        <w:t>Philosophical Review</w:t>
      </w:r>
      <w:r w:rsidRPr="00FC4C03">
        <w:rPr>
          <w:color w:val="222222"/>
          <w:shd w:val="clear" w:color="auto" w:fill="FFFFFF"/>
          <w:lang w:val="en-CA"/>
        </w:rPr>
        <w:t>, </w:t>
      </w:r>
      <w:r w:rsidRPr="00FC4C03">
        <w:rPr>
          <w:i/>
          <w:iCs/>
          <w:color w:val="222222"/>
          <w:shd w:val="clear" w:color="auto" w:fill="FFFFFF"/>
          <w:lang w:val="en-CA"/>
        </w:rPr>
        <w:t>1</w:t>
      </w:r>
      <w:r w:rsidR="007A6173">
        <w:rPr>
          <w:i/>
          <w:iCs/>
          <w:color w:val="222222"/>
          <w:shd w:val="clear" w:color="auto" w:fill="FFFFFF"/>
          <w:lang w:val="en-CA"/>
        </w:rPr>
        <w:t>0</w:t>
      </w:r>
      <w:r w:rsidRPr="00FC4C03">
        <w:rPr>
          <w:i/>
          <w:iCs/>
          <w:color w:val="222222"/>
          <w:shd w:val="clear" w:color="auto" w:fill="FFFFFF"/>
          <w:lang w:val="en-CA"/>
        </w:rPr>
        <w:t>9</w:t>
      </w:r>
      <w:r w:rsidRPr="00FC4C03">
        <w:rPr>
          <w:color w:val="222222"/>
          <w:shd w:val="clear" w:color="auto" w:fill="FFFFFF"/>
          <w:lang w:val="en-CA"/>
        </w:rPr>
        <w:t>(</w:t>
      </w:r>
      <w:r w:rsidR="007A6173">
        <w:rPr>
          <w:color w:val="222222"/>
          <w:shd w:val="clear" w:color="auto" w:fill="FFFFFF"/>
          <w:lang w:val="en-CA"/>
        </w:rPr>
        <w:t>1</w:t>
      </w:r>
      <w:r w:rsidRPr="00FC4C03">
        <w:rPr>
          <w:color w:val="222222"/>
          <w:shd w:val="clear" w:color="auto" w:fill="FFFFFF"/>
          <w:lang w:val="en-CA"/>
        </w:rPr>
        <w:t xml:space="preserve">), </w:t>
      </w:r>
      <w:r w:rsidR="007A6173">
        <w:rPr>
          <w:color w:val="222222"/>
          <w:shd w:val="clear" w:color="auto" w:fill="FFFFFF"/>
          <w:lang w:val="en-CA"/>
        </w:rPr>
        <w:t>35-61</w:t>
      </w:r>
      <w:r w:rsidRPr="00FC4C03">
        <w:rPr>
          <w:color w:val="222222"/>
          <w:shd w:val="clear" w:color="auto" w:fill="FFFFFF"/>
          <w:lang w:val="en-CA"/>
        </w:rPr>
        <w:t>.</w:t>
      </w:r>
    </w:p>
    <w:p w14:paraId="05FADA2C" w14:textId="77777777" w:rsidR="00FC4C03" w:rsidRPr="00FC4C03" w:rsidRDefault="00FC4C03" w:rsidP="00FC4C03">
      <w:pPr>
        <w:rPr>
          <w:color w:val="222222"/>
          <w:shd w:val="clear" w:color="auto" w:fill="FFFFFF"/>
          <w:lang w:val="en-CA"/>
        </w:rPr>
      </w:pPr>
      <w:r w:rsidRPr="00FC4C03">
        <w:rPr>
          <w:color w:val="222222"/>
          <w:shd w:val="clear" w:color="auto" w:fill="FFFFFF"/>
          <w:lang w:val="en-CA"/>
        </w:rPr>
        <w:t xml:space="preserve">Mele, Alfred (2003). </w:t>
      </w:r>
      <w:r w:rsidRPr="00FC4C03">
        <w:rPr>
          <w:i/>
          <w:iCs/>
          <w:color w:val="222222"/>
          <w:shd w:val="clear" w:color="auto" w:fill="FFFFFF"/>
          <w:lang w:val="en-CA"/>
        </w:rPr>
        <w:t>Motivation and Agency</w:t>
      </w:r>
      <w:r w:rsidRPr="00FC4C03">
        <w:rPr>
          <w:color w:val="222222"/>
          <w:shd w:val="clear" w:color="auto" w:fill="FFFFFF"/>
          <w:lang w:val="en-CA"/>
        </w:rPr>
        <w:t>, chapter 10</w:t>
      </w:r>
    </w:p>
    <w:p w14:paraId="03908C86" w14:textId="77777777" w:rsidR="00FC4C03" w:rsidRPr="00FC4C03" w:rsidRDefault="00FC4C03" w:rsidP="00FC4C03">
      <w:pPr>
        <w:rPr>
          <w:color w:val="222222"/>
          <w:shd w:val="clear" w:color="auto" w:fill="FFFFFF"/>
          <w:lang w:val="en-CA"/>
        </w:rPr>
      </w:pPr>
    </w:p>
    <w:p w14:paraId="5B6BAF8B" w14:textId="77777777" w:rsidR="00FC4C03" w:rsidRPr="00FC4C03" w:rsidRDefault="00FC4C03" w:rsidP="00FC4C03">
      <w:pPr>
        <w:rPr>
          <w:b/>
          <w:bCs/>
          <w:color w:val="222222"/>
          <w:shd w:val="clear" w:color="auto" w:fill="FFFFFF"/>
          <w:lang w:val="en-CA"/>
        </w:rPr>
      </w:pPr>
      <w:r w:rsidRPr="00FC4C03">
        <w:rPr>
          <w:b/>
          <w:bCs/>
          <w:color w:val="222222"/>
          <w:shd w:val="clear" w:color="auto" w:fill="FFFFFF"/>
          <w:lang w:val="en-CA"/>
        </w:rPr>
        <w:t>Non-human agency (weeks 4-5)</w:t>
      </w:r>
    </w:p>
    <w:p w14:paraId="4D3A508C" w14:textId="77777777" w:rsidR="00FC4C03" w:rsidRPr="00FC4C03" w:rsidRDefault="00FC4C03" w:rsidP="00FC4C03">
      <w:pPr>
        <w:rPr>
          <w:lang w:val="en-CA"/>
        </w:rPr>
      </w:pPr>
      <w:r w:rsidRPr="00FC4C03">
        <w:rPr>
          <w:color w:val="222222"/>
          <w:shd w:val="clear" w:color="auto" w:fill="FFFFFF"/>
          <w:lang w:val="en-CA"/>
        </w:rPr>
        <w:t>Steward, H. (2009). Animal agency. </w:t>
      </w:r>
      <w:r w:rsidRPr="00FC4C03">
        <w:rPr>
          <w:i/>
          <w:iCs/>
          <w:color w:val="222222"/>
          <w:shd w:val="clear" w:color="auto" w:fill="FFFFFF"/>
          <w:lang w:val="en-CA"/>
        </w:rPr>
        <w:t>Inquiry</w:t>
      </w:r>
      <w:r w:rsidRPr="00FC4C03">
        <w:rPr>
          <w:color w:val="222222"/>
          <w:shd w:val="clear" w:color="auto" w:fill="FFFFFF"/>
          <w:lang w:val="en-CA"/>
        </w:rPr>
        <w:t>, </w:t>
      </w:r>
      <w:r w:rsidRPr="00FC4C03">
        <w:rPr>
          <w:i/>
          <w:iCs/>
          <w:color w:val="222222"/>
          <w:shd w:val="clear" w:color="auto" w:fill="FFFFFF"/>
          <w:lang w:val="en-CA"/>
        </w:rPr>
        <w:t>52</w:t>
      </w:r>
      <w:r w:rsidRPr="00FC4C03">
        <w:rPr>
          <w:color w:val="222222"/>
          <w:shd w:val="clear" w:color="auto" w:fill="FFFFFF"/>
          <w:lang w:val="en-CA"/>
        </w:rPr>
        <w:t>(3), 217-231.</w:t>
      </w:r>
    </w:p>
    <w:p w14:paraId="5130D7A9" w14:textId="77777777" w:rsidR="00FC4C03" w:rsidRPr="00FC4C03" w:rsidRDefault="00FC4C03" w:rsidP="00FC4C03">
      <w:pPr>
        <w:rPr>
          <w:color w:val="222222"/>
          <w:shd w:val="clear" w:color="auto" w:fill="FFFFFF"/>
          <w:lang w:val="en-CA"/>
        </w:rPr>
      </w:pPr>
      <w:r w:rsidRPr="00FC4C03">
        <w:rPr>
          <w:color w:val="222222"/>
          <w:shd w:val="clear" w:color="auto" w:fill="FFFFFF"/>
          <w:lang w:val="en-CA"/>
        </w:rPr>
        <w:t>Burge, T. (2009). Primitive agency and natural norms. </w:t>
      </w:r>
      <w:r w:rsidRPr="00FC4C03">
        <w:rPr>
          <w:i/>
          <w:iCs/>
          <w:color w:val="222222"/>
          <w:shd w:val="clear" w:color="auto" w:fill="FFFFFF"/>
          <w:lang w:val="en-CA"/>
        </w:rPr>
        <w:t>Philosophy and Phenomenological Research</w:t>
      </w:r>
      <w:r w:rsidRPr="00FC4C03">
        <w:rPr>
          <w:color w:val="222222"/>
          <w:shd w:val="clear" w:color="auto" w:fill="FFFFFF"/>
          <w:lang w:val="en-CA"/>
        </w:rPr>
        <w:t>, </w:t>
      </w:r>
      <w:r w:rsidRPr="00FC4C03">
        <w:rPr>
          <w:i/>
          <w:iCs/>
          <w:color w:val="222222"/>
          <w:shd w:val="clear" w:color="auto" w:fill="FFFFFF"/>
          <w:lang w:val="en-CA"/>
        </w:rPr>
        <w:t>79</w:t>
      </w:r>
      <w:r w:rsidRPr="00FC4C03">
        <w:rPr>
          <w:color w:val="222222"/>
          <w:shd w:val="clear" w:color="auto" w:fill="FFFFFF"/>
          <w:lang w:val="en-CA"/>
        </w:rPr>
        <w:t>(2), 251-278.</w:t>
      </w:r>
    </w:p>
    <w:p w14:paraId="59CE4F33" w14:textId="77777777" w:rsidR="00FC4C03" w:rsidRPr="00FC4C03" w:rsidRDefault="00FC4C03" w:rsidP="00FC4C03">
      <w:pPr>
        <w:rPr>
          <w:lang w:val="en-CA"/>
        </w:rPr>
      </w:pPr>
      <w:proofErr w:type="spellStart"/>
      <w:r w:rsidRPr="00FC4C03">
        <w:rPr>
          <w:color w:val="222222"/>
          <w:shd w:val="clear" w:color="auto" w:fill="FFFFFF"/>
          <w:lang w:val="en-CA"/>
        </w:rPr>
        <w:t>Arnellos</w:t>
      </w:r>
      <w:proofErr w:type="spellEnd"/>
      <w:r w:rsidRPr="00FC4C03">
        <w:rPr>
          <w:color w:val="222222"/>
          <w:shd w:val="clear" w:color="auto" w:fill="FFFFFF"/>
          <w:lang w:val="en-CA"/>
        </w:rPr>
        <w:t>, A., &amp; Moreno, A. (2015). Multicellular agency: an organizational view. </w:t>
      </w:r>
      <w:r w:rsidRPr="00FC4C03">
        <w:rPr>
          <w:i/>
          <w:iCs/>
          <w:color w:val="222222"/>
          <w:shd w:val="clear" w:color="auto" w:fill="FFFFFF"/>
          <w:lang w:val="en-CA"/>
        </w:rPr>
        <w:t>Biology &amp; Philosophy</w:t>
      </w:r>
      <w:r w:rsidRPr="00FC4C03">
        <w:rPr>
          <w:color w:val="222222"/>
          <w:shd w:val="clear" w:color="auto" w:fill="FFFFFF"/>
          <w:lang w:val="en-CA"/>
        </w:rPr>
        <w:t>, </w:t>
      </w:r>
      <w:r w:rsidRPr="00FC4C03">
        <w:rPr>
          <w:i/>
          <w:iCs/>
          <w:color w:val="222222"/>
          <w:shd w:val="clear" w:color="auto" w:fill="FFFFFF"/>
          <w:lang w:val="en-CA"/>
        </w:rPr>
        <w:t>30</w:t>
      </w:r>
      <w:r w:rsidRPr="00FC4C03">
        <w:rPr>
          <w:color w:val="222222"/>
          <w:shd w:val="clear" w:color="auto" w:fill="FFFFFF"/>
          <w:lang w:val="en-CA"/>
        </w:rPr>
        <w:t>(3), 333-357.</w:t>
      </w:r>
    </w:p>
    <w:p w14:paraId="5AC14B71" w14:textId="77777777" w:rsidR="00FC4C03" w:rsidRPr="00FC4C03" w:rsidRDefault="00FC4C03" w:rsidP="00FC4C03">
      <w:pPr>
        <w:rPr>
          <w:lang w:val="en-CA"/>
        </w:rPr>
      </w:pPr>
      <w:r w:rsidRPr="00FC4C03">
        <w:rPr>
          <w:color w:val="222222"/>
          <w:shd w:val="clear" w:color="auto" w:fill="FFFFFF"/>
          <w:lang w:val="en-CA"/>
        </w:rPr>
        <w:t>Godfrey-Smith, P. (2016). Individuality, subjectivity, and minimal cognition. </w:t>
      </w:r>
      <w:r w:rsidRPr="00FC4C03">
        <w:rPr>
          <w:i/>
          <w:iCs/>
          <w:color w:val="222222"/>
          <w:shd w:val="clear" w:color="auto" w:fill="FFFFFF"/>
          <w:lang w:val="en-CA"/>
        </w:rPr>
        <w:t>Biology &amp; Philosophy</w:t>
      </w:r>
      <w:r w:rsidRPr="00FC4C03">
        <w:rPr>
          <w:color w:val="222222"/>
          <w:shd w:val="clear" w:color="auto" w:fill="FFFFFF"/>
          <w:lang w:val="en-CA"/>
        </w:rPr>
        <w:t>, </w:t>
      </w:r>
      <w:r w:rsidRPr="00FC4C03">
        <w:rPr>
          <w:i/>
          <w:iCs/>
          <w:color w:val="222222"/>
          <w:shd w:val="clear" w:color="auto" w:fill="FFFFFF"/>
          <w:lang w:val="en-CA"/>
        </w:rPr>
        <w:t>31</w:t>
      </w:r>
      <w:r w:rsidRPr="00FC4C03">
        <w:rPr>
          <w:color w:val="222222"/>
          <w:shd w:val="clear" w:color="auto" w:fill="FFFFFF"/>
          <w:lang w:val="en-CA"/>
        </w:rPr>
        <w:t>(6), 775-796.</w:t>
      </w:r>
    </w:p>
    <w:p w14:paraId="447807D1" w14:textId="77777777" w:rsidR="00FC4C03" w:rsidRPr="00FC4C03" w:rsidRDefault="00FC4C03" w:rsidP="00FC4C03">
      <w:pPr>
        <w:rPr>
          <w:lang w:val="en-CA"/>
        </w:rPr>
      </w:pPr>
    </w:p>
    <w:p w14:paraId="4BD0A7A1" w14:textId="1B92A7B4" w:rsidR="00FC4C03" w:rsidRPr="00FC4C03" w:rsidRDefault="00FC4C03" w:rsidP="00FC4C03">
      <w:pPr>
        <w:rPr>
          <w:b/>
          <w:bCs/>
          <w:lang w:val="en-CA"/>
        </w:rPr>
      </w:pPr>
      <w:r w:rsidRPr="00FC4C03">
        <w:rPr>
          <w:b/>
          <w:bCs/>
          <w:lang w:val="en-CA"/>
        </w:rPr>
        <w:t>Psychological approaches to agency (weeks 6-10 or 11)</w:t>
      </w:r>
    </w:p>
    <w:p w14:paraId="1EBBA900" w14:textId="77777777" w:rsidR="00FC4C03" w:rsidRPr="00FC4C03" w:rsidRDefault="00FC4C03" w:rsidP="00FC4C03">
      <w:pPr>
        <w:rPr>
          <w:lang w:val="en-CA"/>
        </w:rPr>
      </w:pPr>
      <w:r w:rsidRPr="00FC4C03">
        <w:rPr>
          <w:lang w:val="en-CA"/>
        </w:rPr>
        <w:t>Dennett, Daniel (1984). Elbow Room, chapters 1-4</w:t>
      </w:r>
    </w:p>
    <w:p w14:paraId="204F32DA" w14:textId="77777777" w:rsidR="00FC4C03" w:rsidRPr="00FC4C03" w:rsidRDefault="00FC4C03" w:rsidP="00FC4C03">
      <w:pPr>
        <w:rPr>
          <w:lang w:val="en-CA"/>
        </w:rPr>
      </w:pPr>
      <w:r w:rsidRPr="00FC4C03">
        <w:rPr>
          <w:lang w:val="en-CA"/>
        </w:rPr>
        <w:t xml:space="preserve">Ismael, </w:t>
      </w:r>
      <w:proofErr w:type="spellStart"/>
      <w:r w:rsidRPr="00FC4C03">
        <w:rPr>
          <w:lang w:val="en-CA"/>
        </w:rPr>
        <w:t>Jenann</w:t>
      </w:r>
      <w:proofErr w:type="spellEnd"/>
      <w:r w:rsidRPr="00FC4C03">
        <w:rPr>
          <w:lang w:val="en-CA"/>
        </w:rPr>
        <w:t xml:space="preserve"> (2016). How Physics Makes Us Free, chapters 1-3, 9</w:t>
      </w:r>
    </w:p>
    <w:p w14:paraId="195EA479" w14:textId="77777777" w:rsidR="00FC4C03" w:rsidRPr="00FC4C03" w:rsidRDefault="00FC4C03" w:rsidP="00FC4C03">
      <w:pPr>
        <w:rPr>
          <w:lang w:val="en-CA"/>
        </w:rPr>
      </w:pPr>
      <w:r w:rsidRPr="00FC4C03">
        <w:rPr>
          <w:color w:val="222222"/>
          <w:shd w:val="clear" w:color="auto" w:fill="FFFFFF"/>
          <w:lang w:val="en-CA"/>
        </w:rPr>
        <w:t>Christensen, W., Sutton, J., &amp; McIlwain, D. J. (2016). Cognition in skilled action: Meshed control and the varieties of skill experience. </w:t>
      </w:r>
      <w:r w:rsidRPr="00FC4C03">
        <w:rPr>
          <w:i/>
          <w:iCs/>
          <w:color w:val="222222"/>
          <w:shd w:val="clear" w:color="auto" w:fill="FFFFFF"/>
          <w:lang w:val="en-CA"/>
        </w:rPr>
        <w:t>Mind &amp; Language</w:t>
      </w:r>
      <w:r w:rsidRPr="00FC4C03">
        <w:rPr>
          <w:color w:val="222222"/>
          <w:shd w:val="clear" w:color="auto" w:fill="FFFFFF"/>
          <w:lang w:val="en-CA"/>
        </w:rPr>
        <w:t>, </w:t>
      </w:r>
      <w:r w:rsidRPr="00FC4C03">
        <w:rPr>
          <w:i/>
          <w:iCs/>
          <w:color w:val="222222"/>
          <w:shd w:val="clear" w:color="auto" w:fill="FFFFFF"/>
          <w:lang w:val="en-CA"/>
        </w:rPr>
        <w:t>31</w:t>
      </w:r>
      <w:r w:rsidRPr="00FC4C03">
        <w:rPr>
          <w:color w:val="222222"/>
          <w:shd w:val="clear" w:color="auto" w:fill="FFFFFF"/>
          <w:lang w:val="en-CA"/>
        </w:rPr>
        <w:t>(1), 37-66.</w:t>
      </w:r>
    </w:p>
    <w:p w14:paraId="5ED8702D" w14:textId="77777777" w:rsidR="00FC4C03" w:rsidRPr="00FC4C03" w:rsidRDefault="00FC4C03" w:rsidP="00FC4C03">
      <w:pPr>
        <w:rPr>
          <w:lang w:val="en-CA"/>
        </w:rPr>
      </w:pPr>
      <w:r w:rsidRPr="00FC4C03">
        <w:rPr>
          <w:color w:val="222222"/>
          <w:shd w:val="clear" w:color="auto" w:fill="FFFFFF"/>
          <w:lang w:val="en-CA"/>
        </w:rPr>
        <w:t xml:space="preserve">Mylopoulos, M., &amp; </w:t>
      </w:r>
      <w:proofErr w:type="spellStart"/>
      <w:r w:rsidRPr="00FC4C03">
        <w:rPr>
          <w:color w:val="222222"/>
          <w:shd w:val="clear" w:color="auto" w:fill="FFFFFF"/>
          <w:lang w:val="en-CA"/>
        </w:rPr>
        <w:t>Pacherie</w:t>
      </w:r>
      <w:proofErr w:type="spellEnd"/>
      <w:r w:rsidRPr="00FC4C03">
        <w:rPr>
          <w:color w:val="222222"/>
          <w:shd w:val="clear" w:color="auto" w:fill="FFFFFF"/>
          <w:lang w:val="en-CA"/>
        </w:rPr>
        <w:t>, E. (2019). Intentions: The dynamic hierarchical model revisited. </w:t>
      </w:r>
      <w:r w:rsidRPr="00FC4C03">
        <w:rPr>
          <w:i/>
          <w:iCs/>
          <w:color w:val="222222"/>
          <w:shd w:val="clear" w:color="auto" w:fill="FFFFFF"/>
          <w:lang w:val="en-CA"/>
        </w:rPr>
        <w:t>Wiley Interdisciplinary Reviews: Cognitive Science</w:t>
      </w:r>
      <w:r w:rsidRPr="00FC4C03">
        <w:rPr>
          <w:color w:val="222222"/>
          <w:shd w:val="clear" w:color="auto" w:fill="FFFFFF"/>
          <w:lang w:val="en-CA"/>
        </w:rPr>
        <w:t>, </w:t>
      </w:r>
      <w:r w:rsidRPr="00FC4C03">
        <w:rPr>
          <w:i/>
          <w:iCs/>
          <w:color w:val="222222"/>
          <w:shd w:val="clear" w:color="auto" w:fill="FFFFFF"/>
          <w:lang w:val="en-CA"/>
        </w:rPr>
        <w:t>10</w:t>
      </w:r>
      <w:r w:rsidRPr="00FC4C03">
        <w:rPr>
          <w:color w:val="222222"/>
          <w:shd w:val="clear" w:color="auto" w:fill="FFFFFF"/>
          <w:lang w:val="en-CA"/>
        </w:rPr>
        <w:t>(2), e1481.</w:t>
      </w:r>
    </w:p>
    <w:p w14:paraId="30544D5C" w14:textId="77777777" w:rsidR="00FC4C03" w:rsidRPr="00FC4C03" w:rsidRDefault="00FC4C03" w:rsidP="00FC4C03">
      <w:pPr>
        <w:rPr>
          <w:lang w:val="en-CA"/>
        </w:rPr>
      </w:pPr>
      <w:proofErr w:type="spellStart"/>
      <w:r w:rsidRPr="00FC4C03">
        <w:rPr>
          <w:lang w:val="en-CA"/>
        </w:rPr>
        <w:t>Watzl</w:t>
      </w:r>
      <w:proofErr w:type="spellEnd"/>
      <w:r w:rsidRPr="00FC4C03">
        <w:rPr>
          <w:lang w:val="en-CA"/>
        </w:rPr>
        <w:t>, Sebastian (2017). The Structuring Mind, chapters 2 and 7</w:t>
      </w:r>
    </w:p>
    <w:p w14:paraId="2D288230" w14:textId="77777777" w:rsidR="00FC4C03" w:rsidRPr="00FC4C03" w:rsidRDefault="00FC4C03" w:rsidP="00FC4C03">
      <w:pPr>
        <w:rPr>
          <w:lang w:val="en-CA"/>
        </w:rPr>
      </w:pPr>
    </w:p>
    <w:p w14:paraId="06173505" w14:textId="63B27552" w:rsidR="00FC4C03" w:rsidRPr="00FC4C03" w:rsidRDefault="00FC4C03" w:rsidP="00FC4C03">
      <w:pPr>
        <w:rPr>
          <w:b/>
          <w:bCs/>
          <w:lang w:val="en-CA"/>
        </w:rPr>
      </w:pPr>
      <w:r w:rsidRPr="00FC4C03">
        <w:rPr>
          <w:b/>
          <w:bCs/>
          <w:lang w:val="en-CA"/>
        </w:rPr>
        <w:t>Cognitive agency (week 11 or 12)</w:t>
      </w:r>
    </w:p>
    <w:p w14:paraId="4359C287" w14:textId="77777777" w:rsidR="00FC4C03" w:rsidRPr="00FC4C03" w:rsidRDefault="00FC4C03" w:rsidP="00FC4C03">
      <w:pPr>
        <w:rPr>
          <w:lang w:val="en-CA"/>
        </w:rPr>
      </w:pPr>
      <w:proofErr w:type="spellStart"/>
      <w:r w:rsidRPr="00FC4C03">
        <w:rPr>
          <w:color w:val="222222"/>
          <w:shd w:val="clear" w:color="auto" w:fill="FFFFFF"/>
          <w:lang w:val="en-CA"/>
        </w:rPr>
        <w:t>Metzinger</w:t>
      </w:r>
      <w:proofErr w:type="spellEnd"/>
      <w:r w:rsidRPr="00FC4C03">
        <w:rPr>
          <w:color w:val="222222"/>
          <w:shd w:val="clear" w:color="auto" w:fill="FFFFFF"/>
          <w:lang w:val="en-CA"/>
        </w:rPr>
        <w:t xml:space="preserve">, T. (2013). The myth of cognitive agency: </w:t>
      </w:r>
      <w:proofErr w:type="spellStart"/>
      <w:r w:rsidRPr="00FC4C03">
        <w:rPr>
          <w:color w:val="222222"/>
          <w:shd w:val="clear" w:color="auto" w:fill="FFFFFF"/>
          <w:lang w:val="en-CA"/>
        </w:rPr>
        <w:t>subpersonal</w:t>
      </w:r>
      <w:proofErr w:type="spellEnd"/>
      <w:r w:rsidRPr="00FC4C03">
        <w:rPr>
          <w:color w:val="222222"/>
          <w:shd w:val="clear" w:color="auto" w:fill="FFFFFF"/>
          <w:lang w:val="en-CA"/>
        </w:rPr>
        <w:t xml:space="preserve"> thinking as a cyclically recurring loss of mental autonomy. </w:t>
      </w:r>
      <w:r w:rsidRPr="00FC4C03">
        <w:rPr>
          <w:i/>
          <w:iCs/>
          <w:color w:val="222222"/>
          <w:shd w:val="clear" w:color="auto" w:fill="FFFFFF"/>
          <w:lang w:val="en-CA"/>
        </w:rPr>
        <w:t>Frontiers in psychology</w:t>
      </w:r>
      <w:r w:rsidRPr="00FC4C03">
        <w:rPr>
          <w:color w:val="222222"/>
          <w:shd w:val="clear" w:color="auto" w:fill="FFFFFF"/>
          <w:lang w:val="en-CA"/>
        </w:rPr>
        <w:t>, </w:t>
      </w:r>
      <w:r w:rsidRPr="00FC4C03">
        <w:rPr>
          <w:i/>
          <w:iCs/>
          <w:color w:val="222222"/>
          <w:shd w:val="clear" w:color="auto" w:fill="FFFFFF"/>
          <w:lang w:val="en-CA"/>
        </w:rPr>
        <w:t>4</w:t>
      </w:r>
      <w:r w:rsidRPr="00FC4C03">
        <w:rPr>
          <w:color w:val="222222"/>
          <w:shd w:val="clear" w:color="auto" w:fill="FFFFFF"/>
          <w:lang w:val="en-CA"/>
        </w:rPr>
        <w:t>, 931.</w:t>
      </w:r>
    </w:p>
    <w:p w14:paraId="65889A58" w14:textId="77777777" w:rsidR="00FC4C03" w:rsidRPr="00FC4C03" w:rsidRDefault="00FC4C03" w:rsidP="00FC4C03">
      <w:pPr>
        <w:rPr>
          <w:lang w:val="en-CA"/>
        </w:rPr>
      </w:pPr>
      <w:r w:rsidRPr="00FC4C03">
        <w:rPr>
          <w:color w:val="222222"/>
          <w:shd w:val="clear" w:color="auto" w:fill="FFFFFF"/>
          <w:lang w:val="en-CA"/>
        </w:rPr>
        <w:t>Irving, Z. C. (2021). Drifting and directed minds: The significance of mind-wandering for mental agency. </w:t>
      </w:r>
      <w:r w:rsidRPr="00FC4C03">
        <w:rPr>
          <w:i/>
          <w:iCs/>
          <w:color w:val="222222"/>
          <w:shd w:val="clear" w:color="auto" w:fill="FFFFFF"/>
          <w:lang w:val="en-CA"/>
        </w:rPr>
        <w:t>The Journal of Philosophy</w:t>
      </w:r>
      <w:r w:rsidRPr="00FC4C03">
        <w:rPr>
          <w:color w:val="222222"/>
          <w:shd w:val="clear" w:color="auto" w:fill="FFFFFF"/>
          <w:lang w:val="en-CA"/>
        </w:rPr>
        <w:t>, </w:t>
      </w:r>
      <w:r w:rsidRPr="00FC4C03">
        <w:rPr>
          <w:i/>
          <w:iCs/>
          <w:color w:val="222222"/>
          <w:shd w:val="clear" w:color="auto" w:fill="FFFFFF"/>
          <w:lang w:val="en-CA"/>
        </w:rPr>
        <w:t>118</w:t>
      </w:r>
      <w:r w:rsidRPr="00FC4C03">
        <w:rPr>
          <w:color w:val="222222"/>
          <w:shd w:val="clear" w:color="auto" w:fill="FFFFFF"/>
          <w:lang w:val="en-CA"/>
        </w:rPr>
        <w:t>(11), 614-644.</w:t>
      </w:r>
    </w:p>
    <w:p w14:paraId="3B613DB8" w14:textId="77777777" w:rsidR="000D60EE" w:rsidRDefault="000D60EE">
      <w:pPr>
        <w:rPr>
          <w:szCs w:val="24"/>
        </w:rPr>
      </w:pPr>
      <w:r>
        <w:rPr>
          <w:szCs w:val="24"/>
        </w:rPr>
        <w:br w:type="page"/>
      </w:r>
    </w:p>
    <w:p w14:paraId="19D6A8C9" w14:textId="77777777" w:rsidR="00FC4C03" w:rsidRDefault="00FC4C03" w:rsidP="00FC4C03">
      <w:pPr>
        <w:jc w:val="center"/>
        <w:rPr>
          <w:rFonts w:asciiTheme="minorHAnsi" w:eastAsia="Calibri" w:hAnsiTheme="minorHAnsi" w:cstheme="minorHAnsi"/>
          <w:b/>
          <w:bCs/>
          <w:szCs w:val="24"/>
          <w:lang w:eastAsia="en-US"/>
        </w:rPr>
      </w:pPr>
      <w:r w:rsidRPr="00120F1A">
        <w:rPr>
          <w:rFonts w:asciiTheme="minorHAnsi" w:eastAsia="Calibri" w:hAnsiTheme="minorHAnsi" w:cstheme="minorHAnsi"/>
          <w:b/>
          <w:bCs/>
          <w:szCs w:val="24"/>
          <w:lang w:eastAsia="en-US"/>
        </w:rPr>
        <w:lastRenderedPageBreak/>
        <w:t>Department of Philosophy and Carleton University Policies (Fall/Winter 202</w:t>
      </w:r>
      <w:r>
        <w:rPr>
          <w:rFonts w:asciiTheme="minorHAnsi" w:eastAsia="Calibri" w:hAnsiTheme="minorHAnsi" w:cstheme="minorHAnsi"/>
          <w:b/>
          <w:bCs/>
          <w:szCs w:val="24"/>
          <w:lang w:eastAsia="en-US"/>
        </w:rPr>
        <w:t>2</w:t>
      </w:r>
      <w:r w:rsidRPr="00120F1A">
        <w:rPr>
          <w:rFonts w:asciiTheme="minorHAnsi" w:eastAsia="Calibri" w:hAnsiTheme="minorHAnsi" w:cstheme="minorHAnsi"/>
          <w:b/>
          <w:bCs/>
          <w:szCs w:val="24"/>
          <w:lang w:eastAsia="en-US"/>
        </w:rPr>
        <w:t>-2</w:t>
      </w:r>
      <w:r>
        <w:rPr>
          <w:rFonts w:asciiTheme="minorHAnsi" w:eastAsia="Calibri" w:hAnsiTheme="minorHAnsi" w:cstheme="minorHAnsi"/>
          <w:b/>
          <w:bCs/>
          <w:szCs w:val="24"/>
          <w:lang w:eastAsia="en-US"/>
        </w:rPr>
        <w:t>3</w:t>
      </w:r>
      <w:r w:rsidRPr="00120F1A">
        <w:rPr>
          <w:rFonts w:asciiTheme="minorHAnsi" w:eastAsia="Calibri" w:hAnsiTheme="minorHAnsi" w:cstheme="minorHAnsi"/>
          <w:b/>
          <w:bCs/>
          <w:szCs w:val="24"/>
          <w:lang w:eastAsia="en-US"/>
        </w:rPr>
        <w:t>)</w:t>
      </w:r>
    </w:p>
    <w:p w14:paraId="486998D9" w14:textId="2A04EBCC" w:rsidR="00FC4C03" w:rsidRPr="00120F1A" w:rsidRDefault="00FC4C03" w:rsidP="00FC4C03">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Assignments:</w:t>
      </w:r>
    </w:p>
    <w:p w14:paraId="1619A609" w14:textId="77777777" w:rsidR="00FC4C03" w:rsidRPr="00120F1A" w:rsidRDefault="00FC4C03" w:rsidP="00FC4C03">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 xml:space="preserve">Please follow your professor’s instructions on how assignments will be handled electronically.  There will be NO hard copies placed in the essay box this coming year.  </w:t>
      </w:r>
    </w:p>
    <w:p w14:paraId="71035BA4" w14:textId="77777777" w:rsidR="00FC4C03" w:rsidRPr="00120F1A" w:rsidRDefault="00FC4C03" w:rsidP="00FC4C03">
      <w:pPr>
        <w:rPr>
          <w:rFonts w:asciiTheme="minorHAnsi" w:eastAsia="Calibri" w:hAnsiTheme="minorHAnsi" w:cstheme="minorHAnsi"/>
          <w:sz w:val="20"/>
          <w:lang w:eastAsia="en-US"/>
        </w:rPr>
      </w:pPr>
    </w:p>
    <w:p w14:paraId="28DFA182" w14:textId="77777777" w:rsidR="00FC4C03" w:rsidRPr="00120F1A" w:rsidRDefault="00FC4C03" w:rsidP="00FC4C03">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Evaluation:</w:t>
      </w:r>
    </w:p>
    <w:p w14:paraId="2643C6AE" w14:textId="77777777" w:rsidR="00FC4C03" w:rsidRPr="00120F1A" w:rsidRDefault="00FC4C03" w:rsidP="00FC4C03">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Standing in a course is determined by the course instructor subject to the approval of the Faculty Dean.  This means that grades submitted by the instructor may be subject to revision.  No grades are final until they have been approved by the Dean.</w:t>
      </w:r>
    </w:p>
    <w:p w14:paraId="1129BB82" w14:textId="77777777" w:rsidR="00FC4C03" w:rsidRPr="00120F1A" w:rsidRDefault="00FC4C03" w:rsidP="00FC4C03">
      <w:pPr>
        <w:rPr>
          <w:rFonts w:asciiTheme="minorHAnsi" w:eastAsia="Calibri" w:hAnsiTheme="minorHAnsi" w:cstheme="minorHAnsi"/>
          <w:sz w:val="20"/>
          <w:lang w:eastAsia="en-US"/>
        </w:rPr>
      </w:pPr>
    </w:p>
    <w:p w14:paraId="090B29D8" w14:textId="77777777" w:rsidR="00FC4C03" w:rsidRPr="00120F1A" w:rsidRDefault="00FC4C03" w:rsidP="00FC4C03">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Deferrals for Term Work:</w:t>
      </w:r>
    </w:p>
    <w:p w14:paraId="0C50FF1D" w14:textId="77777777" w:rsidR="00FC4C03" w:rsidRPr="00120F1A" w:rsidRDefault="00FC4C03" w:rsidP="00FC4C03">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lang w:eastAsia="en-US"/>
        </w:rPr>
        <w:t>three working days</w:t>
      </w:r>
      <w:r w:rsidRPr="00120F1A">
        <w:rPr>
          <w:rFonts w:asciiTheme="minorHAnsi" w:eastAsia="Calibri" w:hAnsiTheme="minorHAnsi" w:cstheme="minorHAnsi"/>
          <w:sz w:val="20"/>
          <w:lang w:eastAsia="en-US"/>
        </w:rPr>
        <w:t xml:space="preserve"> of the due date.  Normally, any deferred term work will be completed by the last day of the term.  Term work cannot be deferred by the Registrar.  </w:t>
      </w:r>
    </w:p>
    <w:p w14:paraId="1A57C57E" w14:textId="77777777" w:rsidR="00FC4C03" w:rsidRPr="00120F1A" w:rsidRDefault="00FC4C03" w:rsidP="00FC4C03">
      <w:pPr>
        <w:rPr>
          <w:rFonts w:asciiTheme="minorHAnsi" w:eastAsia="Calibri" w:hAnsiTheme="minorHAnsi" w:cstheme="minorHAnsi"/>
          <w:sz w:val="20"/>
          <w:lang w:eastAsia="en-US"/>
        </w:rPr>
      </w:pPr>
    </w:p>
    <w:p w14:paraId="344030F7" w14:textId="77777777" w:rsidR="00FC4C03" w:rsidRPr="00120F1A" w:rsidRDefault="00FC4C03" w:rsidP="00FC4C03">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Deferrals for Final Exams:</w:t>
      </w:r>
    </w:p>
    <w:p w14:paraId="1DA3446E" w14:textId="77777777" w:rsidR="00FC4C03" w:rsidRPr="00120F1A" w:rsidRDefault="00FC4C03" w:rsidP="00FC4C03">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6"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7"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1B84FB7E" w14:textId="77777777" w:rsidR="00FC4C03" w:rsidRPr="00120F1A" w:rsidRDefault="00FC4C03" w:rsidP="00FC4C03">
      <w:pPr>
        <w:rPr>
          <w:rFonts w:asciiTheme="minorHAnsi" w:eastAsia="Calibri" w:hAnsiTheme="minorHAnsi" w:cstheme="minorHAnsi"/>
          <w:sz w:val="20"/>
          <w:lang w:eastAsia="en-US"/>
        </w:rPr>
      </w:pPr>
    </w:p>
    <w:p w14:paraId="57B0C7D8" w14:textId="77777777" w:rsidR="00FC4C03" w:rsidRPr="00120F1A" w:rsidRDefault="00FC4C03" w:rsidP="00FC4C03">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Plagiarism:</w:t>
      </w:r>
    </w:p>
    <w:p w14:paraId="33EF96B7" w14:textId="77777777" w:rsidR="00FC4C03" w:rsidRPr="00120F1A" w:rsidRDefault="00FC4C03" w:rsidP="00FC4C03">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It is the responsibility of each student to understand the meaning of ‘plagiarism’ as defined in the Undergraduate or Graduate Calendars, and to avoid both committing plagiarism and aiding or abetting plagiarism by other students.  (</w:t>
      </w:r>
      <w:hyperlink r:id="rId8" w:anchor="academic-integrity-policy" w:history="1">
        <w:r w:rsidRPr="00120F1A">
          <w:rPr>
            <w:rStyle w:val="Hyperlink"/>
            <w:rFonts w:asciiTheme="minorHAnsi" w:eastAsia="Calibri" w:hAnsiTheme="minorHAnsi" w:cstheme="minorHAnsi"/>
            <w:sz w:val="20"/>
            <w:lang w:eastAsia="en-US"/>
          </w:rPr>
          <w:t>Section 10.1 of the Undergraduate Calendar Academic Regulations</w:t>
        </w:r>
      </w:hyperlink>
      <w:r w:rsidRPr="00120F1A">
        <w:rPr>
          <w:rFonts w:asciiTheme="minorHAnsi" w:eastAsia="Calibri" w:hAnsiTheme="minorHAnsi" w:cstheme="minorHAnsi"/>
          <w:sz w:val="20"/>
          <w:lang w:eastAsia="en-US"/>
        </w:rPr>
        <w:t>)</w:t>
      </w:r>
    </w:p>
    <w:p w14:paraId="0975BDE1" w14:textId="77777777" w:rsidR="00FC4C03" w:rsidRPr="00120F1A" w:rsidRDefault="00FC4C03" w:rsidP="00FC4C03">
      <w:pPr>
        <w:rPr>
          <w:rFonts w:asciiTheme="minorHAnsi" w:eastAsia="Calibri" w:hAnsiTheme="minorHAnsi" w:cstheme="minorHAnsi"/>
          <w:sz w:val="20"/>
          <w:lang w:eastAsia="en-US"/>
        </w:rPr>
      </w:pPr>
    </w:p>
    <w:p w14:paraId="05021A96" w14:textId="77777777" w:rsidR="00FC4C03" w:rsidRPr="00120F1A" w:rsidRDefault="00FC4C03" w:rsidP="00FC4C03">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Academic Accommodation:</w:t>
      </w:r>
    </w:p>
    <w:p w14:paraId="3CC2A8A9" w14:textId="77777777" w:rsidR="00FC4C03" w:rsidRPr="00120F1A" w:rsidRDefault="00FC4C03" w:rsidP="00FC4C03">
      <w:pPr>
        <w:rPr>
          <w:rFonts w:asciiTheme="minorHAnsi" w:hAnsiTheme="minorHAnsi" w:cstheme="minorHAnsi"/>
          <w:sz w:val="20"/>
          <w:lang w:eastAsia="en-US" w:bidi="pa-IN"/>
        </w:rPr>
      </w:pPr>
      <w:r w:rsidRPr="00120F1A">
        <w:rPr>
          <w:rFonts w:asciiTheme="minorHAnsi" w:hAnsiTheme="minorHAnsi" w:cstheme="minorHAnsi"/>
          <w:sz w:val="20"/>
          <w:lang w:eastAsia="en-US" w:bidi="pa-IN"/>
        </w:rPr>
        <w:t>You may need special arrangements to meet your academic obligations during the term:</w:t>
      </w:r>
    </w:p>
    <w:p w14:paraId="12CD2FC4" w14:textId="77777777" w:rsidR="00FC4C03" w:rsidRPr="00120F1A" w:rsidRDefault="00FC4C03" w:rsidP="00FC4C03">
      <w:pPr>
        <w:rPr>
          <w:rFonts w:asciiTheme="minorHAnsi" w:hAnsiTheme="minorHAnsi" w:cstheme="minorHAnsi"/>
          <w:sz w:val="20"/>
          <w:lang w:eastAsia="en-US" w:bidi="pa-IN"/>
        </w:rPr>
      </w:pPr>
    </w:p>
    <w:p w14:paraId="64AE39E8" w14:textId="77777777" w:rsidR="00FC4C03" w:rsidRPr="00120F1A" w:rsidRDefault="00FC4C03" w:rsidP="00FC4C03">
      <w:pPr>
        <w:pStyle w:val="ListParagraph"/>
        <w:numPr>
          <w:ilvl w:val="0"/>
          <w:numId w:val="3"/>
        </w:numPr>
        <w:ind w:left="284" w:hanging="284"/>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9" w:history="1">
        <w:r w:rsidRPr="00120F1A">
          <w:rPr>
            <w:rStyle w:val="Hyperlink"/>
            <w:rFonts w:asciiTheme="minorHAnsi" w:hAnsiTheme="minorHAnsi" w:cstheme="minorHAnsi"/>
            <w:sz w:val="20"/>
            <w:lang w:eastAsia="en-US" w:bidi="pa-IN"/>
          </w:rPr>
          <w:t>EDC</w:t>
        </w:r>
      </w:hyperlink>
      <w:r w:rsidRPr="00120F1A">
        <w:rPr>
          <w:rFonts w:asciiTheme="minorHAnsi" w:hAnsiTheme="minorHAnsi" w:cstheme="minorHAnsi"/>
          <w:sz w:val="20"/>
          <w:lang w:eastAsia="en-US" w:bidi="pa-IN"/>
        </w:rPr>
        <w:t xml:space="preserve"> website.  </w:t>
      </w:r>
    </w:p>
    <w:p w14:paraId="0AF072F8" w14:textId="77777777" w:rsidR="00FC4C03" w:rsidRPr="00120F1A" w:rsidRDefault="00FC4C03" w:rsidP="00FC4C03">
      <w:pPr>
        <w:pStyle w:val="ListParagraph"/>
        <w:numPr>
          <w:ilvl w:val="0"/>
          <w:numId w:val="3"/>
        </w:numPr>
        <w:ind w:left="284" w:hanging="284"/>
        <w:rPr>
          <w:rFonts w:asciiTheme="minorHAnsi" w:eastAsia="Calibri" w:hAnsiTheme="minorHAnsi" w:cstheme="minorHAnsi"/>
          <w:sz w:val="20"/>
          <w:lang w:eastAsia="en-US"/>
        </w:rPr>
      </w:pPr>
      <w:r w:rsidRPr="00120F1A">
        <w:rPr>
          <w:rFonts w:asciiTheme="minorHAnsi" w:hAnsiTheme="minorHAnsi" w:cstheme="minorHAnsi"/>
          <w:bCs/>
          <w:i/>
          <w:color w:val="000000"/>
          <w:sz w:val="20"/>
          <w:lang w:val="en-CA" w:eastAsia="en-US" w:bidi="pa-IN"/>
        </w:rPr>
        <w:t>Academic accommodations for students with disabilities:</w:t>
      </w:r>
      <w:r w:rsidRPr="00120F1A">
        <w:rPr>
          <w:rFonts w:asciiTheme="minorHAnsi" w:hAnsiTheme="minorHAnsi" w:cstheme="minorHAnsi"/>
          <w:bCs/>
          <w:color w:val="000000"/>
          <w:sz w:val="20"/>
          <w:lang w:val="en-CA" w:eastAsia="en-US" w:bidi="pa-IN"/>
        </w:rPr>
        <w:t xml:space="preserve"> </w:t>
      </w:r>
      <w:r w:rsidRPr="00120F1A">
        <w:rPr>
          <w:rFonts w:asciiTheme="minorHAnsi" w:hAnsiTheme="minorHAnsi" w:cstheme="minorHAnsi"/>
          <w:color w:val="000000"/>
          <w:sz w:val="20"/>
          <w:lang w:val="en-CA" w:eastAsia="en-US" w:bidi="pa-IN"/>
        </w:rPr>
        <w:t xml:space="preserve">The </w:t>
      </w:r>
      <w:hyperlink r:id="rId10" w:history="1">
        <w:r w:rsidRPr="00120F1A">
          <w:rPr>
            <w:rStyle w:val="Hyperlink"/>
            <w:rFonts w:asciiTheme="minorHAnsi" w:hAnsiTheme="minorHAnsi" w:cstheme="minorHAnsi"/>
            <w:bCs/>
            <w:sz w:val="20"/>
            <w:lang w:val="en-CA" w:eastAsia="en-US" w:bidi="pa-IN"/>
          </w:rPr>
          <w:t>Paul Menton Centre</w:t>
        </w:r>
      </w:hyperlink>
      <w:r w:rsidRPr="00120F1A">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1" w:history="1">
        <w:r w:rsidRPr="00120F1A">
          <w:rPr>
            <w:rFonts w:asciiTheme="minorHAnsi" w:hAnsiTheme="minorHAnsi" w:cstheme="minorHAnsi"/>
            <w:color w:val="000000"/>
            <w:sz w:val="20"/>
            <w:lang w:val="en-CA" w:eastAsia="en-US" w:bidi="pa-IN"/>
          </w:rPr>
          <w:t>pmc@carleton.ca</w:t>
        </w:r>
      </w:hyperlink>
      <w:r w:rsidRPr="00120F1A">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eastAsia="en-US" w:bidi="pa-IN"/>
        </w:rPr>
        <w:t>Letter of Accommodation</w:t>
      </w:r>
      <w:r w:rsidRPr="00120F1A">
        <w:rPr>
          <w:rFonts w:asciiTheme="minorHAnsi" w:hAnsiTheme="minorHAnsi" w:cstheme="minorHAnsi"/>
          <w:color w:val="000000"/>
          <w:sz w:val="20"/>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457746F8" w14:textId="77777777" w:rsidR="00FC4C03" w:rsidRPr="00120F1A" w:rsidRDefault="00FC4C03" w:rsidP="00FC4C03">
      <w:pPr>
        <w:pStyle w:val="ListParagraph"/>
        <w:numPr>
          <w:ilvl w:val="0"/>
          <w:numId w:val="3"/>
        </w:numPr>
        <w:ind w:left="284" w:hanging="284"/>
        <w:rPr>
          <w:rFonts w:asciiTheme="minorHAnsi" w:eastAsia="Calibri" w:hAnsiTheme="minorHAnsi" w:cstheme="minorHAnsi"/>
          <w:sz w:val="20"/>
          <w:lang w:eastAsia="en-US"/>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2"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0BEA7EC0" w14:textId="77777777" w:rsidR="00FC4C03" w:rsidRPr="00120F1A" w:rsidRDefault="00FC4C03" w:rsidP="00FC4C03">
      <w:pPr>
        <w:pStyle w:val="ListParagraph"/>
        <w:numPr>
          <w:ilvl w:val="0"/>
          <w:numId w:val="3"/>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13"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369473AC" w14:textId="5368C751" w:rsidR="00FC4C03" w:rsidRPr="00120F1A" w:rsidRDefault="00654339" w:rsidP="00FC4C03">
      <w:pPr>
        <w:rPr>
          <w:rFonts w:asciiTheme="minorHAnsi" w:eastAsia="Calibri" w:hAnsiTheme="minorHAnsi" w:cstheme="minorHAnsi"/>
          <w:b/>
          <w:bCs/>
          <w:sz w:val="20"/>
          <w:u w:val="single"/>
          <w:lang w:eastAsia="en-US"/>
        </w:rPr>
      </w:pPr>
      <w:r>
        <w:rPr>
          <w:rFonts w:asciiTheme="minorHAnsi" w:eastAsia="Calibri" w:hAnsiTheme="minorHAnsi" w:cstheme="minorHAnsi"/>
          <w:b/>
          <w:bCs/>
          <w:sz w:val="20"/>
          <w:u w:val="single"/>
          <w:lang w:eastAsia="en-US"/>
        </w:rPr>
        <w:lastRenderedPageBreak/>
        <w:t>I</w:t>
      </w:r>
      <w:r w:rsidR="00FC4C03" w:rsidRPr="00120F1A">
        <w:rPr>
          <w:rFonts w:asciiTheme="minorHAnsi" w:eastAsia="Calibri" w:hAnsiTheme="minorHAnsi" w:cstheme="minorHAnsi"/>
          <w:b/>
          <w:bCs/>
          <w:sz w:val="20"/>
          <w:u w:val="single"/>
          <w:lang w:eastAsia="en-US"/>
        </w:rPr>
        <w:t>mportant Dates:</w:t>
      </w:r>
    </w:p>
    <w:p w14:paraId="782656E9" w14:textId="77777777" w:rsidR="00FC4C03" w:rsidRPr="00120F1A" w:rsidRDefault="00FC4C03" w:rsidP="00FC4C03">
      <w:pPr>
        <w:rPr>
          <w:rFonts w:asciiTheme="minorHAnsi" w:eastAsia="Calibri" w:hAnsiTheme="minorHAnsi" w:cstheme="minorHAnsi"/>
          <w:b/>
          <w:bCs/>
          <w:sz w:val="20"/>
          <w:u w:val="single"/>
          <w:lang w:eastAsia="en-US"/>
        </w:rPr>
      </w:pPr>
    </w:p>
    <w:p w14:paraId="71E12925" w14:textId="77777777" w:rsidR="00FC4C03" w:rsidRPr="00120F1A" w:rsidRDefault="00FC4C03" w:rsidP="00FC4C03">
      <w:pPr>
        <w:tabs>
          <w:tab w:val="left" w:pos="1134"/>
        </w:tabs>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 xml:space="preserve">Sept. </w:t>
      </w:r>
      <w:r>
        <w:rPr>
          <w:rFonts w:asciiTheme="minorHAnsi" w:eastAsia="Calibri" w:hAnsiTheme="minorHAnsi" w:cstheme="minorHAnsi"/>
          <w:snapToGrid w:val="0"/>
          <w:sz w:val="20"/>
          <w:lang w:eastAsia="en-US"/>
        </w:rPr>
        <w:t>7</w:t>
      </w:r>
      <w:r w:rsidRPr="00120F1A">
        <w:rPr>
          <w:rFonts w:asciiTheme="minorHAnsi" w:eastAsia="Calibri" w:hAnsiTheme="minorHAnsi" w:cstheme="minorHAnsi"/>
          <w:snapToGrid w:val="0"/>
          <w:sz w:val="20"/>
          <w:lang w:eastAsia="en-US"/>
        </w:rPr>
        <w:tab/>
        <w:t>Classes start.</w:t>
      </w:r>
    </w:p>
    <w:p w14:paraId="65F45E0F" w14:textId="77777777" w:rsidR="00FC4C03" w:rsidRPr="00120F1A" w:rsidRDefault="00FC4C03" w:rsidP="00FC4C03">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Sept. 2</w:t>
      </w:r>
      <w:r>
        <w:rPr>
          <w:rFonts w:asciiTheme="minorHAnsi" w:eastAsia="Calibri" w:hAnsiTheme="minorHAnsi" w:cstheme="minorHAnsi"/>
          <w:snapToGrid w:val="0"/>
          <w:sz w:val="20"/>
          <w:lang w:eastAsia="en-US"/>
        </w:rPr>
        <w:t>0</w:t>
      </w:r>
      <w:r w:rsidRPr="00120F1A">
        <w:rPr>
          <w:rFonts w:asciiTheme="minorHAnsi" w:eastAsia="Calibri" w:hAnsiTheme="minorHAnsi" w:cstheme="minorHAnsi"/>
          <w:snapToGrid w:val="0"/>
          <w:sz w:val="20"/>
          <w:lang w:eastAsia="en-US"/>
        </w:rPr>
        <w:tab/>
        <w:t>Last day for registration and course changes for fall term and fall/winter (two-term) courses.</w:t>
      </w:r>
    </w:p>
    <w:p w14:paraId="6AC95BC2" w14:textId="77777777" w:rsidR="00FC4C03" w:rsidRPr="00120F1A" w:rsidRDefault="00FC4C03" w:rsidP="00FC4C03">
      <w:pPr>
        <w:ind w:left="1134" w:hanging="1134"/>
        <w:rPr>
          <w:rFonts w:asciiTheme="minorHAnsi" w:eastAsia="Calibri" w:hAnsiTheme="minorHAnsi" w:cstheme="minorHAnsi"/>
          <w:sz w:val="20"/>
          <w:lang w:eastAsia="en-US"/>
        </w:rPr>
      </w:pPr>
      <w:r w:rsidRPr="00120F1A">
        <w:rPr>
          <w:rFonts w:asciiTheme="minorHAnsi" w:eastAsia="Calibri" w:hAnsiTheme="minorHAnsi" w:cstheme="minorHAnsi"/>
          <w:bCs/>
          <w:sz w:val="20"/>
          <w:lang w:eastAsia="en-US"/>
        </w:rPr>
        <w:t>Sept. 30</w:t>
      </w:r>
      <w:r w:rsidRPr="00120F1A">
        <w:rPr>
          <w:rFonts w:asciiTheme="minorHAnsi" w:eastAsia="Calibri" w:hAnsiTheme="minorHAnsi" w:cstheme="minorHAnsi"/>
          <w:bCs/>
          <w:sz w:val="20"/>
          <w:lang w:eastAsia="en-US"/>
        </w:rPr>
        <w:tab/>
      </w:r>
      <w:r w:rsidRPr="00120F1A">
        <w:rPr>
          <w:rFonts w:asciiTheme="minorHAnsi" w:eastAsia="Calibri" w:hAnsiTheme="minorHAnsi" w:cstheme="minorHAnsi"/>
          <w:sz w:val="20"/>
          <w:lang w:eastAsia="en-US"/>
        </w:rPr>
        <w:t xml:space="preserve">Last day for entire fee adjustment when withdrawing from fall term or two-term courses. Withdrawals after this date will result in a permanent notation of WDN on the official transcript.  </w:t>
      </w:r>
    </w:p>
    <w:p w14:paraId="49D21A69" w14:textId="77777777" w:rsidR="00FC4C03" w:rsidRPr="00120F1A" w:rsidRDefault="00FC4C03" w:rsidP="00FC4C03">
      <w:pPr>
        <w:tabs>
          <w:tab w:val="left" w:pos="1134"/>
        </w:tabs>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Oct. 1</w:t>
      </w:r>
      <w:r>
        <w:rPr>
          <w:rFonts w:asciiTheme="minorHAnsi" w:eastAsia="Calibri" w:hAnsiTheme="minorHAnsi" w:cstheme="minorHAnsi"/>
          <w:snapToGrid w:val="0"/>
          <w:sz w:val="20"/>
          <w:lang w:eastAsia="en-US"/>
        </w:rPr>
        <w:t>0</w:t>
      </w:r>
      <w:r w:rsidRPr="00120F1A">
        <w:rPr>
          <w:rFonts w:asciiTheme="minorHAnsi" w:eastAsia="Calibri" w:hAnsiTheme="minorHAnsi" w:cstheme="minorHAnsi"/>
          <w:snapToGrid w:val="0"/>
          <w:sz w:val="20"/>
          <w:lang w:eastAsia="en-US"/>
        </w:rPr>
        <w:tab/>
        <w:t>Statutory holiday. University closed.</w:t>
      </w:r>
    </w:p>
    <w:p w14:paraId="1C4C0E94" w14:textId="77777777" w:rsidR="00FC4C03" w:rsidRPr="00120F1A" w:rsidRDefault="00FC4C03" w:rsidP="00FC4C03">
      <w:pPr>
        <w:tabs>
          <w:tab w:val="left" w:pos="1134"/>
        </w:tabs>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Oct. 2</w:t>
      </w:r>
      <w:r>
        <w:rPr>
          <w:rFonts w:asciiTheme="minorHAnsi" w:eastAsia="Calibri" w:hAnsiTheme="minorHAnsi" w:cstheme="minorHAnsi"/>
          <w:snapToGrid w:val="0"/>
          <w:sz w:val="20"/>
          <w:lang w:eastAsia="en-US"/>
        </w:rPr>
        <w:t>4</w:t>
      </w:r>
      <w:r w:rsidRPr="00120F1A">
        <w:rPr>
          <w:rFonts w:asciiTheme="minorHAnsi" w:eastAsia="Calibri" w:hAnsiTheme="minorHAnsi" w:cstheme="minorHAnsi"/>
          <w:snapToGrid w:val="0"/>
          <w:sz w:val="20"/>
          <w:lang w:eastAsia="en-US"/>
        </w:rPr>
        <w:t>-</w:t>
      </w:r>
      <w:r>
        <w:rPr>
          <w:rFonts w:asciiTheme="minorHAnsi" w:eastAsia="Calibri" w:hAnsiTheme="minorHAnsi" w:cstheme="minorHAnsi"/>
          <w:snapToGrid w:val="0"/>
          <w:sz w:val="20"/>
          <w:lang w:eastAsia="en-US"/>
        </w:rPr>
        <w:t>28</w:t>
      </w:r>
      <w:r w:rsidRPr="00120F1A">
        <w:rPr>
          <w:rFonts w:asciiTheme="minorHAnsi" w:eastAsia="Calibri" w:hAnsiTheme="minorHAnsi" w:cstheme="minorHAnsi"/>
          <w:snapToGrid w:val="0"/>
          <w:sz w:val="20"/>
          <w:lang w:eastAsia="en-US"/>
        </w:rPr>
        <w:tab/>
        <w:t xml:space="preserve">Fall Break – no classes. </w:t>
      </w:r>
    </w:p>
    <w:p w14:paraId="2CD814D7" w14:textId="77777777" w:rsidR="00FC4C03" w:rsidRPr="00120F1A" w:rsidRDefault="00FC4C03" w:rsidP="00FC4C03">
      <w:pPr>
        <w:tabs>
          <w:tab w:val="left" w:pos="1134"/>
        </w:tabs>
        <w:ind w:left="1134" w:hanging="1134"/>
        <w:rPr>
          <w:rFonts w:asciiTheme="minorHAnsi" w:eastAsia="Calibri" w:hAnsiTheme="minorHAnsi" w:cstheme="minorHAnsi"/>
          <w:sz w:val="20"/>
          <w:lang w:eastAsia="en-US"/>
        </w:rPr>
      </w:pPr>
      <w:r w:rsidRPr="00120F1A">
        <w:rPr>
          <w:rFonts w:asciiTheme="minorHAnsi" w:eastAsia="Calibri" w:hAnsiTheme="minorHAnsi" w:cstheme="minorHAnsi"/>
          <w:snapToGrid w:val="0"/>
          <w:sz w:val="20"/>
          <w:lang w:eastAsia="en-US"/>
        </w:rPr>
        <w:t>Nov. 2</w:t>
      </w:r>
      <w:r>
        <w:rPr>
          <w:rFonts w:asciiTheme="minorHAnsi" w:eastAsia="Calibri" w:hAnsiTheme="minorHAnsi" w:cstheme="minorHAnsi"/>
          <w:snapToGrid w:val="0"/>
          <w:sz w:val="20"/>
          <w:lang w:eastAsia="en-US"/>
        </w:rPr>
        <w:t>5</w:t>
      </w:r>
      <w:r w:rsidRPr="00120F1A">
        <w:rPr>
          <w:rFonts w:asciiTheme="minorHAnsi" w:eastAsia="Calibri" w:hAnsiTheme="minorHAnsi" w:cstheme="minorHAnsi"/>
          <w:snapToGrid w:val="0"/>
          <w:sz w:val="20"/>
          <w:lang w:eastAsia="en-US"/>
        </w:rPr>
        <w:tab/>
      </w:r>
      <w:r w:rsidRPr="00120F1A">
        <w:rPr>
          <w:rFonts w:asciiTheme="minorHAnsi" w:eastAsia="Calibri" w:hAnsiTheme="minorHAnsi" w:cstheme="minorHAnsi"/>
          <w:sz w:val="20"/>
          <w:lang w:eastAsia="en-US"/>
        </w:rPr>
        <w:t xml:space="preserve">Last day for summative tests or examinations, or formative tests or examinations totaling more than 15% of the final grade, before the official examination period.  </w:t>
      </w:r>
    </w:p>
    <w:p w14:paraId="78A4441C" w14:textId="77777777" w:rsidR="00FC4C03" w:rsidRPr="00120F1A" w:rsidRDefault="00FC4C03" w:rsidP="00FC4C03">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 xml:space="preserve">Dec. </w:t>
      </w:r>
      <w:r>
        <w:rPr>
          <w:rFonts w:asciiTheme="minorHAnsi" w:eastAsia="Calibri" w:hAnsiTheme="minorHAnsi" w:cstheme="minorHAnsi"/>
          <w:snapToGrid w:val="0"/>
          <w:sz w:val="20"/>
          <w:lang w:eastAsia="en-US"/>
        </w:rPr>
        <w:t>9</w:t>
      </w:r>
      <w:r w:rsidRPr="00120F1A">
        <w:rPr>
          <w:rFonts w:asciiTheme="minorHAnsi" w:eastAsia="Calibri" w:hAnsiTheme="minorHAnsi" w:cstheme="minorHAnsi"/>
          <w:snapToGrid w:val="0"/>
          <w:sz w:val="20"/>
          <w:lang w:eastAsia="en-US"/>
        </w:rPr>
        <w:tab/>
        <w:t xml:space="preserve">Last day of fall term classes. </w:t>
      </w:r>
      <w:r w:rsidRPr="00120F1A">
        <w:rPr>
          <w:rFonts w:asciiTheme="minorHAnsi" w:eastAsia="Calibri" w:hAnsiTheme="minorHAnsi" w:cstheme="minorHAnsi"/>
          <w:b/>
          <w:bCs/>
          <w:i/>
          <w:iCs/>
          <w:snapToGrid w:val="0"/>
          <w:sz w:val="20"/>
          <w:lang w:eastAsia="en-US"/>
        </w:rPr>
        <w:t>Classes follow a Monday schedule</w:t>
      </w:r>
      <w:r w:rsidRPr="00120F1A">
        <w:rPr>
          <w:rFonts w:asciiTheme="minorHAnsi" w:eastAsia="Calibri" w:hAnsiTheme="minorHAnsi" w:cstheme="minorHAnsi"/>
          <w:snapToGrid w:val="0"/>
          <w:sz w:val="20"/>
          <w:lang w:eastAsia="en-US"/>
        </w:rPr>
        <w:t xml:space="preserve">. Last day for academic withdrawal from fall term courses. Last day for handing in term work and the last day that can be specified by a course instructor as a due date for term work for a fall term course. </w:t>
      </w:r>
    </w:p>
    <w:p w14:paraId="50D5D55D" w14:textId="77777777" w:rsidR="00FC4C03" w:rsidRPr="00120F1A" w:rsidRDefault="00FC4C03" w:rsidP="00FC4C03">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Dec. 1</w:t>
      </w:r>
      <w:r>
        <w:rPr>
          <w:rFonts w:asciiTheme="minorHAnsi" w:eastAsia="Calibri" w:hAnsiTheme="minorHAnsi" w:cstheme="minorHAnsi"/>
          <w:snapToGrid w:val="0"/>
          <w:sz w:val="20"/>
          <w:lang w:eastAsia="en-US"/>
        </w:rPr>
        <w:t>0</w:t>
      </w:r>
      <w:r w:rsidRPr="00120F1A">
        <w:rPr>
          <w:rFonts w:asciiTheme="minorHAnsi" w:eastAsia="Calibri" w:hAnsiTheme="minorHAnsi" w:cstheme="minorHAnsi"/>
          <w:snapToGrid w:val="0"/>
          <w:sz w:val="20"/>
          <w:lang w:eastAsia="en-US"/>
        </w:rPr>
        <w:t>-2</w:t>
      </w:r>
      <w:r>
        <w:rPr>
          <w:rFonts w:asciiTheme="minorHAnsi" w:eastAsia="Calibri" w:hAnsiTheme="minorHAnsi" w:cstheme="minorHAnsi"/>
          <w:snapToGrid w:val="0"/>
          <w:sz w:val="20"/>
          <w:lang w:eastAsia="en-US"/>
        </w:rPr>
        <w:t>2</w:t>
      </w:r>
      <w:r w:rsidRPr="00120F1A">
        <w:rPr>
          <w:rFonts w:asciiTheme="minorHAnsi" w:eastAsia="Calibri" w:hAnsiTheme="minorHAnsi" w:cstheme="minorHAnsi"/>
          <w:snapToGrid w:val="0"/>
          <w:sz w:val="20"/>
          <w:lang w:eastAsia="en-US"/>
        </w:rPr>
        <w:tab/>
        <w:t xml:space="preserve">Final examinations for fall term courses and mid-term examinations in two-term courses. Examinations are normally held all seven days of the week. </w:t>
      </w:r>
    </w:p>
    <w:p w14:paraId="36673FE8" w14:textId="77777777" w:rsidR="00FC4C03" w:rsidRPr="00120F1A" w:rsidRDefault="00FC4C03" w:rsidP="00FC4C03">
      <w:pPr>
        <w:tabs>
          <w:tab w:val="left" w:pos="1134"/>
        </w:tabs>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Dec. 2</w:t>
      </w:r>
      <w:r>
        <w:rPr>
          <w:rFonts w:asciiTheme="minorHAnsi" w:eastAsia="Calibri" w:hAnsiTheme="minorHAnsi" w:cstheme="minorHAnsi"/>
          <w:snapToGrid w:val="0"/>
          <w:sz w:val="20"/>
          <w:lang w:eastAsia="en-US"/>
        </w:rPr>
        <w:t>2</w:t>
      </w:r>
      <w:r w:rsidRPr="00120F1A">
        <w:rPr>
          <w:rFonts w:asciiTheme="minorHAnsi" w:eastAsia="Calibri" w:hAnsiTheme="minorHAnsi" w:cstheme="minorHAnsi"/>
          <w:snapToGrid w:val="0"/>
          <w:sz w:val="20"/>
          <w:lang w:eastAsia="en-US"/>
        </w:rPr>
        <w:tab/>
        <w:t xml:space="preserve">All take-home examinations are due. </w:t>
      </w:r>
    </w:p>
    <w:p w14:paraId="320B6912" w14:textId="77777777" w:rsidR="00FC4C03" w:rsidRPr="00120F1A" w:rsidRDefault="00FC4C03" w:rsidP="00FC4C03">
      <w:pPr>
        <w:rPr>
          <w:rFonts w:asciiTheme="minorHAnsi" w:eastAsia="Calibri" w:hAnsiTheme="minorHAnsi" w:cstheme="minorHAnsi"/>
          <w:snapToGrid w:val="0"/>
          <w:sz w:val="20"/>
          <w:lang w:eastAsia="en-US"/>
        </w:rPr>
      </w:pPr>
    </w:p>
    <w:p w14:paraId="7ACA9D72" w14:textId="77777777" w:rsidR="00FC4C03" w:rsidRPr="00120F1A" w:rsidRDefault="00FC4C03" w:rsidP="00FC4C03">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 xml:space="preserve">Jan. </w:t>
      </w:r>
      <w:r>
        <w:rPr>
          <w:rFonts w:asciiTheme="minorHAnsi" w:eastAsia="Calibri" w:hAnsiTheme="minorHAnsi" w:cstheme="minorHAnsi"/>
          <w:snapToGrid w:val="0"/>
          <w:sz w:val="20"/>
          <w:lang w:eastAsia="en-US"/>
        </w:rPr>
        <w:t>9</w:t>
      </w:r>
      <w:r w:rsidRPr="00120F1A">
        <w:rPr>
          <w:rFonts w:asciiTheme="minorHAnsi" w:eastAsia="Calibri" w:hAnsiTheme="minorHAnsi" w:cstheme="minorHAnsi"/>
          <w:snapToGrid w:val="0"/>
          <w:sz w:val="20"/>
          <w:lang w:eastAsia="en-US"/>
        </w:rPr>
        <w:tab/>
        <w:t>Classes begin.</w:t>
      </w:r>
    </w:p>
    <w:p w14:paraId="4A070A4F" w14:textId="77777777" w:rsidR="00FC4C03" w:rsidRPr="00120F1A" w:rsidRDefault="00FC4C03" w:rsidP="00FC4C03">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Jan. 2</w:t>
      </w:r>
      <w:r>
        <w:rPr>
          <w:rFonts w:asciiTheme="minorHAnsi" w:eastAsia="Calibri" w:hAnsiTheme="minorHAnsi" w:cstheme="minorHAnsi"/>
          <w:snapToGrid w:val="0"/>
          <w:sz w:val="20"/>
          <w:lang w:eastAsia="en-US"/>
        </w:rPr>
        <w:t>0</w:t>
      </w:r>
      <w:r w:rsidRPr="00120F1A">
        <w:rPr>
          <w:rFonts w:asciiTheme="minorHAnsi" w:eastAsia="Calibri" w:hAnsiTheme="minorHAnsi" w:cstheme="minorHAnsi"/>
          <w:snapToGrid w:val="0"/>
          <w:sz w:val="20"/>
          <w:lang w:eastAsia="en-US"/>
        </w:rPr>
        <w:tab/>
        <w:t>Last day for registration and course changes in the winter term.</w:t>
      </w:r>
    </w:p>
    <w:p w14:paraId="0B23681F" w14:textId="77777777" w:rsidR="00FC4C03" w:rsidRPr="00120F1A" w:rsidRDefault="00FC4C03" w:rsidP="00FC4C03">
      <w:pPr>
        <w:tabs>
          <w:tab w:val="left" w:pos="1134"/>
        </w:tabs>
        <w:ind w:left="1134" w:hanging="1134"/>
        <w:rPr>
          <w:rFonts w:asciiTheme="minorHAnsi" w:eastAsia="Calibri" w:hAnsiTheme="minorHAnsi" w:cstheme="minorHAnsi"/>
          <w:sz w:val="20"/>
          <w:lang w:eastAsia="en-US"/>
        </w:rPr>
      </w:pPr>
      <w:r w:rsidRPr="00120F1A">
        <w:rPr>
          <w:rFonts w:asciiTheme="minorHAnsi" w:eastAsia="Calibri" w:hAnsiTheme="minorHAnsi" w:cstheme="minorHAnsi"/>
          <w:snapToGrid w:val="0"/>
          <w:sz w:val="20"/>
          <w:lang w:eastAsia="en-US"/>
        </w:rPr>
        <w:t>Jan. 31</w:t>
      </w:r>
      <w:r w:rsidRPr="00120F1A">
        <w:rPr>
          <w:rFonts w:asciiTheme="minorHAnsi" w:eastAsia="Calibri" w:hAnsiTheme="minorHAnsi" w:cstheme="minorHAnsi"/>
          <w:snapToGrid w:val="0"/>
          <w:sz w:val="20"/>
          <w:lang w:eastAsia="en-US"/>
        </w:rPr>
        <w:tab/>
        <w:t xml:space="preserve">Last day for a full fee adjustment when withdrawing from winter term courses or from the winter portion of two-term courses. </w:t>
      </w:r>
      <w:r w:rsidRPr="00120F1A">
        <w:rPr>
          <w:rFonts w:asciiTheme="minorHAnsi" w:eastAsia="Calibri" w:hAnsiTheme="minorHAnsi" w:cstheme="minorHAnsi"/>
          <w:sz w:val="20"/>
          <w:lang w:eastAsia="en-US"/>
        </w:rPr>
        <w:t xml:space="preserve">Withdrawals after this date will result in a permanent notation of WDN on the official transcript.  </w:t>
      </w:r>
    </w:p>
    <w:p w14:paraId="685E248F" w14:textId="77777777" w:rsidR="00FC4C03" w:rsidRPr="00120F1A" w:rsidRDefault="00FC4C03" w:rsidP="00FC4C03">
      <w:pPr>
        <w:tabs>
          <w:tab w:val="left" w:pos="1134"/>
        </w:tabs>
        <w:ind w:left="1134" w:hanging="1134"/>
        <w:rPr>
          <w:rFonts w:asciiTheme="minorHAnsi" w:eastAsia="Calibri" w:hAnsiTheme="minorHAnsi" w:cstheme="minorHAnsi"/>
          <w:sz w:val="20"/>
          <w:lang w:eastAsia="en-US"/>
        </w:rPr>
      </w:pPr>
      <w:r w:rsidRPr="00120F1A">
        <w:rPr>
          <w:rFonts w:asciiTheme="minorHAnsi" w:eastAsia="Calibri" w:hAnsiTheme="minorHAnsi" w:cstheme="minorHAnsi"/>
          <w:snapToGrid w:val="0"/>
          <w:sz w:val="20"/>
          <w:lang w:eastAsia="en-US"/>
        </w:rPr>
        <w:t xml:space="preserve">Feb. </w:t>
      </w:r>
      <w:r>
        <w:rPr>
          <w:rFonts w:asciiTheme="minorHAnsi" w:eastAsia="Calibri" w:hAnsiTheme="minorHAnsi" w:cstheme="minorHAnsi"/>
          <w:snapToGrid w:val="0"/>
          <w:sz w:val="20"/>
          <w:lang w:eastAsia="en-US"/>
        </w:rPr>
        <w:t>20</w:t>
      </w:r>
      <w:r w:rsidRPr="00120F1A">
        <w:rPr>
          <w:rFonts w:asciiTheme="minorHAnsi" w:eastAsia="Calibri" w:hAnsiTheme="minorHAnsi" w:cstheme="minorHAnsi"/>
          <w:snapToGrid w:val="0"/>
          <w:sz w:val="20"/>
          <w:lang w:eastAsia="en-US"/>
        </w:rPr>
        <w:tab/>
        <w:t>Statutory holiday. University closed.</w:t>
      </w:r>
    </w:p>
    <w:p w14:paraId="7EAD5DBC" w14:textId="6995A80B" w:rsidR="00FC4C03" w:rsidRDefault="00FC4C03" w:rsidP="00FC4C03">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z w:val="20"/>
          <w:lang w:eastAsia="en-US"/>
        </w:rPr>
        <w:t xml:space="preserve">Feb. </w:t>
      </w:r>
      <w:r>
        <w:rPr>
          <w:rFonts w:asciiTheme="minorHAnsi" w:eastAsia="Calibri" w:hAnsiTheme="minorHAnsi" w:cstheme="minorHAnsi"/>
          <w:sz w:val="20"/>
          <w:lang w:eastAsia="en-US"/>
        </w:rPr>
        <w:t>20</w:t>
      </w:r>
      <w:r w:rsidRPr="00120F1A">
        <w:rPr>
          <w:rFonts w:asciiTheme="minorHAnsi" w:eastAsia="Calibri" w:hAnsiTheme="minorHAnsi" w:cstheme="minorHAnsi"/>
          <w:sz w:val="20"/>
          <w:lang w:eastAsia="en-US"/>
        </w:rPr>
        <w:t>-</w:t>
      </w:r>
      <w:r>
        <w:rPr>
          <w:rFonts w:asciiTheme="minorHAnsi" w:eastAsia="Calibri" w:hAnsiTheme="minorHAnsi" w:cstheme="minorHAnsi"/>
          <w:sz w:val="20"/>
          <w:lang w:eastAsia="en-US"/>
        </w:rPr>
        <w:t>24</w:t>
      </w:r>
      <w:r w:rsidRPr="00120F1A">
        <w:rPr>
          <w:rFonts w:asciiTheme="minorHAnsi" w:eastAsia="Calibri" w:hAnsiTheme="minorHAnsi" w:cstheme="minorHAnsi"/>
          <w:sz w:val="20"/>
          <w:lang w:eastAsia="en-US"/>
        </w:rPr>
        <w:tab/>
      </w:r>
      <w:r w:rsidRPr="00120F1A">
        <w:rPr>
          <w:rFonts w:asciiTheme="minorHAnsi" w:eastAsia="Calibri" w:hAnsiTheme="minorHAnsi" w:cstheme="minorHAnsi"/>
          <w:snapToGrid w:val="0"/>
          <w:sz w:val="20"/>
          <w:lang w:eastAsia="en-US"/>
        </w:rPr>
        <w:t>Winter Break – no classes.</w:t>
      </w:r>
    </w:p>
    <w:p w14:paraId="2D5CABE1" w14:textId="1300F9E2" w:rsidR="00EB4270" w:rsidRPr="00120F1A" w:rsidRDefault="00EB4270" w:rsidP="00FC4C03">
      <w:pPr>
        <w:tabs>
          <w:tab w:val="left" w:pos="1134"/>
        </w:tabs>
        <w:ind w:left="1134" w:hanging="1134"/>
        <w:rPr>
          <w:rFonts w:asciiTheme="minorHAnsi" w:eastAsia="Calibri" w:hAnsiTheme="minorHAnsi" w:cstheme="minorHAnsi"/>
          <w:sz w:val="20"/>
          <w:lang w:eastAsia="en-US"/>
        </w:rPr>
      </w:pPr>
      <w:r>
        <w:rPr>
          <w:rFonts w:asciiTheme="minorHAnsi" w:eastAsia="Calibri" w:hAnsiTheme="minorHAnsi" w:cstheme="minorHAnsi"/>
          <w:sz w:val="20"/>
          <w:lang w:eastAsia="en-US"/>
        </w:rPr>
        <w:t>Mar. 15</w:t>
      </w:r>
      <w:r>
        <w:rPr>
          <w:rFonts w:asciiTheme="minorHAnsi" w:eastAsia="Calibri" w:hAnsiTheme="minorHAnsi" w:cstheme="minorHAnsi"/>
          <w:sz w:val="20"/>
          <w:lang w:eastAsia="en-US"/>
        </w:rPr>
        <w:tab/>
      </w:r>
      <w:r w:rsidRPr="00120F1A">
        <w:rPr>
          <w:rFonts w:asciiTheme="minorHAnsi" w:eastAsia="Calibri" w:hAnsiTheme="minorHAnsi" w:cstheme="minorHAnsi"/>
          <w:snapToGrid w:val="0"/>
          <w:sz w:val="20"/>
          <w:lang w:eastAsia="en-US"/>
        </w:rPr>
        <w:t>Last day for academic withdrawal from fall/winter and winter courses.</w:t>
      </w:r>
    </w:p>
    <w:p w14:paraId="5BF1E2B1" w14:textId="77777777" w:rsidR="00FC4C03" w:rsidRPr="00120F1A" w:rsidRDefault="00FC4C03" w:rsidP="00FC4C03">
      <w:pPr>
        <w:tabs>
          <w:tab w:val="left" w:pos="1134"/>
        </w:tabs>
        <w:ind w:left="1134" w:hanging="1134"/>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Mar. 2</w:t>
      </w:r>
      <w:r>
        <w:rPr>
          <w:rFonts w:asciiTheme="minorHAnsi" w:eastAsia="Calibri" w:hAnsiTheme="minorHAnsi" w:cstheme="minorHAnsi"/>
          <w:sz w:val="20"/>
          <w:lang w:eastAsia="en-US"/>
        </w:rPr>
        <w:t>9</w:t>
      </w:r>
      <w:r w:rsidRPr="00120F1A">
        <w:rPr>
          <w:rFonts w:asciiTheme="minorHAnsi" w:eastAsia="Calibri" w:hAnsiTheme="minorHAnsi" w:cstheme="minorHAnsi"/>
          <w:sz w:val="20"/>
          <w:lang w:eastAsia="en-US"/>
        </w:rPr>
        <w:tab/>
        <w:t xml:space="preserve">Last day for summative tests or examinations, or formative tests or examinations totaling more than 15% of the final grade, in winter term or fall/winter courses before the official examination period.  </w:t>
      </w:r>
    </w:p>
    <w:p w14:paraId="699281A1" w14:textId="77777777" w:rsidR="00FC4C03" w:rsidRPr="00120F1A" w:rsidRDefault="00FC4C03" w:rsidP="00FC4C03">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 xml:space="preserve">Apr. </w:t>
      </w:r>
      <w:r>
        <w:rPr>
          <w:rFonts w:asciiTheme="minorHAnsi" w:eastAsia="Calibri" w:hAnsiTheme="minorHAnsi" w:cstheme="minorHAnsi"/>
          <w:snapToGrid w:val="0"/>
          <w:sz w:val="20"/>
          <w:lang w:eastAsia="en-US"/>
        </w:rPr>
        <w:t>7</w:t>
      </w:r>
      <w:r w:rsidRPr="00120F1A">
        <w:rPr>
          <w:rFonts w:asciiTheme="minorHAnsi" w:eastAsia="Calibri" w:hAnsiTheme="minorHAnsi" w:cstheme="minorHAnsi"/>
          <w:snapToGrid w:val="0"/>
          <w:sz w:val="20"/>
          <w:lang w:eastAsia="en-US"/>
        </w:rPr>
        <w:tab/>
        <w:t xml:space="preserve">Statutory holiday.  University closed. </w:t>
      </w:r>
    </w:p>
    <w:p w14:paraId="3483FBD2" w14:textId="654D8289" w:rsidR="00FC4C03" w:rsidRPr="00120F1A" w:rsidRDefault="00FC4C03" w:rsidP="00FC4C03">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 xml:space="preserve">Apr. </w:t>
      </w:r>
      <w:r>
        <w:rPr>
          <w:rFonts w:asciiTheme="minorHAnsi" w:eastAsia="Calibri" w:hAnsiTheme="minorHAnsi" w:cstheme="minorHAnsi"/>
          <w:snapToGrid w:val="0"/>
          <w:sz w:val="20"/>
          <w:lang w:eastAsia="en-US"/>
        </w:rPr>
        <w:t>12</w:t>
      </w:r>
      <w:r w:rsidRPr="00120F1A">
        <w:rPr>
          <w:rFonts w:asciiTheme="minorHAnsi" w:eastAsia="Calibri" w:hAnsiTheme="minorHAnsi" w:cstheme="minorHAnsi"/>
          <w:snapToGrid w:val="0"/>
          <w:sz w:val="20"/>
          <w:lang w:eastAsia="en-US"/>
        </w:rPr>
        <w:tab/>
        <w:t>Last day of two-term and winter term classes.</w:t>
      </w:r>
      <w:r w:rsidRPr="00907CB2">
        <w:rPr>
          <w:rFonts w:asciiTheme="minorHAnsi" w:eastAsia="Calibri" w:hAnsiTheme="minorHAnsi" w:cstheme="minorHAnsi"/>
          <w:b/>
          <w:bCs/>
          <w:i/>
          <w:iCs/>
          <w:snapToGrid w:val="0"/>
          <w:sz w:val="20"/>
          <w:lang w:eastAsia="en-US"/>
        </w:rPr>
        <w:t xml:space="preserve"> </w:t>
      </w:r>
      <w:r w:rsidRPr="00120F1A">
        <w:rPr>
          <w:rFonts w:asciiTheme="minorHAnsi" w:eastAsia="Calibri" w:hAnsiTheme="minorHAnsi" w:cstheme="minorHAnsi"/>
          <w:b/>
          <w:bCs/>
          <w:i/>
          <w:iCs/>
          <w:snapToGrid w:val="0"/>
          <w:sz w:val="20"/>
          <w:lang w:eastAsia="en-US"/>
        </w:rPr>
        <w:t xml:space="preserve">Classes follow a </w:t>
      </w:r>
      <w:r>
        <w:rPr>
          <w:rFonts w:asciiTheme="minorHAnsi" w:eastAsia="Calibri" w:hAnsiTheme="minorHAnsi" w:cstheme="minorHAnsi"/>
          <w:b/>
          <w:bCs/>
          <w:i/>
          <w:iCs/>
          <w:snapToGrid w:val="0"/>
          <w:sz w:val="20"/>
          <w:lang w:eastAsia="en-US"/>
        </w:rPr>
        <w:t>Friday</w:t>
      </w:r>
      <w:r w:rsidRPr="00120F1A">
        <w:rPr>
          <w:rFonts w:asciiTheme="minorHAnsi" w:eastAsia="Calibri" w:hAnsiTheme="minorHAnsi" w:cstheme="minorHAnsi"/>
          <w:b/>
          <w:bCs/>
          <w:i/>
          <w:iCs/>
          <w:snapToGrid w:val="0"/>
          <w:sz w:val="20"/>
          <w:lang w:eastAsia="en-US"/>
        </w:rPr>
        <w:t xml:space="preserve"> schedule</w:t>
      </w:r>
      <w:r w:rsidR="00EB4270">
        <w:rPr>
          <w:rFonts w:asciiTheme="minorHAnsi" w:eastAsia="Calibri" w:hAnsiTheme="minorHAnsi" w:cstheme="minorHAnsi"/>
          <w:b/>
          <w:bCs/>
          <w:i/>
          <w:iCs/>
          <w:snapToGrid w:val="0"/>
          <w:sz w:val="20"/>
          <w:lang w:eastAsia="en-US"/>
        </w:rPr>
        <w:t xml:space="preserve">. </w:t>
      </w:r>
      <w:r w:rsidRPr="00120F1A">
        <w:rPr>
          <w:rFonts w:asciiTheme="minorHAnsi" w:eastAsia="Calibri" w:hAnsiTheme="minorHAnsi" w:cstheme="minorHAnsi"/>
          <w:snapToGrid w:val="0"/>
          <w:sz w:val="20"/>
          <w:lang w:eastAsia="en-US"/>
        </w:rPr>
        <w:t xml:space="preserve">Last day for handing in term work and the last day that can be specified by a course instructor as a due date for two-term and for winter term courses. </w:t>
      </w:r>
    </w:p>
    <w:p w14:paraId="46606435" w14:textId="77777777" w:rsidR="00FC4C03" w:rsidRPr="00120F1A" w:rsidRDefault="00FC4C03" w:rsidP="00FC4C03">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Apr. 1</w:t>
      </w:r>
      <w:r>
        <w:rPr>
          <w:rFonts w:asciiTheme="minorHAnsi" w:eastAsia="Calibri" w:hAnsiTheme="minorHAnsi" w:cstheme="minorHAnsi"/>
          <w:snapToGrid w:val="0"/>
          <w:sz w:val="20"/>
          <w:lang w:eastAsia="en-US"/>
        </w:rPr>
        <w:t>3-14</w:t>
      </w:r>
      <w:r w:rsidRPr="00120F1A">
        <w:rPr>
          <w:rFonts w:asciiTheme="minorHAnsi" w:eastAsia="Calibri" w:hAnsiTheme="minorHAnsi" w:cstheme="minorHAnsi"/>
          <w:snapToGrid w:val="0"/>
          <w:sz w:val="20"/>
          <w:lang w:eastAsia="en-US"/>
        </w:rPr>
        <w:tab/>
        <w:t>No classes or examinations take place.</w:t>
      </w:r>
    </w:p>
    <w:p w14:paraId="7AF11294" w14:textId="77777777" w:rsidR="00FC4C03" w:rsidRDefault="00FC4C03" w:rsidP="00FC4C03">
      <w:pPr>
        <w:tabs>
          <w:tab w:val="left" w:pos="1134"/>
        </w:tabs>
        <w:ind w:left="1134" w:hanging="1134"/>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Apr. 1</w:t>
      </w:r>
      <w:r>
        <w:rPr>
          <w:rFonts w:asciiTheme="minorHAnsi" w:eastAsia="Calibri" w:hAnsiTheme="minorHAnsi" w:cstheme="minorHAnsi"/>
          <w:snapToGrid w:val="0"/>
          <w:sz w:val="20"/>
          <w:lang w:eastAsia="en-US"/>
        </w:rPr>
        <w:t>5</w:t>
      </w:r>
      <w:r w:rsidRPr="00120F1A">
        <w:rPr>
          <w:rFonts w:asciiTheme="minorHAnsi" w:eastAsia="Calibri" w:hAnsiTheme="minorHAnsi" w:cstheme="minorHAnsi"/>
          <w:snapToGrid w:val="0"/>
          <w:sz w:val="20"/>
          <w:lang w:eastAsia="en-US"/>
        </w:rPr>
        <w:t>-2</w:t>
      </w:r>
      <w:r>
        <w:rPr>
          <w:rFonts w:asciiTheme="minorHAnsi" w:eastAsia="Calibri" w:hAnsiTheme="minorHAnsi" w:cstheme="minorHAnsi"/>
          <w:snapToGrid w:val="0"/>
          <w:sz w:val="20"/>
          <w:lang w:eastAsia="en-US"/>
        </w:rPr>
        <w:t>7</w:t>
      </w:r>
      <w:r w:rsidRPr="00120F1A">
        <w:rPr>
          <w:rFonts w:asciiTheme="minorHAnsi" w:eastAsia="Calibri" w:hAnsiTheme="minorHAnsi" w:cstheme="minorHAnsi"/>
          <w:snapToGrid w:val="0"/>
          <w:sz w:val="20"/>
          <w:lang w:eastAsia="en-US"/>
        </w:rPr>
        <w:tab/>
        <w:t>Final examinations for winter term and two-term courses. Examinations are normally held all seven days of the week.</w:t>
      </w:r>
    </w:p>
    <w:p w14:paraId="0D62A2FE" w14:textId="77777777" w:rsidR="00FC4C03" w:rsidRPr="00120F1A" w:rsidRDefault="00FC4C03" w:rsidP="00FC4C03">
      <w:pPr>
        <w:tabs>
          <w:tab w:val="left" w:pos="1134"/>
        </w:tabs>
        <w:rPr>
          <w:rFonts w:asciiTheme="minorHAnsi" w:eastAsia="Calibri" w:hAnsiTheme="minorHAnsi" w:cstheme="minorHAnsi"/>
          <w:snapToGrid w:val="0"/>
          <w:sz w:val="20"/>
          <w:lang w:eastAsia="en-US"/>
        </w:rPr>
      </w:pPr>
      <w:r w:rsidRPr="00120F1A">
        <w:rPr>
          <w:rFonts w:asciiTheme="minorHAnsi" w:eastAsia="Calibri" w:hAnsiTheme="minorHAnsi" w:cstheme="minorHAnsi"/>
          <w:snapToGrid w:val="0"/>
          <w:sz w:val="20"/>
          <w:lang w:eastAsia="en-US"/>
        </w:rPr>
        <w:t>Apr. 2</w:t>
      </w:r>
      <w:r>
        <w:rPr>
          <w:rFonts w:asciiTheme="minorHAnsi" w:eastAsia="Calibri" w:hAnsiTheme="minorHAnsi" w:cstheme="minorHAnsi"/>
          <w:snapToGrid w:val="0"/>
          <w:sz w:val="20"/>
          <w:lang w:eastAsia="en-US"/>
        </w:rPr>
        <w:t>7</w:t>
      </w:r>
      <w:r w:rsidRPr="00120F1A">
        <w:rPr>
          <w:rFonts w:asciiTheme="minorHAnsi" w:eastAsia="Calibri" w:hAnsiTheme="minorHAnsi" w:cstheme="minorHAnsi"/>
          <w:snapToGrid w:val="0"/>
          <w:sz w:val="20"/>
          <w:lang w:eastAsia="en-US"/>
        </w:rPr>
        <w:tab/>
        <w:t>All take-home examinations are due</w:t>
      </w:r>
      <w:r>
        <w:rPr>
          <w:rFonts w:asciiTheme="minorHAnsi" w:eastAsia="Calibri" w:hAnsiTheme="minorHAnsi" w:cstheme="minorHAnsi"/>
          <w:snapToGrid w:val="0"/>
          <w:sz w:val="20"/>
          <w:lang w:eastAsia="en-US"/>
        </w:rPr>
        <w:t>.</w:t>
      </w:r>
      <w:r w:rsidRPr="00120F1A">
        <w:rPr>
          <w:rFonts w:asciiTheme="minorHAnsi" w:eastAsia="Calibri" w:hAnsiTheme="minorHAnsi" w:cstheme="minorHAnsi"/>
          <w:snapToGrid w:val="0"/>
          <w:sz w:val="20"/>
          <w:lang w:eastAsia="en-US"/>
        </w:rPr>
        <w:t xml:space="preserve">   </w:t>
      </w:r>
    </w:p>
    <w:p w14:paraId="1C139B0E" w14:textId="77777777" w:rsidR="00FC4C03" w:rsidRPr="00120F1A" w:rsidRDefault="00FC4C03" w:rsidP="00FC4C03">
      <w:pPr>
        <w:tabs>
          <w:tab w:val="left" w:pos="1134"/>
        </w:tabs>
        <w:ind w:left="1134" w:hanging="1134"/>
        <w:rPr>
          <w:rFonts w:asciiTheme="minorHAnsi" w:eastAsia="Calibri" w:hAnsiTheme="minorHAnsi" w:cstheme="minorHAnsi"/>
          <w:snapToGrid w:val="0"/>
          <w:sz w:val="20"/>
          <w:lang w:eastAsia="en-US"/>
        </w:rPr>
      </w:pPr>
    </w:p>
    <w:p w14:paraId="37302514" w14:textId="77777777" w:rsidR="00FC4C03" w:rsidRPr="00120F1A" w:rsidRDefault="00FC4C03" w:rsidP="00FC4C03">
      <w:pPr>
        <w:rPr>
          <w:rFonts w:asciiTheme="minorHAnsi" w:eastAsia="Calibri" w:hAnsiTheme="minorHAnsi" w:cstheme="minorHAnsi"/>
          <w:snapToGrid w:val="0"/>
          <w:sz w:val="20"/>
          <w:lang w:eastAsia="en-US"/>
        </w:rPr>
      </w:pPr>
    </w:p>
    <w:p w14:paraId="4D0B448F" w14:textId="77777777" w:rsidR="00FC4C03" w:rsidRPr="00120F1A" w:rsidRDefault="00FC4C03" w:rsidP="00FC4C03">
      <w:pPr>
        <w:rPr>
          <w:rFonts w:asciiTheme="minorHAnsi" w:eastAsia="Calibri" w:hAnsiTheme="minorHAnsi" w:cstheme="minorHAnsi"/>
          <w:snapToGrid w:val="0"/>
          <w:sz w:val="20"/>
          <w:lang w:eastAsia="en-US"/>
        </w:rPr>
      </w:pPr>
    </w:p>
    <w:p w14:paraId="4452090D" w14:textId="77777777" w:rsidR="00FC4C03" w:rsidRPr="00120F1A" w:rsidRDefault="00FC4C03" w:rsidP="00FC4C03">
      <w:pPr>
        <w:rPr>
          <w:rFonts w:asciiTheme="minorHAnsi" w:eastAsia="Calibri" w:hAnsiTheme="minorHAnsi" w:cstheme="minorHAnsi"/>
          <w:b/>
          <w:bCs/>
          <w:sz w:val="20"/>
          <w:u w:val="single"/>
          <w:lang w:eastAsia="en-US"/>
        </w:rPr>
      </w:pPr>
      <w:r w:rsidRPr="00120F1A">
        <w:rPr>
          <w:rFonts w:asciiTheme="minorHAnsi" w:eastAsia="Calibri" w:hAnsiTheme="minorHAnsi" w:cstheme="minorHAnsi"/>
          <w:b/>
          <w:bCs/>
          <w:sz w:val="20"/>
          <w:u w:val="single"/>
          <w:lang w:eastAsia="en-US"/>
        </w:rPr>
        <w:t>Addresses:</w:t>
      </w:r>
    </w:p>
    <w:p w14:paraId="1A320F2B" w14:textId="77777777" w:rsidR="00FC4C03" w:rsidRPr="00120F1A" w:rsidRDefault="00FC4C03" w:rsidP="00FC4C03">
      <w:pPr>
        <w:rPr>
          <w:rFonts w:asciiTheme="minorHAnsi" w:eastAsia="Calibri" w:hAnsiTheme="minorHAnsi" w:cstheme="minorHAnsi"/>
          <w:sz w:val="20"/>
          <w:lang w:eastAsia="en-US"/>
        </w:rPr>
      </w:pPr>
    </w:p>
    <w:p w14:paraId="0D7C9720" w14:textId="77777777" w:rsidR="00FC4C03" w:rsidRPr="00120F1A" w:rsidRDefault="00FC4C03" w:rsidP="00FC4C03">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Department of Philosophy:</w:t>
      </w:r>
    </w:p>
    <w:p w14:paraId="7FBE6A6E" w14:textId="77777777" w:rsidR="00FC4C03" w:rsidRPr="00120F1A" w:rsidRDefault="002839D4" w:rsidP="00FC4C03">
      <w:pPr>
        <w:rPr>
          <w:rFonts w:asciiTheme="minorHAnsi" w:eastAsia="Calibri" w:hAnsiTheme="minorHAnsi" w:cstheme="minorHAnsi"/>
          <w:sz w:val="20"/>
          <w:lang w:eastAsia="en-US"/>
        </w:rPr>
      </w:pPr>
      <w:hyperlink r:id="rId14" w:history="1">
        <w:r w:rsidR="00FC4C03" w:rsidRPr="00120F1A">
          <w:rPr>
            <w:rStyle w:val="Hyperlink"/>
            <w:rFonts w:asciiTheme="minorHAnsi" w:eastAsia="Calibri" w:hAnsiTheme="minorHAnsi" w:cstheme="minorHAnsi"/>
            <w:sz w:val="20"/>
            <w:lang w:eastAsia="en-US"/>
          </w:rPr>
          <w:t>www.carleton.ca/philosophy</w:t>
        </w:r>
      </w:hyperlink>
    </w:p>
    <w:p w14:paraId="47060CED" w14:textId="77777777" w:rsidR="00FC4C03" w:rsidRPr="00120F1A" w:rsidRDefault="00FC4C03" w:rsidP="00FC4C03">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520-2110</w:t>
      </w:r>
    </w:p>
    <w:p w14:paraId="4E2AA974" w14:textId="77777777" w:rsidR="00FC4C03" w:rsidRPr="00120F1A" w:rsidRDefault="00FC4C03" w:rsidP="00FC4C03">
      <w:pPr>
        <w:rPr>
          <w:rFonts w:asciiTheme="minorHAnsi" w:eastAsia="Calibri" w:hAnsiTheme="minorHAnsi" w:cstheme="minorHAnsi"/>
          <w:sz w:val="20"/>
          <w:lang w:eastAsia="en-US"/>
        </w:rPr>
      </w:pPr>
    </w:p>
    <w:p w14:paraId="55B39A4F" w14:textId="77777777" w:rsidR="00FC4C03" w:rsidRPr="00120F1A" w:rsidRDefault="00FC4C03" w:rsidP="00FC4C03">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Registrar’s Office:</w:t>
      </w:r>
      <w:r w:rsidRPr="00120F1A">
        <w:rPr>
          <w:rFonts w:asciiTheme="minorHAnsi" w:eastAsia="Calibri" w:hAnsiTheme="minorHAnsi" w:cstheme="minorHAnsi"/>
          <w:sz w:val="20"/>
          <w:lang w:eastAsia="en-US"/>
        </w:rPr>
        <w:tab/>
      </w:r>
    </w:p>
    <w:p w14:paraId="6633BA5D" w14:textId="77777777" w:rsidR="00FC4C03" w:rsidRPr="00120F1A" w:rsidRDefault="002839D4" w:rsidP="00FC4C03">
      <w:pPr>
        <w:rPr>
          <w:rFonts w:asciiTheme="minorHAnsi" w:eastAsia="Calibri" w:hAnsiTheme="minorHAnsi" w:cstheme="minorHAnsi"/>
          <w:sz w:val="20"/>
          <w:lang w:eastAsia="en-US"/>
        </w:rPr>
      </w:pPr>
      <w:hyperlink r:id="rId15" w:history="1">
        <w:r w:rsidR="00FC4C03" w:rsidRPr="00120F1A">
          <w:rPr>
            <w:rStyle w:val="Hyperlink"/>
            <w:rFonts w:asciiTheme="minorHAnsi" w:eastAsia="Calibri" w:hAnsiTheme="minorHAnsi" w:cstheme="minorHAnsi"/>
            <w:sz w:val="20"/>
            <w:lang w:eastAsia="en-US"/>
          </w:rPr>
          <w:t>www.carleton.ca/registrar</w:t>
        </w:r>
      </w:hyperlink>
    </w:p>
    <w:p w14:paraId="698170AD" w14:textId="77777777" w:rsidR="00FC4C03" w:rsidRPr="00120F1A" w:rsidRDefault="00FC4C03" w:rsidP="00FC4C03">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520-3500</w:t>
      </w:r>
    </w:p>
    <w:p w14:paraId="25CC9675" w14:textId="77777777" w:rsidR="00FC4C03" w:rsidRPr="00120F1A" w:rsidRDefault="00FC4C03" w:rsidP="00FC4C03">
      <w:pPr>
        <w:rPr>
          <w:rFonts w:asciiTheme="minorHAnsi" w:eastAsia="Calibri" w:hAnsiTheme="minorHAnsi" w:cstheme="minorHAnsi"/>
          <w:sz w:val="20"/>
          <w:lang w:eastAsia="en-US"/>
        </w:rPr>
      </w:pPr>
    </w:p>
    <w:p w14:paraId="34B4D8C7" w14:textId="77777777" w:rsidR="00FC4C03" w:rsidRPr="00120F1A" w:rsidRDefault="00FC4C03" w:rsidP="00FC4C03">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 xml:space="preserve">Academic Advising Centre: </w:t>
      </w:r>
      <w:r w:rsidRPr="00120F1A">
        <w:rPr>
          <w:rFonts w:asciiTheme="minorHAnsi" w:eastAsia="Calibri" w:hAnsiTheme="minorHAnsi" w:cstheme="minorHAnsi"/>
          <w:sz w:val="20"/>
          <w:lang w:eastAsia="en-US"/>
        </w:rPr>
        <w:tab/>
      </w:r>
      <w:r w:rsidRPr="00120F1A">
        <w:rPr>
          <w:rFonts w:asciiTheme="minorHAnsi" w:eastAsia="Calibri" w:hAnsiTheme="minorHAnsi" w:cstheme="minorHAnsi"/>
          <w:sz w:val="20"/>
          <w:lang w:eastAsia="en-US"/>
        </w:rPr>
        <w:tab/>
      </w:r>
    </w:p>
    <w:p w14:paraId="18ED0EB5" w14:textId="77777777" w:rsidR="00FC4C03" w:rsidRPr="00120F1A" w:rsidRDefault="002839D4" w:rsidP="00FC4C03">
      <w:pPr>
        <w:rPr>
          <w:rFonts w:asciiTheme="minorHAnsi" w:eastAsia="Calibri" w:hAnsiTheme="minorHAnsi" w:cstheme="minorHAnsi"/>
          <w:sz w:val="20"/>
          <w:lang w:eastAsia="en-US"/>
        </w:rPr>
      </w:pPr>
      <w:hyperlink r:id="rId16" w:history="1">
        <w:r w:rsidR="00FC4C03" w:rsidRPr="00120F1A">
          <w:rPr>
            <w:rStyle w:val="Hyperlink"/>
            <w:rFonts w:asciiTheme="minorHAnsi" w:eastAsia="Calibri" w:hAnsiTheme="minorHAnsi" w:cstheme="minorHAnsi"/>
            <w:sz w:val="20"/>
            <w:lang w:eastAsia="en-US"/>
          </w:rPr>
          <w:t>www.carleton.ca/academicadvising</w:t>
        </w:r>
      </w:hyperlink>
    </w:p>
    <w:p w14:paraId="5959E302" w14:textId="77777777" w:rsidR="00FC4C03" w:rsidRPr="00120F1A" w:rsidRDefault="00FC4C03" w:rsidP="00FC4C03">
      <w:pPr>
        <w:rPr>
          <w:rFonts w:asciiTheme="minorHAnsi" w:eastAsia="Calibri" w:hAnsiTheme="minorHAnsi" w:cstheme="minorHAnsi"/>
          <w:sz w:val="20"/>
          <w:lang w:val="en-CA" w:eastAsia="en-US"/>
        </w:rPr>
      </w:pPr>
      <w:r w:rsidRPr="00120F1A">
        <w:rPr>
          <w:rFonts w:asciiTheme="minorHAnsi" w:eastAsia="Calibri" w:hAnsiTheme="minorHAnsi" w:cstheme="minorHAnsi"/>
          <w:sz w:val="20"/>
          <w:lang w:val="en-CA" w:eastAsia="en-US"/>
        </w:rPr>
        <w:t>520-7850</w:t>
      </w:r>
    </w:p>
    <w:p w14:paraId="6866B8D6" w14:textId="77777777" w:rsidR="00FC4C03" w:rsidRPr="00120F1A" w:rsidRDefault="00FC4C03" w:rsidP="00FC4C03">
      <w:pPr>
        <w:rPr>
          <w:rFonts w:asciiTheme="minorHAnsi" w:eastAsia="Calibri" w:hAnsiTheme="minorHAnsi" w:cstheme="minorHAnsi"/>
          <w:sz w:val="20"/>
          <w:lang w:eastAsia="en-US"/>
        </w:rPr>
      </w:pPr>
    </w:p>
    <w:p w14:paraId="47CDE646" w14:textId="77777777" w:rsidR="00FC4C03" w:rsidRPr="00120F1A" w:rsidRDefault="00FC4C03" w:rsidP="00FC4C03">
      <w:pPr>
        <w:rPr>
          <w:rFonts w:asciiTheme="minorHAnsi" w:eastAsia="Calibri" w:hAnsiTheme="minorHAnsi" w:cstheme="minorHAnsi"/>
          <w:sz w:val="20"/>
          <w:lang w:eastAsia="en-US"/>
        </w:rPr>
      </w:pPr>
      <w:r w:rsidRPr="00120F1A">
        <w:rPr>
          <w:rFonts w:asciiTheme="minorHAnsi" w:eastAsia="Calibri" w:hAnsiTheme="minorHAnsi" w:cstheme="minorHAnsi"/>
          <w:sz w:val="20"/>
          <w:lang w:eastAsia="en-US"/>
        </w:rPr>
        <w:t>Writing Services:</w:t>
      </w:r>
      <w:r w:rsidRPr="00120F1A">
        <w:rPr>
          <w:rFonts w:asciiTheme="minorHAnsi" w:eastAsia="Calibri" w:hAnsiTheme="minorHAnsi" w:cstheme="minorHAnsi"/>
          <w:sz w:val="20"/>
          <w:lang w:eastAsia="en-US"/>
        </w:rPr>
        <w:tab/>
      </w:r>
    </w:p>
    <w:p w14:paraId="4107E0EC" w14:textId="77777777" w:rsidR="00FC4C03" w:rsidRPr="00120F1A" w:rsidRDefault="002839D4" w:rsidP="00FC4C03">
      <w:pPr>
        <w:rPr>
          <w:rFonts w:asciiTheme="minorHAnsi" w:eastAsia="Calibri" w:hAnsiTheme="minorHAnsi" w:cstheme="minorHAnsi"/>
          <w:sz w:val="20"/>
          <w:lang w:eastAsia="en-US"/>
        </w:rPr>
      </w:pPr>
      <w:hyperlink r:id="rId17" w:history="1">
        <w:r w:rsidR="00FC4C03" w:rsidRPr="00120F1A">
          <w:rPr>
            <w:rStyle w:val="Hyperlink"/>
            <w:rFonts w:asciiTheme="minorHAnsi" w:eastAsia="Calibri" w:hAnsiTheme="minorHAnsi" w:cstheme="minorHAnsi"/>
            <w:sz w:val="20"/>
            <w:lang w:eastAsia="en-US"/>
          </w:rPr>
          <w:t>http://www.carleton.ca/csas/writing-services/</w:t>
        </w:r>
      </w:hyperlink>
      <w:r w:rsidR="00FC4C03" w:rsidRPr="00120F1A">
        <w:rPr>
          <w:rFonts w:asciiTheme="minorHAnsi" w:eastAsia="Calibri" w:hAnsiTheme="minorHAnsi" w:cstheme="minorHAnsi"/>
          <w:sz w:val="20"/>
          <w:lang w:eastAsia="en-US"/>
        </w:rPr>
        <w:t xml:space="preserve"> </w:t>
      </w:r>
    </w:p>
    <w:p w14:paraId="664CA13D" w14:textId="77777777" w:rsidR="00FC4C03" w:rsidRPr="00120F1A" w:rsidRDefault="00FC4C03" w:rsidP="00FC4C03">
      <w:pPr>
        <w:rPr>
          <w:rFonts w:asciiTheme="minorHAnsi" w:eastAsia="Calibri" w:hAnsiTheme="minorHAnsi" w:cstheme="minorHAnsi"/>
          <w:sz w:val="20"/>
          <w:lang w:val="fr-CA" w:eastAsia="en-US"/>
        </w:rPr>
      </w:pPr>
      <w:r w:rsidRPr="00120F1A">
        <w:rPr>
          <w:rFonts w:asciiTheme="minorHAnsi" w:eastAsia="Calibri" w:hAnsiTheme="minorHAnsi" w:cstheme="minorHAnsi"/>
          <w:sz w:val="20"/>
          <w:lang w:val="fr-CA" w:eastAsia="en-US"/>
        </w:rPr>
        <w:t>520-3822</w:t>
      </w:r>
    </w:p>
    <w:p w14:paraId="24D28365" w14:textId="77777777" w:rsidR="00FC4C03" w:rsidRPr="00120F1A" w:rsidRDefault="00FC4C03" w:rsidP="00FC4C03">
      <w:pPr>
        <w:rPr>
          <w:rFonts w:asciiTheme="minorHAnsi" w:eastAsia="Calibri" w:hAnsiTheme="minorHAnsi" w:cstheme="minorHAnsi"/>
          <w:sz w:val="20"/>
          <w:lang w:val="fr-CA" w:eastAsia="en-US"/>
        </w:rPr>
      </w:pPr>
    </w:p>
    <w:p w14:paraId="3B077230" w14:textId="77777777" w:rsidR="00FC4C03" w:rsidRPr="00120F1A" w:rsidRDefault="00FC4C03" w:rsidP="00FC4C03">
      <w:pPr>
        <w:rPr>
          <w:rFonts w:asciiTheme="minorHAnsi" w:eastAsia="Calibri" w:hAnsiTheme="minorHAnsi" w:cstheme="minorHAnsi"/>
          <w:sz w:val="20"/>
          <w:lang w:val="fr-CA" w:eastAsia="en-US"/>
        </w:rPr>
      </w:pPr>
      <w:proofErr w:type="spellStart"/>
      <w:r w:rsidRPr="00120F1A">
        <w:rPr>
          <w:rFonts w:asciiTheme="minorHAnsi" w:eastAsia="Calibri" w:hAnsiTheme="minorHAnsi" w:cstheme="minorHAnsi"/>
          <w:sz w:val="20"/>
          <w:lang w:val="fr-CA" w:eastAsia="en-US"/>
        </w:rPr>
        <w:t>MacOdrum</w:t>
      </w:r>
      <w:proofErr w:type="spellEnd"/>
      <w:r w:rsidRPr="00120F1A">
        <w:rPr>
          <w:rFonts w:asciiTheme="minorHAnsi" w:eastAsia="Calibri" w:hAnsiTheme="minorHAnsi" w:cstheme="minorHAnsi"/>
          <w:sz w:val="20"/>
          <w:lang w:val="fr-CA" w:eastAsia="en-US"/>
        </w:rPr>
        <w:t xml:space="preserve"> Library</w:t>
      </w:r>
      <w:r w:rsidRPr="00120F1A">
        <w:rPr>
          <w:rFonts w:asciiTheme="minorHAnsi" w:eastAsia="Calibri" w:hAnsiTheme="minorHAnsi" w:cstheme="minorHAnsi"/>
          <w:sz w:val="20"/>
          <w:lang w:val="fr-CA" w:eastAsia="en-US"/>
        </w:rPr>
        <w:tab/>
      </w:r>
    </w:p>
    <w:p w14:paraId="27B473A1" w14:textId="77777777" w:rsidR="00FC4C03" w:rsidRPr="00120F1A" w:rsidRDefault="002839D4" w:rsidP="00FC4C03">
      <w:pPr>
        <w:rPr>
          <w:rFonts w:asciiTheme="minorHAnsi" w:eastAsia="Calibri" w:hAnsiTheme="minorHAnsi" w:cstheme="minorHAnsi"/>
          <w:sz w:val="20"/>
          <w:lang w:val="fr-CA" w:eastAsia="en-US"/>
        </w:rPr>
      </w:pPr>
      <w:hyperlink r:id="rId18" w:history="1">
        <w:r w:rsidR="00FC4C03" w:rsidRPr="00120F1A">
          <w:rPr>
            <w:rStyle w:val="Hyperlink"/>
            <w:rFonts w:asciiTheme="minorHAnsi" w:eastAsia="Calibri" w:hAnsiTheme="minorHAnsi" w:cstheme="minorHAnsi"/>
            <w:sz w:val="20"/>
            <w:lang w:val="fr-CA" w:eastAsia="en-US"/>
          </w:rPr>
          <w:t>http://www.library.carleton.ca/</w:t>
        </w:r>
      </w:hyperlink>
    </w:p>
    <w:p w14:paraId="50C4B94F" w14:textId="77777777" w:rsidR="00FC4C03" w:rsidRPr="00120F1A" w:rsidRDefault="00FC4C03" w:rsidP="00FC4C03">
      <w:pPr>
        <w:rPr>
          <w:rFonts w:asciiTheme="minorHAnsi" w:eastAsia="Calibri" w:hAnsiTheme="minorHAnsi" w:cstheme="minorHAnsi"/>
          <w:sz w:val="20"/>
          <w:lang w:val="fr-CA" w:eastAsia="en-US"/>
        </w:rPr>
      </w:pPr>
      <w:r w:rsidRPr="00120F1A">
        <w:rPr>
          <w:rFonts w:asciiTheme="minorHAnsi" w:eastAsia="Calibri" w:hAnsiTheme="minorHAnsi" w:cstheme="minorHAnsi"/>
          <w:sz w:val="20"/>
          <w:lang w:val="fr-CA" w:eastAsia="en-US"/>
        </w:rPr>
        <w:t>520-2735</w:t>
      </w:r>
    </w:p>
    <w:p w14:paraId="6EF6D026" w14:textId="77777777" w:rsidR="00A2421C" w:rsidRPr="00F958C7" w:rsidRDefault="00A2421C" w:rsidP="00FC4C03">
      <w:pPr>
        <w:spacing w:after="200" w:line="276" w:lineRule="auto"/>
        <w:jc w:val="center"/>
        <w:rPr>
          <w:szCs w:val="24"/>
        </w:rPr>
      </w:pPr>
    </w:p>
    <w:sectPr w:rsidR="00A2421C" w:rsidRPr="00F958C7" w:rsidSect="00637F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E0148F8"/>
    <w:multiLevelType w:val="hybridMultilevel"/>
    <w:tmpl w:val="69DC9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A28FB"/>
    <w:multiLevelType w:val="hybridMultilevel"/>
    <w:tmpl w:val="EF682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782"/>
    <w:rsid w:val="000078D4"/>
    <w:rsid w:val="000D60EE"/>
    <w:rsid w:val="0017600B"/>
    <w:rsid w:val="00273EFF"/>
    <w:rsid w:val="002839D4"/>
    <w:rsid w:val="003D3514"/>
    <w:rsid w:val="003E2439"/>
    <w:rsid w:val="004601D4"/>
    <w:rsid w:val="00475715"/>
    <w:rsid w:val="00531F66"/>
    <w:rsid w:val="0053769C"/>
    <w:rsid w:val="005D78AF"/>
    <w:rsid w:val="00603135"/>
    <w:rsid w:val="00637A6F"/>
    <w:rsid w:val="00637F82"/>
    <w:rsid w:val="00654339"/>
    <w:rsid w:val="006A1B59"/>
    <w:rsid w:val="006B29A0"/>
    <w:rsid w:val="007228DA"/>
    <w:rsid w:val="007404B9"/>
    <w:rsid w:val="007975B0"/>
    <w:rsid w:val="007A6173"/>
    <w:rsid w:val="00843379"/>
    <w:rsid w:val="00870CB5"/>
    <w:rsid w:val="008F1B0D"/>
    <w:rsid w:val="009A3A52"/>
    <w:rsid w:val="009B333B"/>
    <w:rsid w:val="00A2421C"/>
    <w:rsid w:val="00AA0782"/>
    <w:rsid w:val="00AD7CB9"/>
    <w:rsid w:val="00C255D1"/>
    <w:rsid w:val="00CF4A9C"/>
    <w:rsid w:val="00D143DC"/>
    <w:rsid w:val="00EB4270"/>
    <w:rsid w:val="00EC1D53"/>
    <w:rsid w:val="00F73914"/>
    <w:rsid w:val="00F958C7"/>
    <w:rsid w:val="00FC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16E0"/>
  <w14:defaultImageDpi w14:val="32767"/>
  <w15:chartTrackingRefBased/>
  <w15:docId w15:val="{E4406004-D2AB-C144-8A78-E3CC8DD68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0782"/>
    <w:rPr>
      <w:rFonts w:ascii="Times New Roman" w:eastAsia="Times New Roman" w:hAnsi="Times New Roman" w:cs="Times New Roman"/>
      <w:szCs w:val="2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782"/>
    <w:pPr>
      <w:ind w:left="720"/>
      <w:contextualSpacing/>
    </w:pPr>
  </w:style>
  <w:style w:type="character" w:styleId="Hyperlink">
    <w:name w:val="Hyperlink"/>
    <w:basedOn w:val="DefaultParagraphFont"/>
    <w:uiPriority w:val="99"/>
    <w:unhideWhenUsed/>
    <w:rsid w:val="00AA0782"/>
    <w:rPr>
      <w:color w:val="0563C1" w:themeColor="hyperlink"/>
      <w:u w:val="single"/>
    </w:rPr>
  </w:style>
  <w:style w:type="paragraph" w:customStyle="1" w:styleId="Paragraphs">
    <w:name w:val="Paragraphs"/>
    <w:basedOn w:val="Normal"/>
    <w:qFormat/>
    <w:rsid w:val="00AA0782"/>
    <w:pPr>
      <w:widowControl w:val="0"/>
      <w:autoSpaceDE w:val="0"/>
      <w:autoSpaceDN w:val="0"/>
      <w:adjustRightInd w:val="0"/>
      <w:spacing w:after="240"/>
      <w:ind w:left="720"/>
    </w:pPr>
    <w:rPr>
      <w:rFonts w:ascii="Verdana" w:eastAsia="Cambria" w:hAnsi="Verdana" w:cs="Verdana"/>
      <w:kern w:val="1"/>
      <w:sz w:val="22"/>
      <w:szCs w:val="32"/>
      <w:lang w:eastAsia="en-US"/>
    </w:rPr>
  </w:style>
  <w:style w:type="paragraph" w:customStyle="1" w:styleId="Default">
    <w:name w:val="Default"/>
    <w:rsid w:val="00AD7CB9"/>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37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carleton.ca/undergrad/regulations/academicregulationsoftheuniversity/academic-integrity-and-offenses-of-conduct/" TargetMode="External"/><Relationship Id="rId13" Type="http://schemas.openxmlformats.org/officeDocument/2006/relationships/hyperlink" Target="https://carleton.ca/senate/wp-content/uploads/Accommodation-for-Student-Activities-1.pdf" TargetMode="External"/><Relationship Id="rId18" Type="http://schemas.openxmlformats.org/officeDocument/2006/relationships/hyperlink" Target="http://www.library.carleton.ca/" TargetMode="External"/><Relationship Id="rId3" Type="http://schemas.openxmlformats.org/officeDocument/2006/relationships/settings" Target="settings.xml"/><Relationship Id="rId7" Type="http://schemas.openxmlformats.org/officeDocument/2006/relationships/hyperlink" Target="https://carleton.ca/registrar/special-requests/" TargetMode="External"/><Relationship Id="rId12" Type="http://schemas.openxmlformats.org/officeDocument/2006/relationships/hyperlink" Target="https://carleton.ca/sexual-violence-support/" TargetMode="External"/><Relationship Id="rId17" Type="http://schemas.openxmlformats.org/officeDocument/2006/relationships/hyperlink" Target="http://www.carleton.ca/csas/writing-services/" TargetMode="External"/><Relationship Id="rId2" Type="http://schemas.openxmlformats.org/officeDocument/2006/relationships/styles" Target="styles.xml"/><Relationship Id="rId16" Type="http://schemas.openxmlformats.org/officeDocument/2006/relationships/hyperlink" Target="http://www.carleton.ca/academicadvi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lendar.carleton.ca/undergrad/regulations/academicregulationsoftheuniversity/examinations/" TargetMode="External"/><Relationship Id="rId11" Type="http://schemas.openxmlformats.org/officeDocument/2006/relationships/hyperlink" Target="mailto:pmc@carleton.ca" TargetMode="External"/><Relationship Id="rId5" Type="http://schemas.openxmlformats.org/officeDocument/2006/relationships/hyperlink" Target="mailto:Joshua.Shepherd@carleton.ca" TargetMode="External"/><Relationship Id="rId15" Type="http://schemas.openxmlformats.org/officeDocument/2006/relationships/hyperlink" Target="http://www.carleton.ca/registrar" TargetMode="External"/><Relationship Id="rId10" Type="http://schemas.openxmlformats.org/officeDocument/2006/relationships/hyperlink" Target="https://carleton.ca/pm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leton.ca/edc/teachingresources/administrative-pedagogy/academic-accommodations/" TargetMode="External"/><Relationship Id="rId14" Type="http://schemas.openxmlformats.org/officeDocument/2006/relationships/hyperlink" Target="http://www.carleton.ca/philoso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2086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Shepherd</dc:creator>
  <cp:keywords/>
  <dc:description/>
  <cp:lastModifiedBy>Rima Sanaallah</cp:lastModifiedBy>
  <cp:revision>7</cp:revision>
  <dcterms:created xsi:type="dcterms:W3CDTF">2022-12-05T09:25:00Z</dcterms:created>
  <dcterms:modified xsi:type="dcterms:W3CDTF">2022-12-19T15:51:00Z</dcterms:modified>
</cp:coreProperties>
</file>