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51D17" w14:textId="7E4570B9" w:rsidR="00103838" w:rsidRDefault="00103838" w:rsidP="00103838">
      <w:pPr>
        <w:pStyle w:val="NormalWeb"/>
        <w:jc w:val="center"/>
        <w:rPr>
          <w:rFonts w:ascii="Gotham Narrow SSm B" w:hAnsi="Gotham Narrow SSm B"/>
          <w:color w:val="191919"/>
        </w:rPr>
      </w:pPr>
      <w:r>
        <w:rPr>
          <w:noProof/>
        </w:rPr>
        <w:drawing>
          <wp:anchor distT="0" distB="0" distL="114300" distR="114300" simplePos="0" relativeHeight="251658240" behindDoc="0" locked="0" layoutInCell="1" allowOverlap="1" wp14:anchorId="26D95E0C" wp14:editId="23B85417">
            <wp:simplePos x="0" y="0"/>
            <wp:positionH relativeFrom="column">
              <wp:posOffset>1209675</wp:posOffset>
            </wp:positionH>
            <wp:positionV relativeFrom="paragraph">
              <wp:posOffset>-914400</wp:posOffset>
            </wp:positionV>
            <wp:extent cx="3476625" cy="2116804"/>
            <wp:effectExtent l="0" t="0" r="0" b="0"/>
            <wp:wrapNone/>
            <wp:docPr id="1311953075" name="Picture 1"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953075" name="Picture 1" descr="A logo for a university&#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76625" cy="2116804"/>
                    </a:xfrm>
                    <a:prstGeom prst="rect">
                      <a:avLst/>
                    </a:prstGeom>
                    <a:noFill/>
                    <a:ln>
                      <a:noFill/>
                    </a:ln>
                  </pic:spPr>
                </pic:pic>
              </a:graphicData>
            </a:graphic>
            <wp14:sizeRelV relativeFrom="margin">
              <wp14:pctHeight>0</wp14:pctHeight>
            </wp14:sizeRelV>
          </wp:anchor>
        </w:drawing>
      </w:r>
    </w:p>
    <w:p w14:paraId="6E924315" w14:textId="77777777" w:rsidR="00103838" w:rsidRDefault="00103838" w:rsidP="004544C1">
      <w:pPr>
        <w:shd w:val="clear" w:color="auto" w:fill="FFFFFF"/>
        <w:rPr>
          <w:rFonts w:ascii="Gotham Narrow SSm B" w:hAnsi="Gotham Narrow SSm B"/>
          <w:color w:val="191919"/>
          <w:lang w:eastAsia="en-CA"/>
        </w:rPr>
      </w:pPr>
    </w:p>
    <w:p w14:paraId="1DBEF5BF" w14:textId="77777777" w:rsidR="00103838" w:rsidRDefault="00103838" w:rsidP="004544C1">
      <w:pPr>
        <w:shd w:val="clear" w:color="auto" w:fill="FFFFFF"/>
        <w:rPr>
          <w:rFonts w:ascii="Gotham Narrow SSm B" w:hAnsi="Gotham Narrow SSm B"/>
          <w:color w:val="191919"/>
          <w:lang w:eastAsia="en-CA"/>
        </w:rPr>
      </w:pPr>
    </w:p>
    <w:p w14:paraId="409E63BF" w14:textId="77777777" w:rsidR="00103838" w:rsidRDefault="00103838" w:rsidP="004544C1">
      <w:pPr>
        <w:shd w:val="clear" w:color="auto" w:fill="FFFFFF"/>
        <w:rPr>
          <w:rFonts w:ascii="Gotham Narrow SSm B" w:hAnsi="Gotham Narrow SSm B"/>
          <w:color w:val="191919"/>
          <w:lang w:eastAsia="en-CA"/>
        </w:rPr>
      </w:pPr>
    </w:p>
    <w:p w14:paraId="26649737" w14:textId="77777777" w:rsidR="00103838" w:rsidRDefault="00103838" w:rsidP="004544C1">
      <w:pPr>
        <w:shd w:val="clear" w:color="auto" w:fill="FFFFFF"/>
        <w:rPr>
          <w:rFonts w:ascii="Gotham Narrow SSm B" w:hAnsi="Gotham Narrow SSm B"/>
          <w:color w:val="191919"/>
          <w:lang w:eastAsia="en-CA"/>
        </w:rPr>
      </w:pPr>
    </w:p>
    <w:p w14:paraId="2093638E" w14:textId="77777777" w:rsidR="00103838" w:rsidRDefault="00103838" w:rsidP="004544C1">
      <w:pPr>
        <w:shd w:val="clear" w:color="auto" w:fill="FFFFFF"/>
        <w:rPr>
          <w:rFonts w:ascii="Gotham Narrow SSm B" w:hAnsi="Gotham Narrow SSm B"/>
          <w:color w:val="191919"/>
          <w:lang w:eastAsia="en-CA"/>
        </w:rPr>
      </w:pPr>
    </w:p>
    <w:p w14:paraId="64A81FC8" w14:textId="76C69C83" w:rsidR="00103838" w:rsidRPr="003E1B4B" w:rsidRDefault="00A509BE" w:rsidP="00A509BE">
      <w:pPr>
        <w:pBdr>
          <w:top w:val="single" w:sz="4" w:space="1" w:color="auto"/>
          <w:left w:val="single" w:sz="4" w:space="4" w:color="auto"/>
          <w:bottom w:val="single" w:sz="4" w:space="1" w:color="auto"/>
          <w:right w:val="single" w:sz="4" w:space="4" w:color="auto"/>
        </w:pBdr>
        <w:shd w:val="clear" w:color="auto" w:fill="FFFFFF"/>
        <w:rPr>
          <w:rFonts w:ascii="Gotham Narrow SSm B" w:hAnsi="Gotham Narrow SSm B"/>
          <w:b/>
          <w:bCs/>
          <w:color w:val="191919"/>
          <w:lang w:eastAsia="en-CA"/>
        </w:rPr>
      </w:pPr>
      <w:r w:rsidRPr="00A509BE">
        <w:rPr>
          <w:rFonts w:ascii="Gotham Narrow SSm B" w:hAnsi="Gotham Narrow SSm B"/>
          <w:b/>
          <w:bCs/>
          <w:color w:val="191919"/>
          <w:sz w:val="12"/>
          <w:szCs w:val="12"/>
          <w:lang w:eastAsia="en-CA"/>
        </w:rPr>
        <w:br/>
      </w:r>
      <w:r w:rsidR="00103838" w:rsidRPr="003E1B4B">
        <w:rPr>
          <w:rFonts w:ascii="Gotham Narrow SSm B" w:hAnsi="Gotham Narrow SSm B"/>
          <w:b/>
          <w:bCs/>
          <w:color w:val="191919"/>
          <w:lang w:eastAsia="en-CA"/>
        </w:rPr>
        <w:t>POLM 5</w:t>
      </w:r>
      <w:r w:rsidR="0020531A" w:rsidRPr="003E1B4B">
        <w:rPr>
          <w:rFonts w:ascii="Gotham Narrow SSm B" w:hAnsi="Gotham Narrow SSm B"/>
          <w:b/>
          <w:bCs/>
          <w:color w:val="191919"/>
          <w:lang w:eastAsia="en-CA"/>
        </w:rPr>
        <w:t>007</w:t>
      </w:r>
      <w:r w:rsidR="003E1B4B" w:rsidRPr="003E1B4B">
        <w:rPr>
          <w:rFonts w:ascii="Gotham Narrow SSm B" w:hAnsi="Gotham Narrow SSm B"/>
          <w:b/>
          <w:bCs/>
          <w:color w:val="191919"/>
          <w:lang w:eastAsia="en-CA"/>
        </w:rPr>
        <w:t xml:space="preserve">: </w:t>
      </w:r>
      <w:r w:rsidR="0020531A" w:rsidRPr="003E1B4B">
        <w:rPr>
          <w:rFonts w:ascii="Gotham Narrow SSm B" w:hAnsi="Gotham Narrow SSm B"/>
          <w:b/>
          <w:bCs/>
          <w:color w:val="191919"/>
          <w:lang w:eastAsia="en-CA"/>
        </w:rPr>
        <w:t>Writing in a Political Context</w:t>
      </w:r>
    </w:p>
    <w:p w14:paraId="71D749B6" w14:textId="77777777" w:rsidR="00794096" w:rsidRDefault="004544C1" w:rsidP="00A509BE">
      <w:pPr>
        <w:pBdr>
          <w:top w:val="single" w:sz="4" w:space="1" w:color="auto"/>
          <w:left w:val="single" w:sz="4" w:space="4" w:color="auto"/>
          <w:bottom w:val="single" w:sz="4" w:space="1" w:color="auto"/>
          <w:right w:val="single" w:sz="4" w:space="4" w:color="auto"/>
        </w:pBdr>
        <w:shd w:val="clear" w:color="auto" w:fill="FFFFFF"/>
        <w:rPr>
          <w:rFonts w:ascii="Gotham Narrow SSm B" w:hAnsi="Gotham Narrow SSm B"/>
          <w:color w:val="191919"/>
          <w:lang w:eastAsia="en-CA"/>
        </w:rPr>
      </w:pPr>
      <w:r w:rsidRPr="004544C1">
        <w:rPr>
          <w:rFonts w:ascii="Gotham Narrow SSm B" w:hAnsi="Gotham Narrow SSm B"/>
          <w:color w:val="191919"/>
          <w:lang w:eastAsia="en-CA"/>
        </w:rPr>
        <w:br/>
      </w:r>
      <w:r w:rsidR="003E1B4B" w:rsidRPr="00A509BE">
        <w:rPr>
          <w:rFonts w:ascii="Gotham Narrow SSm B" w:hAnsi="Gotham Narrow SSm B"/>
          <w:b/>
          <w:bCs/>
          <w:color w:val="191919"/>
          <w:lang w:eastAsia="en-CA"/>
        </w:rPr>
        <w:t>Instructor:</w:t>
      </w:r>
      <w:r w:rsidR="003E1B4B">
        <w:rPr>
          <w:rFonts w:ascii="Gotham Narrow SSm B" w:hAnsi="Gotham Narrow SSm B"/>
          <w:color w:val="191919"/>
          <w:lang w:eastAsia="en-CA"/>
        </w:rPr>
        <w:t xml:space="preserve"> Prof. </w:t>
      </w:r>
      <w:r w:rsidR="0020531A">
        <w:rPr>
          <w:rFonts w:ascii="Gotham Narrow SSm B" w:hAnsi="Gotham Narrow SSm B"/>
          <w:color w:val="191919"/>
          <w:lang w:eastAsia="en-CA"/>
        </w:rPr>
        <w:t xml:space="preserve">Jeni Armstrong </w:t>
      </w:r>
    </w:p>
    <w:p w14:paraId="3EA21B1B" w14:textId="692CAC35" w:rsidR="0020531A" w:rsidRPr="00A509BE" w:rsidRDefault="003E1B4B" w:rsidP="00A509BE">
      <w:pPr>
        <w:pBdr>
          <w:top w:val="single" w:sz="4" w:space="1" w:color="auto"/>
          <w:left w:val="single" w:sz="4" w:space="4" w:color="auto"/>
          <w:bottom w:val="single" w:sz="4" w:space="1" w:color="auto"/>
          <w:right w:val="single" w:sz="4" w:space="4" w:color="auto"/>
        </w:pBdr>
        <w:shd w:val="clear" w:color="auto" w:fill="FFFFFF"/>
        <w:rPr>
          <w:rFonts w:ascii="Gotham Narrow SSm B" w:hAnsi="Gotham Narrow SSm B"/>
          <w:color w:val="191919"/>
          <w:sz w:val="12"/>
          <w:szCs w:val="12"/>
          <w:lang w:eastAsia="en-CA"/>
        </w:rPr>
      </w:pPr>
      <w:r>
        <w:rPr>
          <w:rFonts w:ascii="Gotham Narrow SSm B" w:hAnsi="Gotham Narrow SSm B"/>
          <w:color w:val="191919"/>
          <w:lang w:eastAsia="en-CA"/>
        </w:rPr>
        <w:br/>
      </w:r>
      <w:r w:rsidRPr="003E1B4B">
        <w:rPr>
          <w:rFonts w:ascii="Gotham Narrow SSm B" w:hAnsi="Gotham Narrow SSm B"/>
          <w:b/>
          <w:bCs/>
          <w:color w:val="191919"/>
          <w:sz w:val="19"/>
          <w:szCs w:val="19"/>
          <w:highlight w:val="yellow"/>
          <w:lang w:eastAsia="en-CA"/>
        </w:rPr>
        <w:t xml:space="preserve">NOTE: </w:t>
      </w:r>
      <w:r w:rsidRPr="003E1B4B">
        <w:rPr>
          <w:rFonts w:ascii="Gotham Narrow SSm B" w:hAnsi="Gotham Narrow SSm B"/>
          <w:color w:val="191919"/>
          <w:sz w:val="19"/>
          <w:szCs w:val="19"/>
          <w:highlight w:val="yellow"/>
          <w:lang w:eastAsia="en-CA"/>
        </w:rPr>
        <w:t>POLM 5007 is normally taught in two sections (A, B). While the course content (readings, lectures, assignments) is the same across both sections, specific due dates vary and are not include</w:t>
      </w:r>
      <w:r w:rsidR="004F5343">
        <w:rPr>
          <w:rFonts w:ascii="Gotham Narrow SSm B" w:hAnsi="Gotham Narrow SSm B"/>
          <w:color w:val="191919"/>
          <w:sz w:val="19"/>
          <w:szCs w:val="19"/>
          <w:highlight w:val="yellow"/>
          <w:lang w:eastAsia="en-CA"/>
        </w:rPr>
        <w:t>d</w:t>
      </w:r>
      <w:r w:rsidRPr="003E1B4B">
        <w:rPr>
          <w:rFonts w:ascii="Gotham Narrow SSm B" w:hAnsi="Gotham Narrow SSm B"/>
          <w:color w:val="191919"/>
          <w:sz w:val="19"/>
          <w:szCs w:val="19"/>
          <w:highlight w:val="yellow"/>
          <w:lang w:eastAsia="en-CA"/>
        </w:rPr>
        <w:t xml:space="preserve"> in this online version of the course outline. Registered students will have access to the more detailed course outlines </w:t>
      </w:r>
      <w:r w:rsidR="000201D8">
        <w:rPr>
          <w:rFonts w:ascii="Gotham Narrow SSm B" w:hAnsi="Gotham Narrow SSm B"/>
          <w:color w:val="191919"/>
          <w:sz w:val="19"/>
          <w:szCs w:val="19"/>
          <w:highlight w:val="yellow"/>
          <w:lang w:eastAsia="en-CA"/>
        </w:rPr>
        <w:t xml:space="preserve">— which will also </w:t>
      </w:r>
      <w:proofErr w:type="gramStart"/>
      <w:r w:rsidR="000201D8">
        <w:rPr>
          <w:rFonts w:ascii="Gotham Narrow SSm B" w:hAnsi="Gotham Narrow SSm B"/>
          <w:color w:val="191919"/>
          <w:sz w:val="19"/>
          <w:szCs w:val="19"/>
          <w:highlight w:val="yellow"/>
          <w:lang w:eastAsia="en-CA"/>
        </w:rPr>
        <w:t>included</w:t>
      </w:r>
      <w:proofErr w:type="gramEnd"/>
      <w:r w:rsidR="000201D8">
        <w:rPr>
          <w:rFonts w:ascii="Gotham Narrow SSm B" w:hAnsi="Gotham Narrow SSm B"/>
          <w:color w:val="191919"/>
          <w:sz w:val="19"/>
          <w:szCs w:val="19"/>
          <w:highlight w:val="yellow"/>
          <w:lang w:eastAsia="en-CA"/>
        </w:rPr>
        <w:t xml:space="preserve"> week-by-week assigned readings and A/V — </w:t>
      </w:r>
      <w:r w:rsidRPr="003E1B4B">
        <w:rPr>
          <w:rFonts w:ascii="Gotham Narrow SSm B" w:hAnsi="Gotham Narrow SSm B"/>
          <w:color w:val="191919"/>
          <w:sz w:val="19"/>
          <w:szCs w:val="19"/>
          <w:highlight w:val="yellow"/>
          <w:lang w:eastAsia="en-CA"/>
        </w:rPr>
        <w:t>via Brightspace.</w:t>
      </w:r>
      <w:r>
        <w:rPr>
          <w:rFonts w:ascii="Gotham Narrow SSm B" w:hAnsi="Gotham Narrow SSm B"/>
          <w:color w:val="191919"/>
          <w:sz w:val="20"/>
          <w:szCs w:val="20"/>
          <w:lang w:eastAsia="en-CA"/>
        </w:rPr>
        <w:t xml:space="preserve"> </w:t>
      </w:r>
      <w:r w:rsidR="00A509BE">
        <w:rPr>
          <w:rFonts w:ascii="Gotham Narrow SSm B" w:hAnsi="Gotham Narrow SSm B"/>
          <w:color w:val="191919"/>
          <w:sz w:val="20"/>
          <w:szCs w:val="20"/>
          <w:lang w:eastAsia="en-CA"/>
        </w:rPr>
        <w:br/>
      </w:r>
      <w:r w:rsidRPr="00A509BE">
        <w:rPr>
          <w:rFonts w:ascii="Gotham Narrow SSm B" w:hAnsi="Gotham Narrow SSm B"/>
          <w:color w:val="191919"/>
          <w:sz w:val="12"/>
          <w:szCs w:val="12"/>
          <w:lang w:eastAsia="en-CA"/>
        </w:rPr>
        <w:t xml:space="preserve"> </w:t>
      </w:r>
    </w:p>
    <w:p w14:paraId="1A1BED5D" w14:textId="77777777" w:rsidR="00103838" w:rsidRDefault="00103838" w:rsidP="004544C1">
      <w:pPr>
        <w:shd w:val="clear" w:color="auto" w:fill="FFFFFF"/>
        <w:rPr>
          <w:rFonts w:ascii="Gotham Narrow SSm B" w:hAnsi="Gotham Narrow SSm B"/>
          <w:b/>
          <w:bCs/>
          <w:color w:val="191919"/>
          <w:lang w:eastAsia="en-CA"/>
        </w:rPr>
      </w:pPr>
    </w:p>
    <w:p w14:paraId="0A505E12" w14:textId="2EEE985C" w:rsidR="00BB200E" w:rsidRPr="00BB200E" w:rsidRDefault="004544C1" w:rsidP="00BB200E">
      <w:pPr>
        <w:pStyle w:val="NormalWeb"/>
        <w:spacing w:before="0" w:beforeAutospacing="0" w:after="0" w:afterAutospacing="0"/>
        <w:rPr>
          <w:lang w:eastAsia="en-US"/>
        </w:rPr>
      </w:pPr>
      <w:r w:rsidRPr="004544C1">
        <w:rPr>
          <w:rFonts w:ascii="Gotham Narrow SSm B" w:hAnsi="Gotham Narrow SSm B"/>
          <w:b/>
          <w:bCs/>
          <w:color w:val="191919"/>
        </w:rPr>
        <w:t>I. Course description</w:t>
      </w:r>
      <w:r w:rsidRPr="004544C1">
        <w:rPr>
          <w:rFonts w:ascii="Gotham Narrow SSm B" w:hAnsi="Gotham Narrow SSm B"/>
          <w:color w:val="191919"/>
        </w:rPr>
        <w:t xml:space="preserve">: </w:t>
      </w:r>
      <w:r w:rsidR="00BB200E">
        <w:rPr>
          <w:rFonts w:ascii="Gotham Narrow SSm B" w:hAnsi="Gotham Narrow SSm B"/>
          <w:color w:val="191919"/>
        </w:rPr>
        <w:br/>
      </w:r>
      <w:r w:rsidR="00BB200E" w:rsidRPr="00A509BE">
        <w:rPr>
          <w:rFonts w:ascii="Gotham Narrow SSm B" w:hAnsi="Gotham Narrow SSm B"/>
          <w:color w:val="191919"/>
          <w:sz w:val="16"/>
          <w:szCs w:val="16"/>
        </w:rPr>
        <w:br/>
      </w:r>
      <w:r w:rsidR="00BB200E" w:rsidRPr="00BB200E">
        <w:rPr>
          <w:rFonts w:ascii="Calibri" w:hAnsi="Calibri" w:cs="Calibri"/>
          <w:color w:val="000000"/>
          <w:lang w:eastAsia="en-US"/>
        </w:rPr>
        <w:t xml:space="preserve">This six-week </w:t>
      </w:r>
      <w:r w:rsidR="00BB200E">
        <w:rPr>
          <w:rFonts w:ascii="Calibri" w:hAnsi="Calibri" w:cs="Calibri"/>
          <w:color w:val="000000"/>
          <w:lang w:eastAsia="en-US"/>
        </w:rPr>
        <w:t xml:space="preserve">(0.25 credit) </w:t>
      </w:r>
      <w:r w:rsidR="00BB200E" w:rsidRPr="00BB200E">
        <w:rPr>
          <w:rFonts w:ascii="Calibri" w:hAnsi="Calibri" w:cs="Calibri"/>
          <w:color w:val="000000"/>
          <w:lang w:eastAsia="en-US"/>
        </w:rPr>
        <w:t xml:space="preserve">course will introduce students to the art (and craft) of effective political writing. We will look at what separates passable prose from really great </w:t>
      </w:r>
      <w:proofErr w:type="gramStart"/>
      <w:r w:rsidR="00BB200E" w:rsidRPr="00BB200E">
        <w:rPr>
          <w:rFonts w:ascii="Calibri" w:hAnsi="Calibri" w:cs="Calibri"/>
          <w:color w:val="000000"/>
          <w:lang w:eastAsia="en-US"/>
        </w:rPr>
        <w:t>writing, and</w:t>
      </w:r>
      <w:proofErr w:type="gramEnd"/>
      <w:r w:rsidR="00BB200E" w:rsidRPr="00BB200E">
        <w:rPr>
          <w:rFonts w:ascii="Calibri" w:hAnsi="Calibri" w:cs="Calibri"/>
          <w:color w:val="000000"/>
          <w:lang w:eastAsia="en-US"/>
        </w:rPr>
        <w:t xml:space="preserve"> will put those concepts to the test in a series of practical, real-world assignments. </w:t>
      </w:r>
      <w:r w:rsidR="00BB200E" w:rsidRPr="00BB200E">
        <w:rPr>
          <w:rFonts w:ascii="Calibri" w:hAnsi="Calibri" w:cs="Calibri"/>
          <w:color w:val="0000FF"/>
          <w:lang w:eastAsia="en-US"/>
        </w:rPr>
        <w:br/>
      </w:r>
      <w:r w:rsidR="00BB200E" w:rsidRPr="00BB200E">
        <w:rPr>
          <w:rFonts w:ascii="Calibri" w:hAnsi="Calibri" w:cs="Calibri"/>
          <w:color w:val="0000FF"/>
          <w:lang w:eastAsia="en-US"/>
        </w:rPr>
        <w:br/>
      </w:r>
      <w:r w:rsidR="00BB200E" w:rsidRPr="00BB200E">
        <w:rPr>
          <w:rFonts w:ascii="Calibri" w:hAnsi="Calibri" w:cs="Calibri"/>
          <w:color w:val="000000"/>
          <w:lang w:eastAsia="en-US"/>
        </w:rPr>
        <w:t>The course will be taught in a hybrid format that will rely heavily on self-directed learning, combined with weekly classes</w:t>
      </w:r>
      <w:r w:rsidR="00BB200E">
        <w:rPr>
          <w:rFonts w:ascii="Calibri" w:hAnsi="Calibri" w:cs="Calibri"/>
          <w:color w:val="000000"/>
          <w:lang w:eastAsia="en-US"/>
        </w:rPr>
        <w:t xml:space="preserve"> (in-person or via Zoom, depending on the section)</w:t>
      </w:r>
      <w:r w:rsidR="00BB200E" w:rsidRPr="00BB200E">
        <w:rPr>
          <w:rFonts w:ascii="Calibri" w:hAnsi="Calibri" w:cs="Calibri"/>
          <w:color w:val="000000"/>
          <w:lang w:eastAsia="en-US"/>
        </w:rPr>
        <w:t>. In addition to the work required to complete the assignments, you can expect to read (on average) 75 pages a week for this course and spend around half an hour each week watching pre-recorded content (this will vary week to week). Though it won’t be a regular part of this course, we may be joined by outside experts as guest speakers.</w:t>
      </w:r>
    </w:p>
    <w:p w14:paraId="1E1055E2" w14:textId="26D1EC30" w:rsidR="004544C1" w:rsidRDefault="00BB200E" w:rsidP="004544C1">
      <w:pPr>
        <w:shd w:val="clear" w:color="auto" w:fill="FFFFFF"/>
        <w:rPr>
          <w:rFonts w:ascii="Gotham Narrow SSm B" w:hAnsi="Gotham Narrow SSm B"/>
          <w:b/>
          <w:bCs/>
          <w:color w:val="191919"/>
          <w:lang w:eastAsia="en-CA"/>
        </w:rPr>
      </w:pPr>
      <w:r>
        <w:rPr>
          <w:rFonts w:ascii="Gotham Narrow SSm B" w:hAnsi="Gotham Narrow SSm B"/>
          <w:b/>
          <w:bCs/>
          <w:color w:val="191919"/>
          <w:lang w:eastAsia="en-CA"/>
        </w:rPr>
        <w:br/>
      </w:r>
      <w:r w:rsidR="004544C1" w:rsidRPr="004544C1">
        <w:rPr>
          <w:rFonts w:ascii="Gotham Narrow SSm B" w:hAnsi="Gotham Narrow SSm B"/>
          <w:b/>
          <w:bCs/>
          <w:color w:val="191919"/>
          <w:lang w:eastAsia="en-CA"/>
        </w:rPr>
        <w:t>II. Preclusions</w:t>
      </w:r>
    </w:p>
    <w:p w14:paraId="2A13C024" w14:textId="77777777" w:rsidR="00BB200E" w:rsidRPr="00A509BE" w:rsidRDefault="00BB200E" w:rsidP="004544C1">
      <w:pPr>
        <w:shd w:val="clear" w:color="auto" w:fill="FFFFFF"/>
        <w:rPr>
          <w:rFonts w:ascii="Gotham Narrow SSm B" w:hAnsi="Gotham Narrow SSm B"/>
          <w:b/>
          <w:bCs/>
          <w:color w:val="191919"/>
          <w:sz w:val="16"/>
          <w:szCs w:val="16"/>
          <w:lang w:eastAsia="en-CA"/>
        </w:rPr>
      </w:pPr>
    </w:p>
    <w:p w14:paraId="04A24AE9" w14:textId="5C9C70E9" w:rsidR="00BB200E" w:rsidRPr="00BB200E" w:rsidRDefault="00BB200E" w:rsidP="004544C1">
      <w:pPr>
        <w:shd w:val="clear" w:color="auto" w:fill="FFFFFF"/>
        <w:rPr>
          <w:rFonts w:ascii="Gotham Narrow SSm B" w:hAnsi="Gotham Narrow SSm B"/>
          <w:color w:val="191919"/>
          <w:lang w:eastAsia="en-CA"/>
        </w:rPr>
      </w:pPr>
      <w:r>
        <w:rPr>
          <w:rFonts w:ascii="Calibri" w:hAnsi="Calibri" w:cs="Calibri"/>
          <w:color w:val="000000"/>
        </w:rPr>
        <w:t>None.</w:t>
      </w:r>
    </w:p>
    <w:p w14:paraId="23672F65" w14:textId="664D5FF3" w:rsidR="00103838" w:rsidRDefault="00103838" w:rsidP="004544C1">
      <w:pPr>
        <w:shd w:val="clear" w:color="auto" w:fill="FFFFFF"/>
        <w:rPr>
          <w:rFonts w:ascii="Gotham Narrow SSm B" w:hAnsi="Gotham Narrow SSm B"/>
          <w:b/>
          <w:bCs/>
          <w:color w:val="191919"/>
          <w:lang w:eastAsia="en-CA"/>
        </w:rPr>
      </w:pPr>
    </w:p>
    <w:p w14:paraId="58D06250" w14:textId="77777777" w:rsidR="00BB200E" w:rsidRDefault="004544C1" w:rsidP="004544C1">
      <w:pPr>
        <w:shd w:val="clear" w:color="auto" w:fill="FFFFFF"/>
        <w:rPr>
          <w:rFonts w:ascii="Gotham Narrow SSm B" w:hAnsi="Gotham Narrow SSm B"/>
          <w:b/>
          <w:bCs/>
          <w:color w:val="191919"/>
          <w:lang w:eastAsia="en-CA"/>
        </w:rPr>
      </w:pPr>
      <w:r w:rsidRPr="004544C1">
        <w:rPr>
          <w:rFonts w:ascii="Gotham Narrow SSm B" w:hAnsi="Gotham Narrow SSm B"/>
          <w:b/>
          <w:bCs/>
          <w:color w:val="191919"/>
          <w:lang w:eastAsia="en-CA"/>
        </w:rPr>
        <w:t>III. Learning Outcomes: </w:t>
      </w:r>
    </w:p>
    <w:p w14:paraId="54FB9F12" w14:textId="77777777" w:rsidR="00BB200E" w:rsidRPr="00A509BE" w:rsidRDefault="00BB200E" w:rsidP="004544C1">
      <w:pPr>
        <w:shd w:val="clear" w:color="auto" w:fill="FFFFFF"/>
        <w:rPr>
          <w:rFonts w:ascii="Gotham Narrow SSm B" w:hAnsi="Gotham Narrow SSm B"/>
          <w:b/>
          <w:bCs/>
          <w:color w:val="191919"/>
          <w:sz w:val="16"/>
          <w:szCs w:val="16"/>
          <w:lang w:eastAsia="en-CA"/>
        </w:rPr>
      </w:pPr>
    </w:p>
    <w:p w14:paraId="2130159F" w14:textId="43D13E64" w:rsidR="00BB200E" w:rsidRPr="000201D8" w:rsidRDefault="00BB200E" w:rsidP="00BB200E">
      <w:pPr>
        <w:pStyle w:val="NormalWeb"/>
        <w:spacing w:before="0" w:beforeAutospacing="0" w:after="0" w:afterAutospacing="0"/>
        <w:rPr>
          <w:sz w:val="16"/>
          <w:szCs w:val="16"/>
        </w:rPr>
      </w:pPr>
      <w:r>
        <w:rPr>
          <w:rFonts w:ascii="Calibri" w:hAnsi="Calibri" w:cs="Calibri"/>
          <w:color w:val="000000"/>
        </w:rPr>
        <w:t>By the end of this course, successful students will have demonstrated an understanding of how to write professionally and effectively in a political context, and demonstrated their ability to:</w:t>
      </w:r>
      <w:r>
        <w:rPr>
          <w:rFonts w:ascii="Calibri" w:hAnsi="Calibri" w:cs="Calibri"/>
          <w:color w:val="000000"/>
        </w:rPr>
        <w:br/>
      </w:r>
    </w:p>
    <w:p w14:paraId="21AE43E5" w14:textId="26DBFF62" w:rsidR="00BB200E" w:rsidRPr="000201D8" w:rsidRDefault="00BB200E" w:rsidP="002815EA">
      <w:pPr>
        <w:pStyle w:val="NormalWeb"/>
        <w:numPr>
          <w:ilvl w:val="0"/>
          <w:numId w:val="5"/>
        </w:numPr>
        <w:spacing w:before="0" w:beforeAutospacing="0" w:after="0" w:afterAutospacing="0"/>
        <w:textAlignment w:val="baseline"/>
        <w:rPr>
          <w:sz w:val="16"/>
          <w:szCs w:val="16"/>
        </w:rPr>
      </w:pPr>
      <w:r w:rsidRPr="00BB200E">
        <w:rPr>
          <w:rFonts w:ascii="Calibri" w:hAnsi="Calibri" w:cs="Calibri"/>
          <w:color w:val="000000"/>
          <w:u w:val="single"/>
        </w:rPr>
        <w:t>Reflect on their personal goals</w:t>
      </w:r>
      <w:r w:rsidRPr="00BB200E">
        <w:rPr>
          <w:rFonts w:ascii="Calibri" w:hAnsi="Calibri" w:cs="Calibri"/>
          <w:color w:val="000000"/>
        </w:rPr>
        <w:t>. This includes the ability to think about—and articulate—their motivations for studying political management / political writing.</w:t>
      </w:r>
      <w:r w:rsidRPr="00BB200E">
        <w:rPr>
          <w:rFonts w:ascii="Calibri" w:hAnsi="Calibri" w:cs="Calibri"/>
          <w:color w:val="000000"/>
        </w:rPr>
        <w:br/>
      </w:r>
    </w:p>
    <w:p w14:paraId="356F7CC9" w14:textId="5B4AAF0D" w:rsidR="00BB200E" w:rsidRDefault="00BB200E" w:rsidP="00BB200E">
      <w:pPr>
        <w:pStyle w:val="NormalWeb"/>
        <w:numPr>
          <w:ilvl w:val="0"/>
          <w:numId w:val="6"/>
        </w:numPr>
        <w:spacing w:before="0" w:beforeAutospacing="0" w:after="0" w:afterAutospacing="0"/>
        <w:textAlignment w:val="baseline"/>
        <w:rPr>
          <w:rFonts w:ascii="Calibri" w:hAnsi="Calibri" w:cs="Calibri"/>
          <w:color w:val="000000"/>
        </w:rPr>
      </w:pPr>
      <w:r>
        <w:rPr>
          <w:rFonts w:ascii="Calibri" w:hAnsi="Calibri" w:cs="Calibri"/>
          <w:color w:val="000000"/>
          <w:u w:val="single"/>
        </w:rPr>
        <w:t>Follow through with self-directed learning to support and strengthen their skills as writers</w:t>
      </w:r>
      <w:r>
        <w:rPr>
          <w:rFonts w:ascii="Calibri" w:hAnsi="Calibri" w:cs="Calibri"/>
          <w:color w:val="000000"/>
        </w:rPr>
        <w:t>. This includes the ability to complete weekly readings and quizzes that address some of the technical aspects of writing (spelling, punctuation) that can’t be covered in a six-week course.</w:t>
      </w:r>
      <w:r>
        <w:rPr>
          <w:rFonts w:ascii="Calibri" w:hAnsi="Calibri" w:cs="Calibri"/>
          <w:color w:val="000000"/>
        </w:rPr>
        <w:br/>
      </w:r>
    </w:p>
    <w:p w14:paraId="221898D0" w14:textId="55673676" w:rsidR="00BB200E" w:rsidRPr="000201D8" w:rsidRDefault="00BB200E" w:rsidP="00BB200E">
      <w:pPr>
        <w:pStyle w:val="NormalWeb"/>
        <w:numPr>
          <w:ilvl w:val="0"/>
          <w:numId w:val="6"/>
        </w:numPr>
        <w:spacing w:before="0" w:beforeAutospacing="0" w:after="0" w:afterAutospacing="0"/>
        <w:textAlignment w:val="baseline"/>
        <w:rPr>
          <w:rFonts w:ascii="Calibri" w:hAnsi="Calibri" w:cs="Calibri"/>
          <w:color w:val="000000"/>
          <w:sz w:val="16"/>
          <w:szCs w:val="16"/>
        </w:rPr>
      </w:pPr>
      <w:r>
        <w:rPr>
          <w:rFonts w:ascii="Calibri" w:hAnsi="Calibri" w:cs="Calibri"/>
          <w:color w:val="000000"/>
          <w:u w:val="single"/>
        </w:rPr>
        <w:lastRenderedPageBreak/>
        <w:t>Produce written products that are well written, properly formatted, and delivered on time.</w:t>
      </w:r>
      <w:r>
        <w:rPr>
          <w:rFonts w:ascii="Calibri" w:hAnsi="Calibri" w:cs="Calibri"/>
          <w:color w:val="000000"/>
        </w:rPr>
        <w:t xml:space="preserve"> This includes the ability to create compelling first drafts; a willingness to work with peer feedback to produce final, polished documents; and a proven ability to meet formatting expectations and submission deadlines. </w:t>
      </w:r>
      <w:r>
        <w:br/>
      </w:r>
    </w:p>
    <w:p w14:paraId="43D8B037" w14:textId="4BC6E482" w:rsidR="00BB200E" w:rsidRPr="00BB200E" w:rsidRDefault="00BB200E" w:rsidP="00BB200E">
      <w:pPr>
        <w:pStyle w:val="NormalWeb"/>
        <w:numPr>
          <w:ilvl w:val="0"/>
          <w:numId w:val="7"/>
        </w:numPr>
        <w:spacing w:before="0" w:beforeAutospacing="0" w:after="0" w:afterAutospacing="0"/>
        <w:textAlignment w:val="baseline"/>
        <w:rPr>
          <w:rFonts w:ascii="Calibri" w:hAnsi="Calibri" w:cs="Calibri"/>
          <w:color w:val="000000"/>
        </w:rPr>
      </w:pPr>
      <w:r>
        <w:rPr>
          <w:rFonts w:ascii="Calibri" w:hAnsi="Calibri" w:cs="Calibri"/>
          <w:color w:val="000000"/>
          <w:u w:val="single"/>
        </w:rPr>
        <w:t>Act in a supportive and professional manner</w:t>
      </w:r>
      <w:r>
        <w:rPr>
          <w:rFonts w:ascii="Calibri" w:hAnsi="Calibri" w:cs="Calibri"/>
          <w:color w:val="000000"/>
        </w:rPr>
        <w:t xml:space="preserve">. </w:t>
      </w:r>
      <w:r w:rsidRPr="00BB200E">
        <w:rPr>
          <w:rFonts w:ascii="Calibri" w:hAnsi="Calibri" w:cs="Calibri"/>
          <w:color w:val="000000"/>
        </w:rPr>
        <w:t xml:space="preserve">This includes the ability to provide constructive and meaningful feedback on </w:t>
      </w:r>
      <w:proofErr w:type="gramStart"/>
      <w:r w:rsidRPr="00BB200E">
        <w:rPr>
          <w:rFonts w:ascii="Calibri" w:hAnsi="Calibri" w:cs="Calibri"/>
          <w:color w:val="000000"/>
        </w:rPr>
        <w:t>others</w:t>
      </w:r>
      <w:proofErr w:type="gramEnd"/>
      <w:r w:rsidRPr="00BB200E">
        <w:rPr>
          <w:rFonts w:ascii="Calibri" w:hAnsi="Calibri" w:cs="Calibri"/>
          <w:color w:val="000000"/>
        </w:rPr>
        <w:t xml:space="preserve"> students’</w:t>
      </w:r>
      <w:r>
        <w:rPr>
          <w:rFonts w:ascii="Calibri" w:hAnsi="Calibri" w:cs="Calibri"/>
          <w:color w:val="000000"/>
        </w:rPr>
        <w:t xml:space="preserve"> </w:t>
      </w:r>
      <w:r w:rsidRPr="00BB200E">
        <w:rPr>
          <w:rFonts w:ascii="Calibri" w:hAnsi="Calibri" w:cs="Calibri"/>
          <w:color w:val="000000"/>
        </w:rPr>
        <w:t>written work, and a demonstrated commitment to meeting all the deadlines laid out in this course outline.</w:t>
      </w:r>
    </w:p>
    <w:p w14:paraId="6AED0771" w14:textId="77777777" w:rsidR="00BB200E" w:rsidRDefault="00BB200E" w:rsidP="00BB200E"/>
    <w:p w14:paraId="79F38041" w14:textId="4F3D2E5B" w:rsidR="004544C1" w:rsidRDefault="004544C1" w:rsidP="004544C1">
      <w:pPr>
        <w:shd w:val="clear" w:color="auto" w:fill="FFFFFF"/>
        <w:rPr>
          <w:rFonts w:ascii="Gotham Narrow SSm B" w:hAnsi="Gotham Narrow SSm B"/>
          <w:color w:val="191919"/>
          <w:lang w:eastAsia="en-CA"/>
        </w:rPr>
      </w:pPr>
      <w:r w:rsidRPr="004544C1">
        <w:rPr>
          <w:rFonts w:ascii="Gotham Narrow SSm B" w:hAnsi="Gotham Narrow SSm B"/>
          <w:b/>
          <w:bCs/>
          <w:color w:val="191919"/>
          <w:lang w:eastAsia="en-CA"/>
        </w:rPr>
        <w:t>IV. Texts: </w:t>
      </w:r>
    </w:p>
    <w:p w14:paraId="154C9DB4" w14:textId="77777777" w:rsidR="00BB200E" w:rsidRPr="00A509BE" w:rsidRDefault="00BB200E" w:rsidP="004544C1">
      <w:pPr>
        <w:shd w:val="clear" w:color="auto" w:fill="FFFFFF"/>
        <w:rPr>
          <w:rFonts w:ascii="Gotham Narrow SSm B" w:hAnsi="Gotham Narrow SSm B"/>
          <w:color w:val="191919"/>
          <w:sz w:val="16"/>
          <w:szCs w:val="16"/>
          <w:lang w:eastAsia="en-CA"/>
        </w:rPr>
      </w:pPr>
    </w:p>
    <w:p w14:paraId="77C56D98" w14:textId="77777777" w:rsidR="00BB200E" w:rsidRDefault="00BB200E" w:rsidP="00BB200E">
      <w:pPr>
        <w:pStyle w:val="NormalWeb"/>
        <w:numPr>
          <w:ilvl w:val="0"/>
          <w:numId w:val="8"/>
        </w:numPr>
        <w:spacing w:before="0" w:beforeAutospacing="0" w:after="0" w:afterAutospacing="0"/>
        <w:textAlignment w:val="baseline"/>
        <w:rPr>
          <w:rFonts w:ascii="Calibri" w:hAnsi="Calibri" w:cs="Calibri"/>
          <w:color w:val="000000"/>
        </w:rPr>
      </w:pPr>
      <w:r>
        <w:rPr>
          <w:rFonts w:ascii="Calibri" w:hAnsi="Calibri" w:cs="Calibri"/>
          <w:color w:val="000000"/>
          <w:shd w:val="clear" w:color="auto" w:fill="FFFFFF"/>
        </w:rPr>
        <w:t xml:space="preserve">Garner, B.A., &amp; Wallace, D. F. (2013). </w:t>
      </w:r>
      <w:r>
        <w:rPr>
          <w:rFonts w:ascii="Calibri" w:hAnsi="Calibri" w:cs="Calibri"/>
          <w:i/>
          <w:iCs/>
          <w:color w:val="000000"/>
          <w:shd w:val="clear" w:color="auto" w:fill="FFFFFF"/>
        </w:rPr>
        <w:t>Quack This Way: David Foster Wallace &amp; Bryan A. Garner Talk Language and Writing</w:t>
      </w:r>
      <w:r>
        <w:rPr>
          <w:rFonts w:ascii="Calibri" w:hAnsi="Calibri" w:cs="Calibri"/>
          <w:color w:val="000000"/>
          <w:shd w:val="clear" w:color="auto" w:fill="FFFFFF"/>
        </w:rPr>
        <w:t xml:space="preserve">. Dallas, Texas: </w:t>
      </w:r>
      <w:proofErr w:type="spellStart"/>
      <w:r>
        <w:rPr>
          <w:rFonts w:ascii="Calibri" w:hAnsi="Calibri" w:cs="Calibri"/>
          <w:color w:val="000000"/>
          <w:shd w:val="clear" w:color="auto" w:fill="FFFFFF"/>
        </w:rPr>
        <w:t>RosePen</w:t>
      </w:r>
      <w:proofErr w:type="spellEnd"/>
      <w:r>
        <w:rPr>
          <w:rFonts w:ascii="Calibri" w:hAnsi="Calibri" w:cs="Calibri"/>
          <w:color w:val="000000"/>
          <w:shd w:val="clear" w:color="auto" w:fill="FFFFFF"/>
        </w:rPr>
        <w:t xml:space="preserve"> Books.</w:t>
      </w:r>
    </w:p>
    <w:p w14:paraId="6C0A4BAA" w14:textId="77777777" w:rsidR="00BB200E" w:rsidRDefault="00BB200E" w:rsidP="00BB200E">
      <w:pPr>
        <w:pStyle w:val="NormalWeb"/>
        <w:numPr>
          <w:ilvl w:val="0"/>
          <w:numId w:val="8"/>
        </w:numPr>
        <w:spacing w:before="0" w:beforeAutospacing="0" w:after="0" w:afterAutospacing="0"/>
        <w:textAlignment w:val="baseline"/>
        <w:rPr>
          <w:rFonts w:ascii="Calibri" w:hAnsi="Calibri" w:cs="Calibri"/>
          <w:color w:val="000000"/>
        </w:rPr>
      </w:pPr>
      <w:r>
        <w:rPr>
          <w:rFonts w:ascii="Calibri" w:hAnsi="Calibri" w:cs="Calibri"/>
          <w:color w:val="000000"/>
          <w:shd w:val="clear" w:color="auto" w:fill="FFFFFF"/>
        </w:rPr>
        <w:t xml:space="preserve">Dreyer, B. (2019). </w:t>
      </w:r>
      <w:r>
        <w:rPr>
          <w:rFonts w:ascii="Calibri" w:hAnsi="Calibri" w:cs="Calibri"/>
          <w:i/>
          <w:iCs/>
          <w:color w:val="000000"/>
          <w:shd w:val="clear" w:color="auto" w:fill="FFFFFF"/>
        </w:rPr>
        <w:t>Dreyer’s English: An utterly correct guide to clarity and style</w:t>
      </w:r>
      <w:r>
        <w:rPr>
          <w:rFonts w:ascii="Calibri" w:hAnsi="Calibri" w:cs="Calibri"/>
          <w:color w:val="000000"/>
          <w:shd w:val="clear" w:color="auto" w:fill="FFFFFF"/>
        </w:rPr>
        <w:t>. New York: Random House.</w:t>
      </w:r>
    </w:p>
    <w:p w14:paraId="6205A4E1" w14:textId="77777777" w:rsidR="00BB200E" w:rsidRDefault="00BB200E" w:rsidP="00BB200E">
      <w:pPr>
        <w:pStyle w:val="NormalWeb"/>
        <w:numPr>
          <w:ilvl w:val="0"/>
          <w:numId w:val="8"/>
        </w:numPr>
        <w:spacing w:before="0" w:beforeAutospacing="0" w:after="0" w:afterAutospacing="0"/>
        <w:textAlignment w:val="baseline"/>
        <w:rPr>
          <w:rFonts w:ascii="Calibri" w:hAnsi="Calibri" w:cs="Calibri"/>
          <w:color w:val="000000"/>
        </w:rPr>
      </w:pPr>
      <w:r>
        <w:rPr>
          <w:rFonts w:ascii="Calibri" w:hAnsi="Calibri" w:cs="Calibri"/>
          <w:color w:val="000000"/>
          <w:shd w:val="clear" w:color="auto" w:fill="FFFFFF"/>
        </w:rPr>
        <w:t xml:space="preserve">McCarten, J. (2021). </w:t>
      </w:r>
      <w:r>
        <w:rPr>
          <w:rFonts w:ascii="Calibri" w:hAnsi="Calibri" w:cs="Calibri"/>
          <w:i/>
          <w:iCs/>
          <w:color w:val="000000"/>
          <w:shd w:val="clear" w:color="auto" w:fill="FFFFFF"/>
        </w:rPr>
        <w:t xml:space="preserve">The Canadian Press Stylebook: A Guide for Writers and Editors </w:t>
      </w:r>
      <w:r>
        <w:rPr>
          <w:rFonts w:ascii="Calibri" w:hAnsi="Calibri" w:cs="Calibri"/>
          <w:color w:val="000000"/>
          <w:shd w:val="clear" w:color="auto" w:fill="FFFFFF"/>
        </w:rPr>
        <w:t>(19th ed.). The Canadian Press.</w:t>
      </w:r>
      <w:r>
        <w:rPr>
          <w:rFonts w:ascii="Calibri" w:hAnsi="Calibri" w:cs="Calibri"/>
          <w:i/>
          <w:iCs/>
          <w:color w:val="000000"/>
          <w:shd w:val="clear" w:color="auto" w:fill="FFFFFF"/>
        </w:rPr>
        <w:t xml:space="preserve"> (NOTE: If you have an earlier edition, it will likely still be fine, but note that the course outline references page numbers from the 19th edition, and the 19th edition will be </w:t>
      </w:r>
      <w:r>
        <w:rPr>
          <w:rFonts w:ascii="Calibri" w:hAnsi="Calibri" w:cs="Calibri"/>
          <w:i/>
          <w:iCs/>
          <w:color w:val="000000"/>
        </w:rPr>
        <w:t>the “final word” in cases where editions offer different guidance.)</w:t>
      </w:r>
    </w:p>
    <w:p w14:paraId="0D9329C7" w14:textId="77777777" w:rsidR="00BB200E" w:rsidRDefault="00BB200E" w:rsidP="00BB200E">
      <w:pPr>
        <w:pStyle w:val="NormalWeb"/>
        <w:numPr>
          <w:ilvl w:val="0"/>
          <w:numId w:val="8"/>
        </w:numPr>
        <w:spacing w:before="0" w:beforeAutospacing="0" w:after="0" w:afterAutospacing="0"/>
        <w:textAlignment w:val="baseline"/>
        <w:rPr>
          <w:rFonts w:ascii="Calibri" w:hAnsi="Calibri" w:cs="Calibri"/>
          <w:color w:val="000000"/>
        </w:rPr>
      </w:pPr>
      <w:r>
        <w:rPr>
          <w:rFonts w:ascii="Calibri" w:hAnsi="Calibri" w:cs="Calibri"/>
          <w:color w:val="000000"/>
        </w:rPr>
        <w:t xml:space="preserve">McCarten, J. (2022). </w:t>
      </w:r>
      <w:r>
        <w:rPr>
          <w:rFonts w:ascii="Calibri" w:hAnsi="Calibri" w:cs="Calibri"/>
          <w:i/>
          <w:iCs/>
          <w:color w:val="000000"/>
        </w:rPr>
        <w:t xml:space="preserve">The Canadian Press Caps and Spelling </w:t>
      </w:r>
      <w:r>
        <w:rPr>
          <w:rFonts w:ascii="Calibri" w:hAnsi="Calibri" w:cs="Calibri"/>
          <w:color w:val="000000"/>
        </w:rPr>
        <w:t>(23rd ed.). The Canadian Press.</w:t>
      </w:r>
      <w:r>
        <w:rPr>
          <w:rFonts w:ascii="Calibri" w:hAnsi="Calibri" w:cs="Calibri"/>
          <w:i/>
          <w:iCs/>
          <w:color w:val="000000"/>
        </w:rPr>
        <w:t> </w:t>
      </w:r>
    </w:p>
    <w:p w14:paraId="61B66932" w14:textId="77777777" w:rsidR="00BB200E" w:rsidRDefault="00BB200E" w:rsidP="00BB200E">
      <w:pPr>
        <w:pStyle w:val="NormalWeb"/>
        <w:numPr>
          <w:ilvl w:val="0"/>
          <w:numId w:val="8"/>
        </w:numPr>
        <w:spacing w:before="0" w:beforeAutospacing="0" w:after="0" w:afterAutospacing="0"/>
        <w:textAlignment w:val="baseline"/>
        <w:rPr>
          <w:rFonts w:ascii="Calibri" w:hAnsi="Calibri" w:cs="Calibri"/>
          <w:color w:val="000000"/>
        </w:rPr>
      </w:pPr>
      <w:r>
        <w:rPr>
          <w:rFonts w:ascii="Calibri" w:hAnsi="Calibri" w:cs="Calibri"/>
          <w:color w:val="000000"/>
        </w:rPr>
        <w:t>Additional readings as assigned.</w:t>
      </w:r>
    </w:p>
    <w:p w14:paraId="2C339485" w14:textId="77777777" w:rsidR="00103838" w:rsidRDefault="00103838" w:rsidP="004544C1">
      <w:pPr>
        <w:shd w:val="clear" w:color="auto" w:fill="FFFFFF"/>
        <w:rPr>
          <w:rFonts w:ascii="Gotham Narrow SSm B" w:hAnsi="Gotham Narrow SSm B"/>
          <w:b/>
          <w:bCs/>
          <w:color w:val="191919"/>
          <w:lang w:eastAsia="en-CA"/>
        </w:rPr>
      </w:pPr>
    </w:p>
    <w:p w14:paraId="19178541" w14:textId="77777777" w:rsidR="00BB200E" w:rsidRDefault="004544C1" w:rsidP="004544C1">
      <w:pPr>
        <w:shd w:val="clear" w:color="auto" w:fill="FFFFFF"/>
        <w:rPr>
          <w:rFonts w:ascii="Gotham Narrow SSm B" w:hAnsi="Gotham Narrow SSm B"/>
          <w:b/>
          <w:bCs/>
          <w:color w:val="191919"/>
          <w:lang w:eastAsia="en-CA"/>
        </w:rPr>
      </w:pPr>
      <w:r w:rsidRPr="004544C1">
        <w:rPr>
          <w:rFonts w:ascii="Gotham Narrow SSm B" w:hAnsi="Gotham Narrow SSm B"/>
          <w:b/>
          <w:bCs/>
          <w:color w:val="191919"/>
          <w:lang w:eastAsia="en-CA"/>
        </w:rPr>
        <w:t>V. Course calendar: </w:t>
      </w:r>
    </w:p>
    <w:p w14:paraId="40B7B7C2" w14:textId="77777777" w:rsidR="00BB200E" w:rsidRPr="00A509BE" w:rsidRDefault="00BB200E" w:rsidP="004544C1">
      <w:pPr>
        <w:shd w:val="clear" w:color="auto" w:fill="FFFFFF"/>
        <w:rPr>
          <w:rFonts w:ascii="Gotham Narrow SSm B" w:hAnsi="Gotham Narrow SSm B"/>
          <w:b/>
          <w:bCs/>
          <w:color w:val="191919"/>
          <w:sz w:val="16"/>
          <w:szCs w:val="16"/>
          <w:lang w:eastAsia="en-CA"/>
        </w:rPr>
      </w:pPr>
    </w:p>
    <w:p w14:paraId="2FD1C7C9" w14:textId="4D1C46B0" w:rsidR="00BB200E" w:rsidRDefault="00BB200E" w:rsidP="004544C1">
      <w:pPr>
        <w:shd w:val="clear" w:color="auto" w:fill="FFFFFF"/>
        <w:rPr>
          <w:rFonts w:ascii="Gotham Narrow SSm B" w:hAnsi="Gotham Narrow SSm B"/>
          <w:b/>
          <w:bCs/>
          <w:color w:val="191919"/>
          <w:lang w:eastAsia="en-CA"/>
        </w:rPr>
      </w:pPr>
      <w:r>
        <w:rPr>
          <w:rFonts w:ascii="Calibri" w:hAnsi="Calibri" w:cs="Calibri"/>
          <w:color w:val="000000"/>
        </w:rPr>
        <w:t>A range of topics will be covered in this six-week course:</w:t>
      </w:r>
    </w:p>
    <w:p w14:paraId="128EBF11" w14:textId="77777777" w:rsidR="00BB200E" w:rsidRDefault="00BB200E" w:rsidP="004544C1">
      <w:pPr>
        <w:shd w:val="clear" w:color="auto" w:fill="FFFFFF"/>
        <w:rPr>
          <w:rFonts w:ascii="Gotham Narrow SSm B" w:hAnsi="Gotham Narrow SSm B"/>
          <w:b/>
          <w:bCs/>
          <w:color w:val="191919"/>
          <w:lang w:eastAsia="en-CA"/>
        </w:rPr>
      </w:pPr>
    </w:p>
    <w:tbl>
      <w:tblPr>
        <w:tblW w:w="0" w:type="auto"/>
        <w:tblInd w:w="610" w:type="dxa"/>
        <w:tblCellMar>
          <w:top w:w="15" w:type="dxa"/>
          <w:left w:w="15" w:type="dxa"/>
          <w:bottom w:w="15" w:type="dxa"/>
          <w:right w:w="15" w:type="dxa"/>
        </w:tblCellMar>
        <w:tblLook w:val="04A0" w:firstRow="1" w:lastRow="0" w:firstColumn="1" w:lastColumn="0" w:noHBand="0" w:noVBand="1"/>
      </w:tblPr>
      <w:tblGrid>
        <w:gridCol w:w="1266"/>
        <w:gridCol w:w="4961"/>
      </w:tblGrid>
      <w:tr w:rsidR="00BB200E" w14:paraId="3F2644F3" w14:textId="77777777" w:rsidTr="00A509BE">
        <w:tc>
          <w:tcPr>
            <w:tcW w:w="1266"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2913E63D" w14:textId="7D6CCBA6" w:rsidR="00BB200E" w:rsidRDefault="00BB200E">
            <w:pPr>
              <w:pStyle w:val="NormalWeb"/>
              <w:spacing w:before="0" w:beforeAutospacing="0" w:after="0" w:afterAutospacing="0"/>
            </w:pPr>
            <w:r>
              <w:rPr>
                <w:rFonts w:ascii="Calibri" w:hAnsi="Calibri" w:cs="Calibri"/>
                <w:b/>
                <w:bCs/>
                <w:color w:val="000000"/>
              </w:rPr>
              <w:t xml:space="preserve">Week </w:t>
            </w:r>
          </w:p>
        </w:tc>
        <w:tc>
          <w:tcPr>
            <w:tcW w:w="4961"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7B747E82" w14:textId="77777777" w:rsidR="00BB200E" w:rsidRDefault="00BB200E">
            <w:pPr>
              <w:pStyle w:val="NormalWeb"/>
              <w:spacing w:before="0" w:beforeAutospacing="0" w:after="0" w:afterAutospacing="0"/>
            </w:pPr>
            <w:r>
              <w:rPr>
                <w:rFonts w:ascii="Calibri" w:hAnsi="Calibri" w:cs="Calibri"/>
                <w:b/>
                <w:bCs/>
                <w:color w:val="000000"/>
              </w:rPr>
              <w:t>Topic</w:t>
            </w:r>
          </w:p>
        </w:tc>
      </w:tr>
      <w:tr w:rsidR="00BB200E" w14:paraId="02440010" w14:textId="77777777" w:rsidTr="00A509BE">
        <w:tc>
          <w:tcPr>
            <w:tcW w:w="12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3004B4" w14:textId="5DBECECA" w:rsidR="00BB200E" w:rsidRDefault="00BB200E">
            <w:pPr>
              <w:pStyle w:val="NormalWeb"/>
              <w:spacing w:before="0" w:beforeAutospacing="0" w:after="0" w:afterAutospacing="0"/>
            </w:pPr>
            <w:r>
              <w:rPr>
                <w:rFonts w:ascii="Calibri" w:hAnsi="Calibri" w:cs="Calibri"/>
                <w:b/>
                <w:bCs/>
                <w:color w:val="000000"/>
              </w:rPr>
              <w:t>Week 1</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F3152D8" w14:textId="77777777" w:rsidR="00BB200E" w:rsidRDefault="00BB200E">
            <w:pPr>
              <w:pStyle w:val="NormalWeb"/>
              <w:spacing w:before="0" w:beforeAutospacing="0" w:after="0" w:afterAutospacing="0"/>
            </w:pPr>
            <w:r>
              <w:rPr>
                <w:rFonts w:ascii="Calibri" w:hAnsi="Calibri" w:cs="Calibri"/>
                <w:b/>
                <w:bCs/>
                <w:color w:val="000000"/>
              </w:rPr>
              <w:t>Introduction to Writing in a Political Context</w:t>
            </w:r>
          </w:p>
        </w:tc>
      </w:tr>
      <w:tr w:rsidR="00BB200E" w14:paraId="3B7AB00E" w14:textId="77777777" w:rsidTr="00A509BE">
        <w:tc>
          <w:tcPr>
            <w:tcW w:w="12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C32641" w14:textId="7C101583" w:rsidR="00BB200E" w:rsidRDefault="00BB200E">
            <w:pPr>
              <w:pStyle w:val="NormalWeb"/>
              <w:spacing w:before="0" w:beforeAutospacing="0" w:after="0" w:afterAutospacing="0"/>
            </w:pPr>
            <w:r>
              <w:rPr>
                <w:rFonts w:ascii="Calibri" w:hAnsi="Calibri" w:cs="Calibri"/>
                <w:b/>
                <w:bCs/>
                <w:color w:val="000000"/>
              </w:rPr>
              <w:t>Week 2</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A9F472F" w14:textId="77777777" w:rsidR="00BB200E" w:rsidRDefault="00BB200E">
            <w:pPr>
              <w:pStyle w:val="NormalWeb"/>
              <w:spacing w:before="0" w:beforeAutospacing="0" w:after="0" w:afterAutospacing="0"/>
            </w:pPr>
            <w:r>
              <w:rPr>
                <w:rFonts w:ascii="Calibri" w:hAnsi="Calibri" w:cs="Calibri"/>
                <w:b/>
                <w:bCs/>
                <w:color w:val="000000"/>
              </w:rPr>
              <w:t xml:space="preserve">How To Be </w:t>
            </w:r>
            <w:proofErr w:type="gramStart"/>
            <w:r>
              <w:rPr>
                <w:rFonts w:ascii="Calibri" w:hAnsi="Calibri" w:cs="Calibri"/>
                <w:b/>
                <w:bCs/>
                <w:color w:val="000000"/>
              </w:rPr>
              <w:t>A</w:t>
            </w:r>
            <w:proofErr w:type="gramEnd"/>
            <w:r>
              <w:rPr>
                <w:rFonts w:ascii="Calibri" w:hAnsi="Calibri" w:cs="Calibri"/>
                <w:b/>
                <w:bCs/>
                <w:color w:val="000000"/>
              </w:rPr>
              <w:t xml:space="preserve"> Better Writer</w:t>
            </w:r>
          </w:p>
        </w:tc>
      </w:tr>
      <w:tr w:rsidR="00BB200E" w14:paraId="12D8CEE0" w14:textId="77777777" w:rsidTr="00A509BE">
        <w:tc>
          <w:tcPr>
            <w:tcW w:w="12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C0D972" w14:textId="101645A5" w:rsidR="00BB200E" w:rsidRDefault="00BB200E">
            <w:pPr>
              <w:pStyle w:val="NormalWeb"/>
              <w:spacing w:before="0" w:beforeAutospacing="0" w:after="0" w:afterAutospacing="0"/>
            </w:pPr>
            <w:r>
              <w:rPr>
                <w:rFonts w:ascii="Calibri" w:hAnsi="Calibri" w:cs="Calibri"/>
                <w:b/>
                <w:bCs/>
                <w:color w:val="000000"/>
              </w:rPr>
              <w:t>Week 3</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D62D02B" w14:textId="77777777" w:rsidR="00BB200E" w:rsidRDefault="00BB200E">
            <w:pPr>
              <w:pStyle w:val="NormalWeb"/>
              <w:spacing w:before="0" w:beforeAutospacing="0" w:after="0" w:afterAutospacing="0"/>
            </w:pPr>
            <w:r>
              <w:rPr>
                <w:rFonts w:ascii="Calibri" w:hAnsi="Calibri" w:cs="Calibri"/>
                <w:b/>
                <w:bCs/>
                <w:color w:val="000000"/>
              </w:rPr>
              <w:t>Just the Facts: News Releases, Backgrounders</w:t>
            </w:r>
          </w:p>
        </w:tc>
      </w:tr>
      <w:tr w:rsidR="00BB200E" w14:paraId="600B12D7" w14:textId="77777777" w:rsidTr="00A509BE">
        <w:tc>
          <w:tcPr>
            <w:tcW w:w="12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852545" w14:textId="417A7294" w:rsidR="00BB200E" w:rsidRDefault="00BB200E">
            <w:pPr>
              <w:pStyle w:val="NormalWeb"/>
              <w:spacing w:before="0" w:beforeAutospacing="0" w:after="0" w:afterAutospacing="0"/>
            </w:pPr>
            <w:r>
              <w:rPr>
                <w:rFonts w:ascii="Calibri" w:hAnsi="Calibri" w:cs="Calibri"/>
                <w:b/>
                <w:bCs/>
                <w:color w:val="000000"/>
              </w:rPr>
              <w:t>Week 4</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8F37CE4" w14:textId="77777777" w:rsidR="00BB200E" w:rsidRDefault="00BB200E">
            <w:pPr>
              <w:pStyle w:val="NormalWeb"/>
              <w:spacing w:before="0" w:beforeAutospacing="0" w:after="0" w:afterAutospacing="0"/>
            </w:pPr>
            <w:r>
              <w:rPr>
                <w:rFonts w:ascii="Calibri" w:hAnsi="Calibri" w:cs="Calibri"/>
                <w:b/>
                <w:bCs/>
                <w:color w:val="000000"/>
              </w:rPr>
              <w:t>Policy and Politics: Briefing Notes</w:t>
            </w:r>
          </w:p>
        </w:tc>
      </w:tr>
      <w:tr w:rsidR="00BB200E" w14:paraId="7C003CD1" w14:textId="77777777" w:rsidTr="00A509BE">
        <w:tc>
          <w:tcPr>
            <w:tcW w:w="12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DE9E0B" w14:textId="118A74FB" w:rsidR="00BB200E" w:rsidRDefault="00BB200E">
            <w:pPr>
              <w:pStyle w:val="NormalWeb"/>
              <w:spacing w:before="0" w:beforeAutospacing="0" w:after="0" w:afterAutospacing="0"/>
            </w:pPr>
            <w:r>
              <w:rPr>
                <w:rFonts w:ascii="Calibri" w:hAnsi="Calibri" w:cs="Calibri"/>
                <w:b/>
                <w:bCs/>
                <w:color w:val="000000"/>
              </w:rPr>
              <w:t>Week 5</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E61E0F7" w14:textId="77777777" w:rsidR="00BB200E" w:rsidRDefault="00BB200E">
            <w:pPr>
              <w:pStyle w:val="NormalWeb"/>
              <w:spacing w:before="0" w:beforeAutospacing="0" w:after="0" w:afterAutospacing="0"/>
            </w:pPr>
            <w:r>
              <w:rPr>
                <w:rFonts w:ascii="Calibri" w:hAnsi="Calibri" w:cs="Calibri"/>
                <w:b/>
                <w:bCs/>
                <w:color w:val="000000"/>
              </w:rPr>
              <w:t>Opinion: Speeches, Op-Eds</w:t>
            </w:r>
          </w:p>
        </w:tc>
      </w:tr>
      <w:tr w:rsidR="00BB200E" w14:paraId="68A35D6C" w14:textId="77777777" w:rsidTr="00A509BE">
        <w:tc>
          <w:tcPr>
            <w:tcW w:w="12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2A1D01" w14:textId="07B6732A" w:rsidR="00BB200E" w:rsidRDefault="00BB200E">
            <w:pPr>
              <w:pStyle w:val="NormalWeb"/>
              <w:spacing w:before="0" w:beforeAutospacing="0" w:after="0" w:afterAutospacing="0"/>
            </w:pPr>
            <w:r>
              <w:rPr>
                <w:rFonts w:ascii="Calibri" w:hAnsi="Calibri" w:cs="Calibri"/>
                <w:b/>
                <w:bCs/>
                <w:color w:val="000000"/>
              </w:rPr>
              <w:t>Week 6</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AA78B99" w14:textId="77777777" w:rsidR="00BB200E" w:rsidRDefault="00BB200E">
            <w:pPr>
              <w:pStyle w:val="NormalWeb"/>
              <w:spacing w:before="0" w:beforeAutospacing="0" w:after="0" w:afterAutospacing="0"/>
            </w:pPr>
            <w:r>
              <w:rPr>
                <w:rFonts w:ascii="Calibri" w:hAnsi="Calibri" w:cs="Calibri"/>
                <w:b/>
                <w:bCs/>
                <w:color w:val="000000"/>
              </w:rPr>
              <w:t>Messaging: Key Messages, Political Q&amp;A</w:t>
            </w:r>
          </w:p>
        </w:tc>
      </w:tr>
    </w:tbl>
    <w:p w14:paraId="13E0CE79" w14:textId="77777777" w:rsidR="00BB200E" w:rsidRDefault="00BB200E" w:rsidP="004544C1">
      <w:pPr>
        <w:shd w:val="clear" w:color="auto" w:fill="FFFFFF"/>
        <w:rPr>
          <w:rFonts w:ascii="Gotham Narrow SSm B" w:hAnsi="Gotham Narrow SSm B"/>
          <w:color w:val="191919"/>
          <w:lang w:eastAsia="en-CA"/>
        </w:rPr>
      </w:pPr>
      <w:r w:rsidRPr="004544C1">
        <w:rPr>
          <w:rFonts w:ascii="Gotham Narrow SSm B" w:hAnsi="Gotham Narrow SSm B"/>
          <w:color w:val="191919"/>
          <w:lang w:eastAsia="en-CA"/>
        </w:rPr>
        <w:t xml:space="preserve"> </w:t>
      </w:r>
      <w:r>
        <w:rPr>
          <w:rFonts w:ascii="Gotham Narrow SSm B" w:hAnsi="Gotham Narrow SSm B"/>
          <w:color w:val="191919"/>
          <w:lang w:eastAsia="en-CA"/>
        </w:rPr>
        <w:br/>
      </w:r>
    </w:p>
    <w:p w14:paraId="4D9ADD9A" w14:textId="77777777" w:rsidR="00BB200E" w:rsidRDefault="00BB200E">
      <w:pPr>
        <w:spacing w:after="160" w:line="259" w:lineRule="auto"/>
        <w:rPr>
          <w:rFonts w:ascii="Gotham Narrow SSm B" w:hAnsi="Gotham Narrow SSm B"/>
          <w:color w:val="191919"/>
          <w:lang w:eastAsia="en-CA"/>
        </w:rPr>
      </w:pPr>
      <w:r>
        <w:rPr>
          <w:rFonts w:ascii="Gotham Narrow SSm B" w:hAnsi="Gotham Narrow SSm B"/>
          <w:color w:val="191919"/>
          <w:lang w:eastAsia="en-CA"/>
        </w:rPr>
        <w:br w:type="page"/>
      </w:r>
    </w:p>
    <w:p w14:paraId="7AD89CED" w14:textId="77777777" w:rsidR="00A509BE" w:rsidRDefault="004544C1" w:rsidP="004544C1">
      <w:pPr>
        <w:shd w:val="clear" w:color="auto" w:fill="FFFFFF"/>
        <w:rPr>
          <w:rFonts w:ascii="Gotham Narrow SSm B" w:hAnsi="Gotham Narrow SSm B"/>
          <w:color w:val="191919"/>
          <w:lang w:eastAsia="en-CA"/>
        </w:rPr>
      </w:pPr>
      <w:r w:rsidRPr="004544C1">
        <w:rPr>
          <w:rFonts w:ascii="Gotham Narrow SSm B" w:hAnsi="Gotham Narrow SSm B"/>
          <w:b/>
          <w:bCs/>
          <w:color w:val="191919"/>
          <w:lang w:eastAsia="en-CA"/>
        </w:rPr>
        <w:lastRenderedPageBreak/>
        <w:t>VI. Evaluation</w:t>
      </w:r>
      <w:r w:rsidRPr="004544C1">
        <w:rPr>
          <w:rFonts w:ascii="Gotham Narrow SSm B" w:hAnsi="Gotham Narrow SSm B"/>
          <w:color w:val="191919"/>
          <w:lang w:eastAsia="en-CA"/>
        </w:rPr>
        <w:t>:</w:t>
      </w:r>
    </w:p>
    <w:p w14:paraId="7235AFA7" w14:textId="77777777" w:rsidR="00A509BE" w:rsidRPr="000201D8" w:rsidRDefault="00A509BE" w:rsidP="004544C1">
      <w:pPr>
        <w:shd w:val="clear" w:color="auto" w:fill="FFFFFF"/>
        <w:rPr>
          <w:rFonts w:ascii="Gotham Narrow SSm B" w:hAnsi="Gotham Narrow SSm B"/>
          <w:color w:val="191919"/>
          <w:sz w:val="16"/>
          <w:szCs w:val="16"/>
          <w:lang w:eastAsia="en-CA"/>
        </w:rPr>
      </w:pPr>
    </w:p>
    <w:p w14:paraId="548336D5" w14:textId="4CF8A086" w:rsidR="004544C1" w:rsidRPr="00A509BE" w:rsidRDefault="00A509BE" w:rsidP="004544C1">
      <w:pPr>
        <w:shd w:val="clear" w:color="auto" w:fill="FFFFFF"/>
        <w:rPr>
          <w:rFonts w:ascii="Calibri" w:hAnsi="Calibri" w:cs="Calibri"/>
          <w:color w:val="191919"/>
          <w:lang w:eastAsia="en-CA"/>
        </w:rPr>
      </w:pPr>
      <w:r w:rsidRPr="00A509BE">
        <w:rPr>
          <w:rFonts w:ascii="Calibri" w:hAnsi="Calibri" w:cs="Calibri"/>
          <w:color w:val="191919"/>
          <w:lang w:eastAsia="en-CA"/>
        </w:rPr>
        <w:t>A range of assignments will be used to assess student performance and progress in the course. These include:</w:t>
      </w:r>
      <w:r w:rsidR="003E1B4B" w:rsidRPr="00A509BE">
        <w:rPr>
          <w:rFonts w:ascii="Calibri" w:hAnsi="Calibri" w:cs="Calibri"/>
          <w:color w:val="191919"/>
          <w:lang w:eastAsia="en-CA"/>
        </w:rPr>
        <w:br/>
      </w:r>
    </w:p>
    <w:tbl>
      <w:tblPr>
        <w:tblW w:w="9019" w:type="dxa"/>
        <w:tblInd w:w="610" w:type="dxa"/>
        <w:tblCellMar>
          <w:top w:w="15" w:type="dxa"/>
          <w:left w:w="15" w:type="dxa"/>
          <w:bottom w:w="15" w:type="dxa"/>
          <w:right w:w="15" w:type="dxa"/>
        </w:tblCellMar>
        <w:tblLook w:val="04A0" w:firstRow="1" w:lastRow="0" w:firstColumn="1" w:lastColumn="0" w:noHBand="0" w:noVBand="1"/>
      </w:tblPr>
      <w:tblGrid>
        <w:gridCol w:w="1617"/>
        <w:gridCol w:w="3618"/>
        <w:gridCol w:w="3784"/>
      </w:tblGrid>
      <w:tr w:rsidR="003E1B4B" w14:paraId="3E8334AF" w14:textId="77777777" w:rsidTr="00A509BE">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5558D73E" w14:textId="77777777" w:rsidR="003E1B4B" w:rsidRDefault="003E1B4B">
            <w:pPr>
              <w:pStyle w:val="NormalWeb"/>
              <w:spacing w:before="0" w:beforeAutospacing="0" w:after="0" w:afterAutospacing="0"/>
            </w:pPr>
            <w:r>
              <w:rPr>
                <w:rFonts w:ascii="Calibri" w:hAnsi="Calibri" w:cs="Calibri"/>
                <w:b/>
                <w:bCs/>
                <w:color w:val="000000"/>
              </w:rPr>
              <w:t>Assignment</w:t>
            </w:r>
          </w:p>
        </w:tc>
        <w:tc>
          <w:tcPr>
            <w:tcW w:w="3618"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4C464DE6" w14:textId="77777777" w:rsidR="003E1B4B" w:rsidRDefault="003E1B4B">
            <w:pPr>
              <w:pStyle w:val="NormalWeb"/>
              <w:spacing w:before="0" w:beforeAutospacing="0" w:after="0" w:afterAutospacing="0"/>
            </w:pPr>
            <w:r>
              <w:rPr>
                <w:rFonts w:ascii="Calibri" w:hAnsi="Calibri" w:cs="Calibri"/>
                <w:b/>
                <w:bCs/>
                <w:color w:val="000000"/>
              </w:rPr>
              <w:t>Percentage</w:t>
            </w:r>
          </w:p>
        </w:tc>
        <w:tc>
          <w:tcPr>
            <w:tcW w:w="3784"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40274B5E" w14:textId="77777777" w:rsidR="003E1B4B" w:rsidRDefault="003E1B4B">
            <w:pPr>
              <w:pStyle w:val="NormalWeb"/>
              <w:spacing w:before="0" w:beforeAutospacing="0" w:after="0" w:afterAutospacing="0"/>
            </w:pPr>
            <w:r>
              <w:rPr>
                <w:rFonts w:ascii="Calibri" w:hAnsi="Calibri" w:cs="Calibri"/>
                <w:b/>
                <w:bCs/>
                <w:color w:val="000000"/>
              </w:rPr>
              <w:t>Due Date</w:t>
            </w:r>
          </w:p>
        </w:tc>
      </w:tr>
      <w:tr w:rsidR="003E1B4B" w14:paraId="7F35664A" w14:textId="77777777" w:rsidTr="00A509B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88E7C1" w14:textId="77777777" w:rsidR="003E1B4B" w:rsidRDefault="003E1B4B">
            <w:pPr>
              <w:pStyle w:val="NormalWeb"/>
              <w:spacing w:before="0" w:beforeAutospacing="0" w:after="0" w:afterAutospacing="0"/>
            </w:pPr>
            <w:r>
              <w:rPr>
                <w:rFonts w:ascii="Calibri" w:hAnsi="Calibri" w:cs="Calibri"/>
                <w:b/>
                <w:bCs/>
                <w:color w:val="000000"/>
                <w:sz w:val="23"/>
                <w:szCs w:val="23"/>
              </w:rPr>
              <w:t>Reflection Letter</w:t>
            </w:r>
          </w:p>
        </w:tc>
        <w:tc>
          <w:tcPr>
            <w:tcW w:w="36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2FAA37" w14:textId="77777777" w:rsidR="003E1B4B" w:rsidRDefault="003E1B4B">
            <w:pPr>
              <w:pStyle w:val="NormalWeb"/>
              <w:spacing w:before="0" w:beforeAutospacing="0" w:after="0" w:afterAutospacing="0"/>
            </w:pPr>
            <w:r>
              <w:rPr>
                <w:rFonts w:ascii="Calibri" w:hAnsi="Calibri" w:cs="Calibri"/>
                <w:b/>
                <w:bCs/>
                <w:color w:val="000000"/>
                <w:sz w:val="23"/>
                <w:szCs w:val="23"/>
              </w:rPr>
              <w:t>15%</w:t>
            </w:r>
          </w:p>
        </w:tc>
        <w:tc>
          <w:tcPr>
            <w:tcW w:w="37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A19DF4" w14:textId="41A9AF93" w:rsidR="003E1B4B" w:rsidRDefault="003E1B4B">
            <w:pPr>
              <w:pStyle w:val="NormalWeb"/>
              <w:spacing w:before="0" w:beforeAutospacing="0" w:after="0" w:afterAutospacing="0"/>
            </w:pPr>
            <w:r>
              <w:rPr>
                <w:rFonts w:ascii="Calibri" w:hAnsi="Calibri" w:cs="Calibri"/>
                <w:color w:val="000000"/>
                <w:sz w:val="23"/>
                <w:szCs w:val="23"/>
              </w:rPr>
              <w:t>Due before Week 2 class.</w:t>
            </w:r>
          </w:p>
        </w:tc>
      </w:tr>
      <w:tr w:rsidR="003E1B4B" w14:paraId="1D61C615" w14:textId="77777777" w:rsidTr="00A509B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A2299E" w14:textId="77777777" w:rsidR="003E1B4B" w:rsidRDefault="003E1B4B">
            <w:pPr>
              <w:pStyle w:val="NormalWeb"/>
              <w:spacing w:before="0" w:beforeAutospacing="0" w:after="0" w:afterAutospacing="0"/>
            </w:pPr>
            <w:r>
              <w:rPr>
                <w:rFonts w:ascii="Calibri" w:hAnsi="Calibri" w:cs="Calibri"/>
                <w:b/>
                <w:bCs/>
                <w:color w:val="000000"/>
                <w:sz w:val="23"/>
                <w:szCs w:val="23"/>
              </w:rPr>
              <w:t>Weekly Quizzes </w:t>
            </w:r>
          </w:p>
        </w:tc>
        <w:tc>
          <w:tcPr>
            <w:tcW w:w="36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2376E0" w14:textId="0EE35111" w:rsidR="003E1B4B" w:rsidRPr="000201D8" w:rsidRDefault="003E1B4B">
            <w:pPr>
              <w:pStyle w:val="NormalWeb"/>
              <w:spacing w:before="0" w:beforeAutospacing="0" w:after="0" w:afterAutospacing="0"/>
              <w:rPr>
                <w:sz w:val="18"/>
                <w:szCs w:val="18"/>
              </w:rPr>
            </w:pPr>
            <w:r>
              <w:rPr>
                <w:rFonts w:ascii="Calibri" w:hAnsi="Calibri" w:cs="Calibri"/>
                <w:b/>
                <w:bCs/>
                <w:color w:val="000000"/>
                <w:sz w:val="23"/>
                <w:szCs w:val="23"/>
              </w:rPr>
              <w:t xml:space="preserve">25% </w:t>
            </w:r>
            <w:r>
              <w:rPr>
                <w:rFonts w:ascii="Calibri" w:hAnsi="Calibri" w:cs="Calibri"/>
                <w:color w:val="000000"/>
                <w:sz w:val="23"/>
                <w:szCs w:val="23"/>
              </w:rPr>
              <w:br/>
            </w:r>
            <w:r w:rsidRPr="000201D8">
              <w:rPr>
                <w:rFonts w:ascii="Calibri" w:hAnsi="Calibri" w:cs="Calibri"/>
                <w:color w:val="000000"/>
                <w:sz w:val="18"/>
                <w:szCs w:val="18"/>
              </w:rPr>
              <w:br/>
            </w:r>
            <w:r>
              <w:rPr>
                <w:rFonts w:ascii="Calibri" w:hAnsi="Calibri" w:cs="Calibri"/>
                <w:color w:val="000000"/>
                <w:sz w:val="23"/>
                <w:szCs w:val="23"/>
              </w:rPr>
              <w:t>Each short quiz is worth 5%; there are five quizzes in total:</w:t>
            </w:r>
            <w:r>
              <w:rPr>
                <w:rFonts w:ascii="Calibri" w:hAnsi="Calibri" w:cs="Calibri"/>
                <w:color w:val="000000"/>
                <w:sz w:val="23"/>
                <w:szCs w:val="23"/>
              </w:rPr>
              <w:br/>
            </w:r>
          </w:p>
          <w:p w14:paraId="61945F77" w14:textId="77777777" w:rsidR="003E1B4B" w:rsidRDefault="003E1B4B" w:rsidP="003E1B4B">
            <w:pPr>
              <w:pStyle w:val="NormalWeb"/>
              <w:numPr>
                <w:ilvl w:val="0"/>
                <w:numId w:val="9"/>
              </w:numPr>
              <w:spacing w:before="0" w:beforeAutospacing="0" w:after="0" w:afterAutospacing="0"/>
              <w:ind w:left="360"/>
              <w:textAlignment w:val="baseline"/>
              <w:rPr>
                <w:rFonts w:ascii="Calibri" w:hAnsi="Calibri" w:cs="Calibri"/>
                <w:color w:val="000000"/>
                <w:sz w:val="23"/>
                <w:szCs w:val="23"/>
              </w:rPr>
            </w:pPr>
            <w:r>
              <w:rPr>
                <w:rFonts w:ascii="Calibri" w:hAnsi="Calibri" w:cs="Calibri"/>
                <w:color w:val="000000"/>
                <w:sz w:val="23"/>
                <w:szCs w:val="23"/>
              </w:rPr>
              <w:t>Language and Writing</w:t>
            </w:r>
          </w:p>
          <w:p w14:paraId="141F4E3F" w14:textId="77777777" w:rsidR="003E1B4B" w:rsidRDefault="003E1B4B" w:rsidP="003E1B4B">
            <w:pPr>
              <w:pStyle w:val="NormalWeb"/>
              <w:numPr>
                <w:ilvl w:val="0"/>
                <w:numId w:val="9"/>
              </w:numPr>
              <w:spacing w:before="0" w:beforeAutospacing="0" w:after="0" w:afterAutospacing="0"/>
              <w:ind w:left="360"/>
              <w:textAlignment w:val="baseline"/>
              <w:rPr>
                <w:rFonts w:ascii="Calibri" w:hAnsi="Calibri" w:cs="Calibri"/>
                <w:color w:val="000000"/>
                <w:sz w:val="23"/>
                <w:szCs w:val="23"/>
              </w:rPr>
            </w:pPr>
            <w:r>
              <w:rPr>
                <w:rFonts w:ascii="Calibri" w:hAnsi="Calibri" w:cs="Calibri"/>
                <w:color w:val="000000"/>
                <w:sz w:val="23"/>
                <w:szCs w:val="23"/>
              </w:rPr>
              <w:t>Spelling and Capitalization</w:t>
            </w:r>
          </w:p>
          <w:p w14:paraId="10097D96" w14:textId="77777777" w:rsidR="003E1B4B" w:rsidRDefault="003E1B4B" w:rsidP="003E1B4B">
            <w:pPr>
              <w:pStyle w:val="NormalWeb"/>
              <w:numPr>
                <w:ilvl w:val="0"/>
                <w:numId w:val="9"/>
              </w:numPr>
              <w:spacing w:before="0" w:beforeAutospacing="0" w:after="0" w:afterAutospacing="0"/>
              <w:ind w:left="360"/>
              <w:textAlignment w:val="baseline"/>
              <w:rPr>
                <w:rFonts w:ascii="Calibri" w:hAnsi="Calibri" w:cs="Calibri"/>
                <w:color w:val="000000"/>
                <w:sz w:val="23"/>
                <w:szCs w:val="23"/>
              </w:rPr>
            </w:pPr>
            <w:r>
              <w:rPr>
                <w:rFonts w:ascii="Calibri" w:hAnsi="Calibri" w:cs="Calibri"/>
                <w:color w:val="000000"/>
                <w:sz w:val="23"/>
                <w:szCs w:val="23"/>
              </w:rPr>
              <w:t>Punctuation</w:t>
            </w:r>
          </w:p>
          <w:p w14:paraId="5723ADE5" w14:textId="77777777" w:rsidR="003E1B4B" w:rsidRDefault="003E1B4B" w:rsidP="003E1B4B">
            <w:pPr>
              <w:pStyle w:val="NormalWeb"/>
              <w:numPr>
                <w:ilvl w:val="0"/>
                <w:numId w:val="9"/>
              </w:numPr>
              <w:spacing w:before="0" w:beforeAutospacing="0" w:after="0" w:afterAutospacing="0"/>
              <w:ind w:left="360"/>
              <w:textAlignment w:val="baseline"/>
              <w:rPr>
                <w:rFonts w:ascii="Calibri" w:hAnsi="Calibri" w:cs="Calibri"/>
                <w:color w:val="000000"/>
                <w:sz w:val="23"/>
                <w:szCs w:val="23"/>
              </w:rPr>
            </w:pPr>
            <w:r>
              <w:rPr>
                <w:rFonts w:ascii="Calibri" w:hAnsi="Calibri" w:cs="Calibri"/>
                <w:color w:val="000000"/>
                <w:sz w:val="23"/>
                <w:szCs w:val="23"/>
              </w:rPr>
              <w:t>Plain Language</w:t>
            </w:r>
          </w:p>
          <w:p w14:paraId="0ED31232" w14:textId="77777777" w:rsidR="003E1B4B" w:rsidRDefault="003E1B4B" w:rsidP="003E1B4B">
            <w:pPr>
              <w:pStyle w:val="NormalWeb"/>
              <w:numPr>
                <w:ilvl w:val="0"/>
                <w:numId w:val="9"/>
              </w:numPr>
              <w:spacing w:before="0" w:beforeAutospacing="0" w:after="0" w:afterAutospacing="0"/>
              <w:ind w:left="360"/>
              <w:textAlignment w:val="baseline"/>
              <w:rPr>
                <w:rFonts w:ascii="Calibri" w:hAnsi="Calibri" w:cs="Calibri"/>
                <w:color w:val="000000"/>
                <w:sz w:val="23"/>
                <w:szCs w:val="23"/>
              </w:rPr>
            </w:pPr>
            <w:r>
              <w:rPr>
                <w:rFonts w:ascii="Calibri" w:hAnsi="Calibri" w:cs="Calibri"/>
                <w:color w:val="000000"/>
                <w:sz w:val="23"/>
                <w:szCs w:val="23"/>
              </w:rPr>
              <w:t>Frequently Confused Words</w:t>
            </w:r>
          </w:p>
          <w:p w14:paraId="526DC022" w14:textId="77777777" w:rsidR="003E1B4B" w:rsidRDefault="003E1B4B"/>
        </w:tc>
        <w:tc>
          <w:tcPr>
            <w:tcW w:w="37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70CC7D" w14:textId="1B06381C" w:rsidR="003E1B4B" w:rsidRDefault="003E1B4B">
            <w:pPr>
              <w:pStyle w:val="NormalWeb"/>
              <w:spacing w:before="0" w:beforeAutospacing="0" w:after="0" w:afterAutospacing="0"/>
            </w:pPr>
            <w:r>
              <w:rPr>
                <w:rFonts w:ascii="Calibri" w:hAnsi="Calibri" w:cs="Calibri"/>
                <w:color w:val="000000"/>
                <w:sz w:val="23"/>
                <w:szCs w:val="23"/>
              </w:rPr>
              <w:t>New quiz posted each week. Quizzes can be completed at any time during the week but are always due before the next class.</w:t>
            </w:r>
          </w:p>
        </w:tc>
      </w:tr>
      <w:tr w:rsidR="00A509BE" w14:paraId="0C0A3A43" w14:textId="77777777" w:rsidTr="00A509B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F8D1F8" w14:textId="77777777" w:rsidR="003E1B4B" w:rsidRDefault="003E1B4B">
            <w:pPr>
              <w:pStyle w:val="NormalWeb"/>
              <w:spacing w:before="0" w:beforeAutospacing="0" w:after="0" w:afterAutospacing="0"/>
            </w:pPr>
            <w:r>
              <w:rPr>
                <w:rFonts w:ascii="Calibri" w:hAnsi="Calibri" w:cs="Calibri"/>
                <w:b/>
                <w:bCs/>
                <w:color w:val="000000"/>
                <w:sz w:val="23"/>
                <w:szCs w:val="23"/>
              </w:rPr>
              <w:t>Written Assignments</w:t>
            </w:r>
          </w:p>
        </w:tc>
        <w:tc>
          <w:tcPr>
            <w:tcW w:w="36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9BF5BA" w14:textId="77777777" w:rsidR="003E1B4B" w:rsidRDefault="003E1B4B">
            <w:pPr>
              <w:pStyle w:val="NormalWeb"/>
              <w:spacing w:before="0" w:beforeAutospacing="0" w:after="0" w:afterAutospacing="0"/>
            </w:pPr>
            <w:r>
              <w:rPr>
                <w:rFonts w:ascii="Calibri" w:hAnsi="Calibri" w:cs="Calibri"/>
                <w:b/>
                <w:bCs/>
                <w:color w:val="000000"/>
                <w:sz w:val="23"/>
                <w:szCs w:val="23"/>
              </w:rPr>
              <w:t>60%</w:t>
            </w:r>
          </w:p>
          <w:p w14:paraId="682ECA38" w14:textId="77777777" w:rsidR="003E1B4B" w:rsidRPr="000201D8" w:rsidRDefault="003E1B4B">
            <w:pPr>
              <w:rPr>
                <w:sz w:val="18"/>
                <w:szCs w:val="18"/>
              </w:rPr>
            </w:pPr>
          </w:p>
          <w:p w14:paraId="6610A487" w14:textId="77777777" w:rsidR="003E1B4B" w:rsidRDefault="003E1B4B">
            <w:pPr>
              <w:pStyle w:val="NormalWeb"/>
              <w:spacing w:before="0" w:beforeAutospacing="0" w:after="0" w:afterAutospacing="0"/>
            </w:pPr>
            <w:r>
              <w:rPr>
                <w:rFonts w:ascii="Calibri" w:hAnsi="Calibri" w:cs="Calibri"/>
                <w:color w:val="000000"/>
                <w:sz w:val="23"/>
                <w:szCs w:val="23"/>
              </w:rPr>
              <w:t>Each assignment is worth 15%; there are four assignments in total:</w:t>
            </w:r>
          </w:p>
          <w:p w14:paraId="2784B53F" w14:textId="2675B922" w:rsidR="003E1B4B" w:rsidRPr="000201D8" w:rsidRDefault="003E1B4B">
            <w:pPr>
              <w:rPr>
                <w:sz w:val="18"/>
                <w:szCs w:val="18"/>
              </w:rPr>
            </w:pPr>
          </w:p>
          <w:p w14:paraId="292A0270" w14:textId="77777777" w:rsidR="003E1B4B" w:rsidRDefault="003E1B4B" w:rsidP="003E1B4B">
            <w:pPr>
              <w:pStyle w:val="NormalWeb"/>
              <w:numPr>
                <w:ilvl w:val="0"/>
                <w:numId w:val="10"/>
              </w:numPr>
              <w:spacing w:before="0" w:beforeAutospacing="0" w:after="0" w:afterAutospacing="0"/>
              <w:ind w:left="360"/>
              <w:textAlignment w:val="baseline"/>
              <w:rPr>
                <w:rFonts w:ascii="Calibri" w:hAnsi="Calibri" w:cs="Calibri"/>
                <w:color w:val="000000"/>
                <w:sz w:val="23"/>
                <w:szCs w:val="23"/>
              </w:rPr>
            </w:pPr>
            <w:r>
              <w:rPr>
                <w:rFonts w:ascii="Calibri" w:hAnsi="Calibri" w:cs="Calibri"/>
                <w:color w:val="000000"/>
                <w:sz w:val="23"/>
                <w:szCs w:val="23"/>
              </w:rPr>
              <w:t>News Release</w:t>
            </w:r>
          </w:p>
          <w:p w14:paraId="4BAC4047" w14:textId="77777777" w:rsidR="003E1B4B" w:rsidRDefault="003E1B4B" w:rsidP="003E1B4B">
            <w:pPr>
              <w:pStyle w:val="NormalWeb"/>
              <w:numPr>
                <w:ilvl w:val="0"/>
                <w:numId w:val="10"/>
              </w:numPr>
              <w:spacing w:before="0" w:beforeAutospacing="0" w:after="0" w:afterAutospacing="0"/>
              <w:ind w:left="360"/>
              <w:textAlignment w:val="baseline"/>
              <w:rPr>
                <w:rFonts w:ascii="Calibri" w:hAnsi="Calibri" w:cs="Calibri"/>
                <w:color w:val="000000"/>
                <w:sz w:val="23"/>
                <w:szCs w:val="23"/>
              </w:rPr>
            </w:pPr>
            <w:r>
              <w:rPr>
                <w:rFonts w:ascii="Calibri" w:hAnsi="Calibri" w:cs="Calibri"/>
                <w:color w:val="000000"/>
                <w:sz w:val="23"/>
                <w:szCs w:val="23"/>
              </w:rPr>
              <w:t>Briefing Note</w:t>
            </w:r>
          </w:p>
          <w:p w14:paraId="2A2AC979" w14:textId="77777777" w:rsidR="003E1B4B" w:rsidRDefault="003E1B4B" w:rsidP="003E1B4B">
            <w:pPr>
              <w:pStyle w:val="NormalWeb"/>
              <w:numPr>
                <w:ilvl w:val="0"/>
                <w:numId w:val="10"/>
              </w:numPr>
              <w:spacing w:before="0" w:beforeAutospacing="0" w:after="0" w:afterAutospacing="0"/>
              <w:ind w:left="360"/>
              <w:textAlignment w:val="baseline"/>
              <w:rPr>
                <w:rFonts w:ascii="Calibri" w:hAnsi="Calibri" w:cs="Calibri"/>
                <w:color w:val="000000"/>
                <w:sz w:val="23"/>
                <w:szCs w:val="23"/>
              </w:rPr>
            </w:pPr>
            <w:r>
              <w:rPr>
                <w:rFonts w:ascii="Calibri" w:hAnsi="Calibri" w:cs="Calibri"/>
                <w:color w:val="000000"/>
                <w:sz w:val="23"/>
                <w:szCs w:val="23"/>
              </w:rPr>
              <w:t>Speech </w:t>
            </w:r>
          </w:p>
          <w:p w14:paraId="467FED17" w14:textId="77777777" w:rsidR="003E1B4B" w:rsidRDefault="003E1B4B" w:rsidP="003E1B4B">
            <w:pPr>
              <w:pStyle w:val="NormalWeb"/>
              <w:numPr>
                <w:ilvl w:val="0"/>
                <w:numId w:val="10"/>
              </w:numPr>
              <w:spacing w:before="0" w:beforeAutospacing="0" w:after="0" w:afterAutospacing="0"/>
              <w:ind w:left="360"/>
              <w:textAlignment w:val="baseline"/>
              <w:rPr>
                <w:rFonts w:ascii="Calibri" w:hAnsi="Calibri" w:cs="Calibri"/>
                <w:color w:val="000000"/>
                <w:sz w:val="23"/>
                <w:szCs w:val="23"/>
              </w:rPr>
            </w:pPr>
            <w:r>
              <w:rPr>
                <w:rFonts w:ascii="Calibri" w:hAnsi="Calibri" w:cs="Calibri"/>
                <w:color w:val="000000"/>
                <w:sz w:val="23"/>
                <w:szCs w:val="23"/>
              </w:rPr>
              <w:t>Key Messages / Political Q&amp;A</w:t>
            </w:r>
          </w:p>
          <w:p w14:paraId="34B765CC" w14:textId="77777777" w:rsidR="003E1B4B" w:rsidRDefault="003E1B4B"/>
        </w:tc>
        <w:tc>
          <w:tcPr>
            <w:tcW w:w="37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C8FFCC" w14:textId="6C679E2F" w:rsidR="003E1B4B" w:rsidRDefault="003E1B4B">
            <w:pPr>
              <w:pStyle w:val="NormalWeb"/>
              <w:spacing w:before="0" w:beforeAutospacing="0" w:after="0" w:afterAutospacing="0"/>
            </w:pPr>
            <w:r>
              <w:rPr>
                <w:rFonts w:ascii="Calibri" w:hAnsi="Calibri" w:cs="Calibri"/>
                <w:color w:val="000000"/>
                <w:sz w:val="23"/>
                <w:szCs w:val="23"/>
              </w:rPr>
              <w:t xml:space="preserve">See detailed course outline </w:t>
            </w:r>
            <w:r w:rsidR="00A509BE">
              <w:rPr>
                <w:rFonts w:ascii="Calibri" w:hAnsi="Calibri" w:cs="Calibri"/>
                <w:color w:val="000000"/>
                <w:sz w:val="23"/>
                <w:szCs w:val="23"/>
              </w:rPr>
              <w:t>and/or</w:t>
            </w:r>
            <w:r>
              <w:rPr>
                <w:rFonts w:ascii="Calibri" w:hAnsi="Calibri" w:cs="Calibri"/>
                <w:color w:val="000000"/>
                <w:sz w:val="23"/>
                <w:szCs w:val="23"/>
              </w:rPr>
              <w:t xml:space="preserve"> Brightspace for specific due dates</w:t>
            </w:r>
            <w:r w:rsidR="00A509BE">
              <w:rPr>
                <w:rFonts w:ascii="Calibri" w:hAnsi="Calibri" w:cs="Calibri"/>
                <w:color w:val="000000"/>
                <w:sz w:val="23"/>
                <w:szCs w:val="23"/>
              </w:rPr>
              <w:t>,</w:t>
            </w:r>
            <w:r>
              <w:rPr>
                <w:rFonts w:ascii="Calibri" w:hAnsi="Calibri" w:cs="Calibri"/>
                <w:color w:val="000000"/>
                <w:sz w:val="23"/>
                <w:szCs w:val="23"/>
              </w:rPr>
              <w:t xml:space="preserve"> and </w:t>
            </w:r>
            <w:r w:rsidR="00A509BE">
              <w:rPr>
                <w:rFonts w:ascii="Calibri" w:hAnsi="Calibri" w:cs="Calibri"/>
                <w:color w:val="000000"/>
                <w:sz w:val="23"/>
                <w:szCs w:val="23"/>
              </w:rPr>
              <w:t xml:space="preserve">for </w:t>
            </w:r>
            <w:r>
              <w:rPr>
                <w:rFonts w:ascii="Calibri" w:hAnsi="Calibri" w:cs="Calibri"/>
                <w:color w:val="000000"/>
                <w:sz w:val="23"/>
                <w:szCs w:val="23"/>
              </w:rPr>
              <w:t xml:space="preserve">further information on how </w:t>
            </w:r>
            <w:r w:rsidR="00A509BE">
              <w:rPr>
                <w:rFonts w:ascii="Calibri" w:hAnsi="Calibri" w:cs="Calibri"/>
                <w:color w:val="000000"/>
                <w:sz w:val="23"/>
                <w:szCs w:val="23"/>
              </w:rPr>
              <w:t xml:space="preserve">each component of the assignment </w:t>
            </w:r>
            <w:r>
              <w:rPr>
                <w:rFonts w:ascii="Calibri" w:hAnsi="Calibri" w:cs="Calibri"/>
                <w:color w:val="000000"/>
                <w:sz w:val="23"/>
                <w:szCs w:val="23"/>
              </w:rPr>
              <w:t>(initial draft, peer review, final draft)</w:t>
            </w:r>
            <w:r w:rsidR="00A509BE">
              <w:rPr>
                <w:rFonts w:ascii="Calibri" w:hAnsi="Calibri" w:cs="Calibri"/>
                <w:color w:val="000000"/>
                <w:sz w:val="23"/>
                <w:szCs w:val="23"/>
              </w:rPr>
              <w:t xml:space="preserve"> will be assessed.</w:t>
            </w:r>
          </w:p>
        </w:tc>
      </w:tr>
    </w:tbl>
    <w:p w14:paraId="163DE239" w14:textId="1C63F54F" w:rsidR="004544C1" w:rsidRPr="00A509BE" w:rsidRDefault="004544C1" w:rsidP="00A509BE">
      <w:pPr>
        <w:shd w:val="clear" w:color="auto" w:fill="FFFFFF"/>
        <w:spacing w:before="100" w:beforeAutospacing="1"/>
        <w:rPr>
          <w:rFonts w:ascii="Calibri" w:hAnsi="Calibri" w:cs="Calibri"/>
          <w:color w:val="191919"/>
          <w:lang w:eastAsia="en-CA"/>
        </w:rPr>
      </w:pPr>
      <w:r w:rsidRPr="00A509BE">
        <w:rPr>
          <w:rFonts w:ascii="Calibri" w:hAnsi="Calibri" w:cs="Calibri"/>
          <w:color w:val="191919"/>
          <w:lang w:eastAsia="en-CA"/>
        </w:rPr>
        <w:t>Standing in a course is determined by the course instructor subject to the approval of the Faculty Dean. This means that grades submitted by the instructor may be subject to revision. No grades are final until they have been approved by the Dean.</w:t>
      </w:r>
    </w:p>
    <w:p w14:paraId="7370E4EA" w14:textId="77777777" w:rsidR="00103838" w:rsidRDefault="00103838" w:rsidP="004544C1">
      <w:pPr>
        <w:shd w:val="clear" w:color="auto" w:fill="FFFFFF"/>
        <w:rPr>
          <w:rFonts w:ascii="Gotham Narrow SSm B" w:hAnsi="Gotham Narrow SSm B"/>
          <w:b/>
          <w:bCs/>
          <w:color w:val="191919"/>
          <w:lang w:eastAsia="en-CA"/>
        </w:rPr>
      </w:pPr>
    </w:p>
    <w:p w14:paraId="5E7B28B8" w14:textId="4415D22B" w:rsidR="004544C1" w:rsidRPr="000201D8" w:rsidRDefault="004544C1" w:rsidP="004544C1">
      <w:pPr>
        <w:shd w:val="clear" w:color="auto" w:fill="FFFFFF"/>
        <w:rPr>
          <w:rFonts w:ascii="Gotham Narrow SSm B" w:hAnsi="Gotham Narrow SSm B"/>
          <w:color w:val="191919"/>
          <w:sz w:val="16"/>
          <w:szCs w:val="16"/>
          <w:lang w:eastAsia="en-CA"/>
        </w:rPr>
      </w:pPr>
      <w:r w:rsidRPr="004544C1">
        <w:rPr>
          <w:rFonts w:ascii="Gotham Narrow SSm B" w:hAnsi="Gotham Narrow SSm B"/>
          <w:b/>
          <w:bCs/>
          <w:color w:val="191919"/>
          <w:lang w:eastAsia="en-CA"/>
        </w:rPr>
        <w:t>VII. Statement on Plagiarism</w:t>
      </w:r>
      <w:r w:rsidR="00A509BE">
        <w:rPr>
          <w:rFonts w:ascii="Gotham Narrow SSm B" w:hAnsi="Gotham Narrow SSm B"/>
          <w:b/>
          <w:bCs/>
          <w:color w:val="191919"/>
          <w:lang w:eastAsia="en-CA"/>
        </w:rPr>
        <w:br/>
      </w:r>
    </w:p>
    <w:p w14:paraId="66C3E207" w14:textId="77777777" w:rsidR="00A509BE" w:rsidRPr="00A509BE" w:rsidRDefault="00A509BE" w:rsidP="00A509BE">
      <w:pPr>
        <w:pStyle w:val="NormalWeb"/>
        <w:spacing w:before="0" w:beforeAutospacing="0" w:after="0" w:afterAutospacing="0"/>
        <w:rPr>
          <w:rFonts w:ascii="Calibri" w:hAnsi="Calibri" w:cs="Calibri"/>
        </w:rPr>
      </w:pPr>
      <w:r w:rsidRPr="00A509BE">
        <w:rPr>
          <w:rFonts w:ascii="Calibri" w:hAnsi="Calibri" w:cs="Calibri"/>
          <w:color w:val="000000"/>
        </w:rPr>
        <w:t>Carleton’s Senate defines plagiarism as “presenting, whether intentionally or not, the ideas, expression of ideas, or work of others as one’s own.” This can include: </w:t>
      </w:r>
    </w:p>
    <w:p w14:paraId="03C31FB5" w14:textId="3726F6EF" w:rsidR="00A509BE" w:rsidRPr="000201D8" w:rsidRDefault="00A509BE" w:rsidP="00A509BE">
      <w:pPr>
        <w:rPr>
          <w:rFonts w:ascii="Calibri" w:hAnsi="Calibri" w:cs="Calibri"/>
          <w:sz w:val="16"/>
          <w:szCs w:val="16"/>
        </w:rPr>
      </w:pPr>
    </w:p>
    <w:p w14:paraId="6FA40B36" w14:textId="77777777" w:rsidR="00A509BE" w:rsidRPr="00A509BE" w:rsidRDefault="00A509BE" w:rsidP="00A509BE">
      <w:pPr>
        <w:pStyle w:val="NormalWeb"/>
        <w:numPr>
          <w:ilvl w:val="0"/>
          <w:numId w:val="11"/>
        </w:numPr>
        <w:spacing w:before="0" w:beforeAutospacing="0" w:after="0" w:afterAutospacing="0"/>
        <w:textAlignment w:val="baseline"/>
        <w:rPr>
          <w:rFonts w:ascii="Calibri" w:hAnsi="Calibri" w:cs="Calibri"/>
          <w:color w:val="000000"/>
        </w:rPr>
      </w:pPr>
      <w:r w:rsidRPr="00A509BE">
        <w:rPr>
          <w:rFonts w:ascii="Calibri" w:hAnsi="Calibri" w:cs="Calibri"/>
          <w:color w:val="000000"/>
        </w:rPr>
        <w:t xml:space="preserve">Reproducing or paraphrasing portions of someone else’s published or unpublished material, regardless of the source, and presenting these as one’s own without proper citation or reference to the original </w:t>
      </w:r>
      <w:proofErr w:type="gramStart"/>
      <w:r w:rsidRPr="00A509BE">
        <w:rPr>
          <w:rFonts w:ascii="Calibri" w:hAnsi="Calibri" w:cs="Calibri"/>
          <w:color w:val="000000"/>
        </w:rPr>
        <w:t>source;</w:t>
      </w:r>
      <w:proofErr w:type="gramEnd"/>
    </w:p>
    <w:p w14:paraId="034F1A1F" w14:textId="77777777" w:rsidR="00A509BE" w:rsidRPr="00A509BE" w:rsidRDefault="00A509BE" w:rsidP="00A509BE">
      <w:pPr>
        <w:pStyle w:val="NormalWeb"/>
        <w:numPr>
          <w:ilvl w:val="0"/>
          <w:numId w:val="11"/>
        </w:numPr>
        <w:spacing w:before="0" w:beforeAutospacing="0" w:after="0" w:afterAutospacing="0"/>
        <w:textAlignment w:val="baseline"/>
        <w:rPr>
          <w:rFonts w:ascii="Calibri" w:hAnsi="Calibri" w:cs="Calibri"/>
          <w:color w:val="000000"/>
        </w:rPr>
      </w:pPr>
      <w:r w:rsidRPr="00A509BE">
        <w:rPr>
          <w:rFonts w:ascii="Calibri" w:hAnsi="Calibri" w:cs="Calibri"/>
          <w:color w:val="000000"/>
        </w:rPr>
        <w:t>Submitting assignments prepared, in whole or in part, by someone else, including the unauthorized use of generative AI tools (</w:t>
      </w:r>
      <w:proofErr w:type="spellStart"/>
      <w:r w:rsidRPr="00A509BE">
        <w:rPr>
          <w:rFonts w:ascii="Calibri" w:hAnsi="Calibri" w:cs="Calibri"/>
          <w:color w:val="000000"/>
        </w:rPr>
        <w:t>eg</w:t>
      </w:r>
      <w:proofErr w:type="spellEnd"/>
      <w:r w:rsidRPr="00A509BE">
        <w:rPr>
          <w:rFonts w:ascii="Calibri" w:hAnsi="Calibri" w:cs="Calibri"/>
          <w:color w:val="000000"/>
        </w:rPr>
        <w:t xml:space="preserve">: ChatGPT); </w:t>
      </w:r>
      <w:r w:rsidRPr="00A509BE">
        <w:rPr>
          <w:rFonts w:ascii="Calibri" w:hAnsi="Calibri" w:cs="Calibri"/>
          <w:b/>
          <w:bCs/>
          <w:color w:val="000000"/>
        </w:rPr>
        <w:t>please note that because POLM 5007 is a foundational writing course designed to help assess and improve your skills as a writer, use of generative AI for your assignments is not authorized/</w:t>
      </w:r>
      <w:proofErr w:type="gramStart"/>
      <w:r w:rsidRPr="00A509BE">
        <w:rPr>
          <w:rFonts w:ascii="Calibri" w:hAnsi="Calibri" w:cs="Calibri"/>
          <w:b/>
          <w:bCs/>
          <w:color w:val="000000"/>
        </w:rPr>
        <w:t>allowed;</w:t>
      </w:r>
      <w:proofErr w:type="gramEnd"/>
    </w:p>
    <w:p w14:paraId="0CA9C259" w14:textId="77777777" w:rsidR="00A509BE" w:rsidRPr="00A509BE" w:rsidRDefault="00A509BE" w:rsidP="00A509BE">
      <w:pPr>
        <w:pStyle w:val="NormalWeb"/>
        <w:numPr>
          <w:ilvl w:val="0"/>
          <w:numId w:val="11"/>
        </w:numPr>
        <w:spacing w:before="0" w:beforeAutospacing="0" w:after="0" w:afterAutospacing="0"/>
        <w:textAlignment w:val="baseline"/>
        <w:rPr>
          <w:rFonts w:ascii="Calibri" w:hAnsi="Calibri" w:cs="Calibri"/>
          <w:color w:val="000000"/>
        </w:rPr>
      </w:pPr>
      <w:r w:rsidRPr="00A509BE">
        <w:rPr>
          <w:rFonts w:ascii="Calibri" w:hAnsi="Calibri" w:cs="Calibri"/>
          <w:color w:val="000000"/>
        </w:rPr>
        <w:lastRenderedPageBreak/>
        <w:t xml:space="preserve">Using ideas or direct, verbatim quotations, paraphrased material, algorithms, formulae, scientific or mathematical concepts, or ideas without appropriate acknowledgment in any academic </w:t>
      </w:r>
      <w:proofErr w:type="gramStart"/>
      <w:r w:rsidRPr="00A509BE">
        <w:rPr>
          <w:rFonts w:ascii="Calibri" w:hAnsi="Calibri" w:cs="Calibri"/>
          <w:color w:val="000000"/>
        </w:rPr>
        <w:t>assignment;</w:t>
      </w:r>
      <w:proofErr w:type="gramEnd"/>
    </w:p>
    <w:p w14:paraId="679194D1" w14:textId="77777777" w:rsidR="00A509BE" w:rsidRPr="00A509BE" w:rsidRDefault="00A509BE" w:rsidP="00A509BE">
      <w:pPr>
        <w:pStyle w:val="NormalWeb"/>
        <w:numPr>
          <w:ilvl w:val="0"/>
          <w:numId w:val="11"/>
        </w:numPr>
        <w:spacing w:before="0" w:beforeAutospacing="0" w:after="0" w:afterAutospacing="0"/>
        <w:textAlignment w:val="baseline"/>
        <w:rPr>
          <w:rFonts w:ascii="Calibri" w:hAnsi="Calibri" w:cs="Calibri"/>
          <w:color w:val="000000"/>
        </w:rPr>
      </w:pPr>
      <w:r w:rsidRPr="00A509BE">
        <w:rPr>
          <w:rFonts w:ascii="Calibri" w:hAnsi="Calibri" w:cs="Calibri"/>
          <w:color w:val="000000"/>
        </w:rPr>
        <w:t xml:space="preserve">Using another person’s data or research findings without appropriate </w:t>
      </w:r>
      <w:proofErr w:type="gramStart"/>
      <w:r w:rsidRPr="00A509BE">
        <w:rPr>
          <w:rFonts w:ascii="Calibri" w:hAnsi="Calibri" w:cs="Calibri"/>
          <w:color w:val="000000"/>
        </w:rPr>
        <w:t>acknowledgement;</w:t>
      </w:r>
      <w:proofErr w:type="gramEnd"/>
    </w:p>
    <w:p w14:paraId="57070782" w14:textId="77777777" w:rsidR="00A509BE" w:rsidRPr="00A509BE" w:rsidRDefault="00A509BE" w:rsidP="00A509BE">
      <w:pPr>
        <w:pStyle w:val="NormalWeb"/>
        <w:numPr>
          <w:ilvl w:val="0"/>
          <w:numId w:val="11"/>
        </w:numPr>
        <w:spacing w:before="0" w:beforeAutospacing="0" w:after="0" w:afterAutospacing="0"/>
        <w:textAlignment w:val="baseline"/>
        <w:rPr>
          <w:rFonts w:ascii="Calibri" w:hAnsi="Calibri" w:cs="Calibri"/>
          <w:color w:val="000000"/>
        </w:rPr>
      </w:pPr>
      <w:r w:rsidRPr="00A509BE">
        <w:rPr>
          <w:rFonts w:ascii="Calibri" w:hAnsi="Calibri" w:cs="Calibri"/>
          <w:color w:val="000000"/>
        </w:rPr>
        <w:t xml:space="preserve">Failing to acknowledge sources </w:t>
      </w:r>
      <w:proofErr w:type="gramStart"/>
      <w:r w:rsidRPr="00A509BE">
        <w:rPr>
          <w:rFonts w:ascii="Calibri" w:hAnsi="Calibri" w:cs="Calibri"/>
          <w:color w:val="000000"/>
        </w:rPr>
        <w:t>through the use of</w:t>
      </w:r>
      <w:proofErr w:type="gramEnd"/>
      <w:r w:rsidRPr="00A509BE">
        <w:rPr>
          <w:rFonts w:ascii="Calibri" w:hAnsi="Calibri" w:cs="Calibri"/>
          <w:color w:val="000000"/>
        </w:rPr>
        <w:t xml:space="preserve"> proper citations when using another person’s works and/or failing to use quotation marks.</w:t>
      </w:r>
    </w:p>
    <w:p w14:paraId="43B7DEDE" w14:textId="77777777" w:rsidR="00A509BE" w:rsidRPr="00A509BE" w:rsidRDefault="00A509BE" w:rsidP="00A509BE">
      <w:pPr>
        <w:rPr>
          <w:rFonts w:ascii="Calibri" w:hAnsi="Calibri" w:cs="Calibri"/>
        </w:rPr>
      </w:pPr>
    </w:p>
    <w:p w14:paraId="7FEDBFEA" w14:textId="77777777" w:rsidR="00A509BE" w:rsidRPr="00A509BE" w:rsidRDefault="00A509BE" w:rsidP="00A509BE">
      <w:pPr>
        <w:pStyle w:val="NormalWeb"/>
        <w:spacing w:before="0" w:beforeAutospacing="0" w:after="0" w:afterAutospacing="0"/>
        <w:rPr>
          <w:rFonts w:ascii="Calibri" w:hAnsi="Calibri" w:cs="Calibri"/>
        </w:rPr>
      </w:pPr>
      <w:r w:rsidRPr="00A509BE">
        <w:rPr>
          <w:rFonts w:ascii="Calibri" w:hAnsi="Calibri" w:cs="Calibri"/>
          <w:color w:val="000000"/>
        </w:rPr>
        <w:t>Additionally, in this course you may not hand in a completed assignment that you have previously submitted, or intend to submit, to another course (including this course, if you have taken it previously).</w:t>
      </w:r>
    </w:p>
    <w:p w14:paraId="33232494" w14:textId="5EE868F8" w:rsidR="00103838" w:rsidRPr="00A509BE" w:rsidRDefault="00A509BE" w:rsidP="00A509BE">
      <w:pPr>
        <w:shd w:val="clear" w:color="auto" w:fill="FFFFFF"/>
        <w:rPr>
          <w:rFonts w:ascii="Calibri" w:hAnsi="Calibri" w:cs="Calibri"/>
          <w:color w:val="191919"/>
          <w:lang w:eastAsia="en-CA"/>
        </w:rPr>
      </w:pPr>
      <w:r w:rsidRPr="00A509BE">
        <w:rPr>
          <w:rFonts w:ascii="Calibri" w:hAnsi="Calibri" w:cs="Calibri"/>
        </w:rPr>
        <w:br/>
      </w:r>
      <w:r w:rsidRPr="00A509BE">
        <w:rPr>
          <w:rFonts w:ascii="Calibri" w:hAnsi="Calibri" w:cs="Calibri"/>
          <w:color w:val="000000"/>
        </w:rPr>
        <w:t xml:space="preserve">You should know that plagiarism is a serious offense which cannot be resolved directly with me. If I suspect that you have submitted plagiarized work, a rigorous investigation will be launched by the Faculty Dean. The penalties for plagiarism are not </w:t>
      </w:r>
      <w:proofErr w:type="gramStart"/>
      <w:r w:rsidRPr="00A509BE">
        <w:rPr>
          <w:rFonts w:ascii="Calibri" w:hAnsi="Calibri" w:cs="Calibri"/>
          <w:color w:val="000000"/>
        </w:rPr>
        <w:t>trivial, and</w:t>
      </w:r>
      <w:proofErr w:type="gramEnd"/>
      <w:r w:rsidRPr="00A509BE">
        <w:rPr>
          <w:rFonts w:ascii="Calibri" w:hAnsi="Calibri" w:cs="Calibri"/>
          <w:color w:val="000000"/>
        </w:rPr>
        <w:t xml:space="preserve"> can include a final grade of “F” for the course. You can read more about the process and potential sanctions </w:t>
      </w:r>
      <w:hyperlink r:id="rId8" w:history="1">
        <w:r w:rsidRPr="00A509BE">
          <w:rPr>
            <w:rStyle w:val="Hyperlink"/>
            <w:rFonts w:ascii="Calibri" w:eastAsiaTheme="majorEastAsia" w:hAnsi="Calibri" w:cs="Calibri"/>
            <w:color w:val="1155CC"/>
          </w:rPr>
          <w:t>here</w:t>
        </w:r>
      </w:hyperlink>
      <w:r w:rsidRPr="00A509BE">
        <w:rPr>
          <w:rFonts w:ascii="Calibri" w:hAnsi="Calibri" w:cs="Calibri"/>
          <w:color w:val="000000"/>
        </w:rPr>
        <w:t>.</w:t>
      </w:r>
    </w:p>
    <w:p w14:paraId="1C2D10D7" w14:textId="77777777" w:rsidR="00103838" w:rsidRPr="004544C1" w:rsidRDefault="00103838" w:rsidP="004544C1">
      <w:pPr>
        <w:shd w:val="clear" w:color="auto" w:fill="FFFFFF"/>
        <w:rPr>
          <w:rFonts w:ascii="Gotham Narrow SSm B" w:hAnsi="Gotham Narrow SSm B"/>
          <w:color w:val="191919"/>
          <w:lang w:eastAsia="en-CA"/>
        </w:rPr>
      </w:pPr>
    </w:p>
    <w:p w14:paraId="65249214" w14:textId="77777777" w:rsidR="00A509BE" w:rsidRPr="00A509BE" w:rsidRDefault="004544C1" w:rsidP="00A509BE">
      <w:pPr>
        <w:pStyle w:val="NormalWeb"/>
        <w:spacing w:before="0" w:beforeAutospacing="0" w:after="0" w:afterAutospacing="0"/>
        <w:rPr>
          <w:rFonts w:ascii="Calibri" w:hAnsi="Calibri" w:cs="Calibri"/>
        </w:rPr>
      </w:pPr>
      <w:bookmarkStart w:id="0" w:name="sect4"/>
      <w:bookmarkEnd w:id="0"/>
      <w:r w:rsidRPr="004544C1">
        <w:rPr>
          <w:rFonts w:ascii="Gotham Narrow SSm B" w:hAnsi="Gotham Narrow SSm B"/>
          <w:b/>
          <w:bCs/>
          <w:color w:val="191919"/>
        </w:rPr>
        <w:t>VIII. Statement on Student Mental Health</w:t>
      </w:r>
      <w:r w:rsidR="00A509BE">
        <w:rPr>
          <w:rFonts w:ascii="Gotham Narrow SSm B" w:hAnsi="Gotham Narrow SSm B"/>
          <w:b/>
          <w:bCs/>
          <w:color w:val="191919"/>
        </w:rPr>
        <w:br/>
      </w:r>
      <w:r w:rsidR="00A509BE">
        <w:rPr>
          <w:rFonts w:ascii="Gotham Narrow SSm B" w:hAnsi="Gotham Narrow SSm B"/>
          <w:b/>
          <w:bCs/>
          <w:color w:val="191919"/>
        </w:rPr>
        <w:br/>
      </w:r>
      <w:r w:rsidR="00A509BE" w:rsidRPr="00A509BE">
        <w:rPr>
          <w:rFonts w:ascii="Calibri" w:hAnsi="Calibri" w:cs="Calibri"/>
          <w:color w:val="000000"/>
        </w:rPr>
        <w:t>As a university student you may experience a range of mental health challenges that significantly impact your academic success and overall wellbeing. If you need help, please speak to someone. There are numerous resources available both on- and off-campus to support you. Here is a list that may be helpful:</w:t>
      </w:r>
    </w:p>
    <w:p w14:paraId="4704EA86" w14:textId="77777777" w:rsidR="00A509BE" w:rsidRPr="00A509BE" w:rsidRDefault="00A509BE" w:rsidP="00A509BE">
      <w:pPr>
        <w:rPr>
          <w:rFonts w:ascii="Calibri" w:hAnsi="Calibri" w:cs="Calibri"/>
        </w:rPr>
      </w:pPr>
    </w:p>
    <w:p w14:paraId="22A5E7AE" w14:textId="77777777" w:rsidR="00A509BE" w:rsidRPr="00A509BE" w:rsidRDefault="00A509BE" w:rsidP="00A509BE">
      <w:pPr>
        <w:pStyle w:val="NormalWeb"/>
        <w:spacing w:before="0" w:beforeAutospacing="0" w:after="0" w:afterAutospacing="0"/>
        <w:rPr>
          <w:rFonts w:ascii="Calibri" w:hAnsi="Calibri" w:cs="Calibri"/>
        </w:rPr>
      </w:pPr>
      <w:r w:rsidRPr="00A509BE">
        <w:rPr>
          <w:rFonts w:ascii="Calibri" w:hAnsi="Calibri" w:cs="Calibri"/>
          <w:b/>
          <w:bCs/>
          <w:color w:val="000000"/>
        </w:rPr>
        <w:t xml:space="preserve">Emergency Resources (on and off campus): </w:t>
      </w:r>
      <w:hyperlink r:id="rId9" w:history="1">
        <w:r w:rsidRPr="00A509BE">
          <w:rPr>
            <w:rStyle w:val="Hyperlink"/>
            <w:rFonts w:ascii="Calibri" w:eastAsiaTheme="majorEastAsia" w:hAnsi="Calibri" w:cs="Calibri"/>
            <w:color w:val="1155CC"/>
          </w:rPr>
          <w:t>https://carleton.ca/health/emergencies-and-crisis/emergency-numbers/</w:t>
        </w:r>
      </w:hyperlink>
      <w:r w:rsidRPr="00A509BE">
        <w:rPr>
          <w:rFonts w:ascii="Calibri" w:hAnsi="Calibri" w:cs="Calibri"/>
          <w:color w:val="000000"/>
        </w:rPr>
        <w:t> </w:t>
      </w:r>
    </w:p>
    <w:p w14:paraId="51B5BF3F" w14:textId="77777777" w:rsidR="00A509BE" w:rsidRPr="00A509BE" w:rsidRDefault="00A509BE" w:rsidP="00A509BE">
      <w:pPr>
        <w:rPr>
          <w:rFonts w:ascii="Calibri" w:hAnsi="Calibri" w:cs="Calibri"/>
        </w:rPr>
      </w:pPr>
    </w:p>
    <w:p w14:paraId="4476C734" w14:textId="77777777" w:rsidR="00A509BE" w:rsidRPr="00A509BE" w:rsidRDefault="00A509BE" w:rsidP="00A509BE">
      <w:pPr>
        <w:pStyle w:val="NormalWeb"/>
        <w:spacing w:before="0" w:beforeAutospacing="0" w:after="0" w:afterAutospacing="0"/>
        <w:rPr>
          <w:rFonts w:ascii="Calibri" w:hAnsi="Calibri" w:cs="Calibri"/>
        </w:rPr>
      </w:pPr>
      <w:r w:rsidRPr="00A509BE">
        <w:rPr>
          <w:rFonts w:ascii="Calibri" w:hAnsi="Calibri" w:cs="Calibri"/>
          <w:b/>
          <w:bCs/>
          <w:color w:val="000000"/>
        </w:rPr>
        <w:t>Carleton Resources:</w:t>
      </w:r>
    </w:p>
    <w:p w14:paraId="1BC4DE46" w14:textId="77777777" w:rsidR="00A509BE" w:rsidRPr="00A509BE" w:rsidRDefault="00A509BE" w:rsidP="00A509BE">
      <w:pPr>
        <w:pStyle w:val="NormalWeb"/>
        <w:spacing w:before="0" w:beforeAutospacing="0" w:after="0" w:afterAutospacing="0"/>
        <w:rPr>
          <w:rFonts w:ascii="Calibri" w:hAnsi="Calibri" w:cs="Calibri"/>
        </w:rPr>
      </w:pPr>
      <w:r w:rsidRPr="00A509BE">
        <w:rPr>
          <w:rFonts w:ascii="Calibri" w:hAnsi="Calibri" w:cs="Calibri"/>
          <w:color w:val="000000"/>
        </w:rPr>
        <w:t xml:space="preserve">• Mental Health and Wellbeing: </w:t>
      </w:r>
      <w:hyperlink r:id="rId10" w:history="1">
        <w:r w:rsidRPr="00A509BE">
          <w:rPr>
            <w:rStyle w:val="Hyperlink"/>
            <w:rFonts w:ascii="Calibri" w:eastAsiaTheme="majorEastAsia" w:hAnsi="Calibri" w:cs="Calibri"/>
            <w:color w:val="1155CC"/>
          </w:rPr>
          <w:t>https://carleton.ca/wellness/</w:t>
        </w:r>
      </w:hyperlink>
      <w:r w:rsidRPr="00A509BE">
        <w:rPr>
          <w:rFonts w:ascii="Calibri" w:hAnsi="Calibri" w:cs="Calibri"/>
          <w:color w:val="000000"/>
        </w:rPr>
        <w:t> </w:t>
      </w:r>
    </w:p>
    <w:p w14:paraId="6A8FE8BC" w14:textId="77777777" w:rsidR="00A509BE" w:rsidRPr="00A509BE" w:rsidRDefault="00A509BE" w:rsidP="00A509BE">
      <w:pPr>
        <w:pStyle w:val="NormalWeb"/>
        <w:spacing w:before="0" w:beforeAutospacing="0" w:after="0" w:afterAutospacing="0"/>
        <w:rPr>
          <w:rFonts w:ascii="Calibri" w:hAnsi="Calibri" w:cs="Calibri"/>
        </w:rPr>
      </w:pPr>
      <w:r w:rsidRPr="00A509BE">
        <w:rPr>
          <w:rFonts w:ascii="Calibri" w:hAnsi="Calibri" w:cs="Calibri"/>
          <w:color w:val="000000"/>
        </w:rPr>
        <w:t xml:space="preserve">• Health &amp; Counselling Services: </w:t>
      </w:r>
      <w:hyperlink r:id="rId11" w:history="1">
        <w:r w:rsidRPr="00A509BE">
          <w:rPr>
            <w:rStyle w:val="Hyperlink"/>
            <w:rFonts w:ascii="Calibri" w:eastAsiaTheme="majorEastAsia" w:hAnsi="Calibri" w:cs="Calibri"/>
            <w:color w:val="1155CC"/>
          </w:rPr>
          <w:t>https://carleton.ca/health/</w:t>
        </w:r>
      </w:hyperlink>
      <w:r w:rsidRPr="00A509BE">
        <w:rPr>
          <w:rFonts w:ascii="Calibri" w:hAnsi="Calibri" w:cs="Calibri"/>
          <w:color w:val="000000"/>
        </w:rPr>
        <w:t> </w:t>
      </w:r>
    </w:p>
    <w:p w14:paraId="2DE0752D" w14:textId="77777777" w:rsidR="00A509BE" w:rsidRPr="00794096" w:rsidRDefault="00A509BE" w:rsidP="00A509BE">
      <w:pPr>
        <w:pStyle w:val="NormalWeb"/>
        <w:spacing w:before="0" w:beforeAutospacing="0" w:after="0" w:afterAutospacing="0"/>
        <w:rPr>
          <w:rFonts w:ascii="Calibri" w:hAnsi="Calibri" w:cs="Calibri"/>
          <w:lang w:val="fr-CA"/>
        </w:rPr>
      </w:pPr>
      <w:r w:rsidRPr="00794096">
        <w:rPr>
          <w:rFonts w:ascii="Calibri" w:hAnsi="Calibri" w:cs="Calibri"/>
          <w:color w:val="000000"/>
          <w:lang w:val="fr-CA"/>
        </w:rPr>
        <w:t xml:space="preserve">• Paul Menton Centre: </w:t>
      </w:r>
      <w:hyperlink r:id="rId12" w:history="1">
        <w:r w:rsidRPr="00794096">
          <w:rPr>
            <w:rStyle w:val="Hyperlink"/>
            <w:rFonts w:ascii="Calibri" w:eastAsiaTheme="majorEastAsia" w:hAnsi="Calibri" w:cs="Calibri"/>
            <w:color w:val="1155CC"/>
            <w:lang w:val="fr-CA"/>
          </w:rPr>
          <w:t>https://carleton.ca/pmc/</w:t>
        </w:r>
      </w:hyperlink>
      <w:r w:rsidRPr="00794096">
        <w:rPr>
          <w:rFonts w:ascii="Calibri" w:hAnsi="Calibri" w:cs="Calibri"/>
          <w:color w:val="000000"/>
          <w:lang w:val="fr-CA"/>
        </w:rPr>
        <w:t> </w:t>
      </w:r>
    </w:p>
    <w:p w14:paraId="16FC0303" w14:textId="77777777" w:rsidR="00A509BE" w:rsidRPr="00A509BE" w:rsidRDefault="00A509BE" w:rsidP="00A509BE">
      <w:pPr>
        <w:pStyle w:val="NormalWeb"/>
        <w:spacing w:before="0" w:beforeAutospacing="0" w:after="0" w:afterAutospacing="0"/>
        <w:rPr>
          <w:rFonts w:ascii="Calibri" w:hAnsi="Calibri" w:cs="Calibri"/>
        </w:rPr>
      </w:pPr>
      <w:r w:rsidRPr="00A509BE">
        <w:rPr>
          <w:rFonts w:ascii="Calibri" w:hAnsi="Calibri" w:cs="Calibri"/>
          <w:color w:val="000000"/>
        </w:rPr>
        <w:t xml:space="preserve">• Academic Advising Centre (AAC): </w:t>
      </w:r>
      <w:hyperlink r:id="rId13" w:history="1">
        <w:r w:rsidRPr="00A509BE">
          <w:rPr>
            <w:rStyle w:val="Hyperlink"/>
            <w:rFonts w:ascii="Calibri" w:eastAsiaTheme="majorEastAsia" w:hAnsi="Calibri" w:cs="Calibri"/>
            <w:color w:val="1155CC"/>
          </w:rPr>
          <w:t>https://carleton.ca/academicadvising/</w:t>
        </w:r>
      </w:hyperlink>
      <w:r w:rsidRPr="00A509BE">
        <w:rPr>
          <w:rFonts w:ascii="Calibri" w:hAnsi="Calibri" w:cs="Calibri"/>
          <w:color w:val="000000"/>
        </w:rPr>
        <w:t> </w:t>
      </w:r>
    </w:p>
    <w:p w14:paraId="5D0C3E63" w14:textId="77777777" w:rsidR="00A509BE" w:rsidRPr="00A509BE" w:rsidRDefault="00A509BE" w:rsidP="00A509BE">
      <w:pPr>
        <w:pStyle w:val="NormalWeb"/>
        <w:spacing w:before="0" w:beforeAutospacing="0" w:after="0" w:afterAutospacing="0"/>
        <w:rPr>
          <w:rFonts w:ascii="Calibri" w:hAnsi="Calibri" w:cs="Calibri"/>
        </w:rPr>
      </w:pPr>
      <w:r w:rsidRPr="00A509BE">
        <w:rPr>
          <w:rFonts w:ascii="Calibri" w:hAnsi="Calibri" w:cs="Calibri"/>
          <w:color w:val="000000"/>
        </w:rPr>
        <w:t xml:space="preserve">• Centre for Student Academic Support (CSAS): </w:t>
      </w:r>
      <w:hyperlink r:id="rId14" w:history="1">
        <w:r w:rsidRPr="00A509BE">
          <w:rPr>
            <w:rStyle w:val="Hyperlink"/>
            <w:rFonts w:ascii="Calibri" w:eastAsiaTheme="majorEastAsia" w:hAnsi="Calibri" w:cs="Calibri"/>
            <w:color w:val="1155CC"/>
          </w:rPr>
          <w:t>https://carleton.ca/csas/</w:t>
        </w:r>
      </w:hyperlink>
      <w:r w:rsidRPr="00A509BE">
        <w:rPr>
          <w:rFonts w:ascii="Calibri" w:hAnsi="Calibri" w:cs="Calibri"/>
          <w:color w:val="000000"/>
        </w:rPr>
        <w:t> </w:t>
      </w:r>
    </w:p>
    <w:p w14:paraId="39C253ED" w14:textId="77777777" w:rsidR="00A509BE" w:rsidRPr="00A509BE" w:rsidRDefault="00A509BE" w:rsidP="00A509BE">
      <w:pPr>
        <w:pStyle w:val="NormalWeb"/>
        <w:spacing w:before="0" w:beforeAutospacing="0" w:after="0" w:afterAutospacing="0"/>
        <w:rPr>
          <w:rFonts w:ascii="Calibri" w:hAnsi="Calibri" w:cs="Calibri"/>
        </w:rPr>
      </w:pPr>
      <w:r w:rsidRPr="00A509BE">
        <w:rPr>
          <w:rFonts w:ascii="Calibri" w:hAnsi="Calibri" w:cs="Calibri"/>
          <w:color w:val="000000"/>
        </w:rPr>
        <w:t xml:space="preserve">• Equity &amp; Inclusivity Communities: </w:t>
      </w:r>
      <w:hyperlink r:id="rId15" w:history="1">
        <w:r w:rsidRPr="00A509BE">
          <w:rPr>
            <w:rStyle w:val="Hyperlink"/>
            <w:rFonts w:ascii="Calibri" w:eastAsiaTheme="majorEastAsia" w:hAnsi="Calibri" w:cs="Calibri"/>
            <w:color w:val="1155CC"/>
          </w:rPr>
          <w:t>https://carleton.ca/equity/</w:t>
        </w:r>
      </w:hyperlink>
      <w:r w:rsidRPr="00A509BE">
        <w:rPr>
          <w:rFonts w:ascii="Calibri" w:hAnsi="Calibri" w:cs="Calibri"/>
          <w:color w:val="000000"/>
        </w:rPr>
        <w:t> </w:t>
      </w:r>
    </w:p>
    <w:p w14:paraId="6F1A7D84" w14:textId="77777777" w:rsidR="00A509BE" w:rsidRPr="00A509BE" w:rsidRDefault="00A509BE" w:rsidP="00A509BE">
      <w:pPr>
        <w:rPr>
          <w:rFonts w:ascii="Calibri" w:hAnsi="Calibri" w:cs="Calibri"/>
        </w:rPr>
      </w:pPr>
    </w:p>
    <w:p w14:paraId="664E29A9" w14:textId="77777777" w:rsidR="00A509BE" w:rsidRPr="00A509BE" w:rsidRDefault="00A509BE" w:rsidP="00A509BE">
      <w:pPr>
        <w:pStyle w:val="NormalWeb"/>
        <w:spacing w:before="0" w:beforeAutospacing="0" w:after="0" w:afterAutospacing="0"/>
        <w:rPr>
          <w:rFonts w:ascii="Calibri" w:hAnsi="Calibri" w:cs="Calibri"/>
        </w:rPr>
      </w:pPr>
      <w:r w:rsidRPr="00A509BE">
        <w:rPr>
          <w:rFonts w:ascii="Calibri" w:hAnsi="Calibri" w:cs="Calibri"/>
          <w:b/>
          <w:bCs/>
          <w:color w:val="000000"/>
        </w:rPr>
        <w:t>Off Campus Resources:</w:t>
      </w:r>
    </w:p>
    <w:p w14:paraId="5FA12A36" w14:textId="77777777" w:rsidR="00A509BE" w:rsidRPr="00A509BE" w:rsidRDefault="00A509BE" w:rsidP="00A509BE">
      <w:pPr>
        <w:pStyle w:val="NormalWeb"/>
        <w:spacing w:before="0" w:beforeAutospacing="0" w:after="0" w:afterAutospacing="0"/>
        <w:rPr>
          <w:rFonts w:ascii="Calibri" w:hAnsi="Calibri" w:cs="Calibri"/>
        </w:rPr>
      </w:pPr>
      <w:r w:rsidRPr="00A509BE">
        <w:rPr>
          <w:rFonts w:ascii="Calibri" w:hAnsi="Calibri" w:cs="Calibri"/>
          <w:color w:val="000000"/>
        </w:rPr>
        <w:t xml:space="preserve">• Distress Centre of Ottawa and Region: (613) 238-3311 or TEXT: 343-306-5550, </w:t>
      </w:r>
      <w:hyperlink r:id="rId16" w:history="1">
        <w:r w:rsidRPr="00A509BE">
          <w:rPr>
            <w:rStyle w:val="Hyperlink"/>
            <w:rFonts w:ascii="Calibri" w:eastAsiaTheme="majorEastAsia" w:hAnsi="Calibri" w:cs="Calibri"/>
            <w:color w:val="1155CC"/>
          </w:rPr>
          <w:t>https://www.dcottawa.on.ca/</w:t>
        </w:r>
      </w:hyperlink>
      <w:r w:rsidRPr="00A509BE">
        <w:rPr>
          <w:rFonts w:ascii="Calibri" w:hAnsi="Calibri" w:cs="Calibri"/>
          <w:color w:val="000000"/>
        </w:rPr>
        <w:t> </w:t>
      </w:r>
    </w:p>
    <w:p w14:paraId="44DD3016" w14:textId="77777777" w:rsidR="00A509BE" w:rsidRPr="00A509BE" w:rsidRDefault="00A509BE" w:rsidP="00A509BE">
      <w:pPr>
        <w:pStyle w:val="NormalWeb"/>
        <w:spacing w:before="0" w:beforeAutospacing="0" w:after="0" w:afterAutospacing="0"/>
        <w:rPr>
          <w:rFonts w:ascii="Calibri" w:hAnsi="Calibri" w:cs="Calibri"/>
        </w:rPr>
      </w:pPr>
      <w:r w:rsidRPr="00A509BE">
        <w:rPr>
          <w:rFonts w:ascii="Calibri" w:hAnsi="Calibri" w:cs="Calibri"/>
          <w:color w:val="000000"/>
        </w:rPr>
        <w:t xml:space="preserve">• Mental Health Crisis Service: (613) 722-6914, 1-866-996-0991, </w:t>
      </w:r>
      <w:hyperlink r:id="rId17" w:history="1">
        <w:r w:rsidRPr="00A509BE">
          <w:rPr>
            <w:rStyle w:val="Hyperlink"/>
            <w:rFonts w:ascii="Calibri" w:eastAsiaTheme="majorEastAsia" w:hAnsi="Calibri" w:cs="Calibri"/>
            <w:color w:val="1155CC"/>
          </w:rPr>
          <w:t>http://www.crisisline.ca/</w:t>
        </w:r>
      </w:hyperlink>
      <w:r w:rsidRPr="00A509BE">
        <w:rPr>
          <w:rFonts w:ascii="Calibri" w:hAnsi="Calibri" w:cs="Calibri"/>
          <w:color w:val="000000"/>
        </w:rPr>
        <w:t> </w:t>
      </w:r>
    </w:p>
    <w:p w14:paraId="748A86FE" w14:textId="77777777" w:rsidR="00A509BE" w:rsidRPr="00A509BE" w:rsidRDefault="00A509BE" w:rsidP="00A509BE">
      <w:pPr>
        <w:pStyle w:val="NormalWeb"/>
        <w:spacing w:before="0" w:beforeAutospacing="0" w:after="0" w:afterAutospacing="0"/>
        <w:rPr>
          <w:rFonts w:ascii="Calibri" w:hAnsi="Calibri" w:cs="Calibri"/>
        </w:rPr>
      </w:pPr>
      <w:r w:rsidRPr="00A509BE">
        <w:rPr>
          <w:rFonts w:ascii="Calibri" w:hAnsi="Calibri" w:cs="Calibri"/>
          <w:color w:val="000000"/>
        </w:rPr>
        <w:t xml:space="preserve">• Empower Me: 1-844-741-6389, </w:t>
      </w:r>
      <w:hyperlink r:id="rId18" w:history="1">
        <w:r w:rsidRPr="00A509BE">
          <w:rPr>
            <w:rStyle w:val="Hyperlink"/>
            <w:rFonts w:ascii="Calibri" w:eastAsiaTheme="majorEastAsia" w:hAnsi="Calibri" w:cs="Calibri"/>
            <w:color w:val="1155CC"/>
          </w:rPr>
          <w:t>https://students.carleton.ca/services/empower-me-counselling-services/</w:t>
        </w:r>
      </w:hyperlink>
      <w:r w:rsidRPr="00A509BE">
        <w:rPr>
          <w:rFonts w:ascii="Calibri" w:hAnsi="Calibri" w:cs="Calibri"/>
          <w:color w:val="000000"/>
        </w:rPr>
        <w:t> </w:t>
      </w:r>
    </w:p>
    <w:p w14:paraId="0169B7A9" w14:textId="77777777" w:rsidR="00A509BE" w:rsidRPr="00A509BE" w:rsidRDefault="00A509BE" w:rsidP="00A509BE">
      <w:pPr>
        <w:pStyle w:val="NormalWeb"/>
        <w:spacing w:before="0" w:beforeAutospacing="0" w:after="0" w:afterAutospacing="0"/>
        <w:rPr>
          <w:rFonts w:ascii="Calibri" w:hAnsi="Calibri" w:cs="Calibri"/>
        </w:rPr>
      </w:pPr>
      <w:r w:rsidRPr="00A509BE">
        <w:rPr>
          <w:rFonts w:ascii="Calibri" w:hAnsi="Calibri" w:cs="Calibri"/>
          <w:color w:val="000000"/>
        </w:rPr>
        <w:t xml:space="preserve">• Good2Talk: 1-866-925-5454, </w:t>
      </w:r>
      <w:hyperlink r:id="rId19" w:history="1">
        <w:r w:rsidRPr="00A509BE">
          <w:rPr>
            <w:rStyle w:val="Hyperlink"/>
            <w:rFonts w:ascii="Calibri" w:eastAsiaTheme="majorEastAsia" w:hAnsi="Calibri" w:cs="Calibri"/>
            <w:color w:val="1155CC"/>
          </w:rPr>
          <w:t>https://good2talk.ca/</w:t>
        </w:r>
      </w:hyperlink>
      <w:r w:rsidRPr="00A509BE">
        <w:rPr>
          <w:rFonts w:ascii="Calibri" w:hAnsi="Calibri" w:cs="Calibri"/>
          <w:color w:val="000000"/>
        </w:rPr>
        <w:t> </w:t>
      </w:r>
    </w:p>
    <w:p w14:paraId="4FB78BC3" w14:textId="77777777" w:rsidR="00A509BE" w:rsidRPr="00A509BE" w:rsidRDefault="00A509BE" w:rsidP="00A509BE">
      <w:pPr>
        <w:pStyle w:val="NormalWeb"/>
        <w:spacing w:before="0" w:beforeAutospacing="0" w:after="0" w:afterAutospacing="0"/>
        <w:rPr>
          <w:rFonts w:ascii="Calibri" w:hAnsi="Calibri" w:cs="Calibri"/>
        </w:rPr>
      </w:pPr>
      <w:r w:rsidRPr="00A509BE">
        <w:rPr>
          <w:rFonts w:ascii="Calibri" w:hAnsi="Calibri" w:cs="Calibri"/>
          <w:color w:val="000000"/>
        </w:rPr>
        <w:t xml:space="preserve">• The Walk-In Counselling Clinic: </w:t>
      </w:r>
      <w:hyperlink r:id="rId20" w:history="1">
        <w:r w:rsidRPr="00A509BE">
          <w:rPr>
            <w:rStyle w:val="Hyperlink"/>
            <w:rFonts w:ascii="Calibri" w:eastAsiaTheme="majorEastAsia" w:hAnsi="Calibri" w:cs="Calibri"/>
            <w:color w:val="1155CC"/>
          </w:rPr>
          <w:t>https://walkincounselling.com</w:t>
        </w:r>
      </w:hyperlink>
      <w:r w:rsidRPr="00A509BE">
        <w:rPr>
          <w:rFonts w:ascii="Calibri" w:hAnsi="Calibri" w:cs="Calibri"/>
          <w:color w:val="000000"/>
        </w:rPr>
        <w:t> </w:t>
      </w:r>
    </w:p>
    <w:p w14:paraId="0880B89A" w14:textId="77777777" w:rsidR="000201D8" w:rsidRDefault="000201D8">
      <w:pPr>
        <w:spacing w:after="160" w:line="259" w:lineRule="auto"/>
        <w:rPr>
          <w:rFonts w:ascii="Calibri" w:hAnsi="Calibri" w:cs="Calibri"/>
          <w:b/>
          <w:bCs/>
          <w:color w:val="000000"/>
          <w:u w:val="single"/>
          <w:lang w:eastAsia="en-CA"/>
        </w:rPr>
      </w:pPr>
      <w:r>
        <w:rPr>
          <w:rFonts w:ascii="Calibri" w:hAnsi="Calibri" w:cs="Calibri"/>
          <w:b/>
          <w:bCs/>
          <w:color w:val="000000"/>
          <w:u w:val="single"/>
        </w:rPr>
        <w:br w:type="page"/>
      </w:r>
    </w:p>
    <w:p w14:paraId="047ACD00" w14:textId="74414F00" w:rsidR="00A509BE" w:rsidRPr="00A509BE" w:rsidRDefault="00A509BE" w:rsidP="00A509BE">
      <w:pPr>
        <w:pStyle w:val="NormalWeb"/>
        <w:spacing w:before="0" w:beforeAutospacing="0" w:after="0" w:afterAutospacing="0"/>
        <w:rPr>
          <w:rFonts w:ascii="Calibri" w:hAnsi="Calibri" w:cs="Calibri"/>
        </w:rPr>
      </w:pPr>
      <w:r w:rsidRPr="00A509BE">
        <w:rPr>
          <w:rFonts w:ascii="Calibri" w:hAnsi="Calibri" w:cs="Calibri"/>
          <w:b/>
          <w:bCs/>
          <w:color w:val="000000"/>
          <w:u w:val="single"/>
        </w:rPr>
        <w:lastRenderedPageBreak/>
        <w:t>Academic Accommodations</w:t>
      </w:r>
    </w:p>
    <w:p w14:paraId="761723EE" w14:textId="77777777" w:rsidR="00A509BE" w:rsidRPr="00A509BE" w:rsidRDefault="00A509BE" w:rsidP="00A509BE">
      <w:pPr>
        <w:pStyle w:val="NormalWeb"/>
        <w:spacing w:before="0" w:beforeAutospacing="0" w:after="0" w:afterAutospacing="0"/>
        <w:rPr>
          <w:rFonts w:ascii="Calibri" w:hAnsi="Calibri" w:cs="Calibri"/>
        </w:rPr>
      </w:pPr>
      <w:r w:rsidRPr="00A509BE">
        <w:rPr>
          <w:rFonts w:ascii="Calibri" w:hAnsi="Calibri" w:cs="Calibri"/>
          <w:b/>
          <w:bCs/>
          <w:color w:val="000000"/>
        </w:rPr>
        <w:t> </w:t>
      </w:r>
    </w:p>
    <w:p w14:paraId="70CA64BC" w14:textId="77777777" w:rsidR="00A509BE" w:rsidRPr="00A509BE" w:rsidRDefault="00A509BE" w:rsidP="00A509BE">
      <w:pPr>
        <w:pStyle w:val="NormalWeb"/>
        <w:spacing w:before="0" w:beforeAutospacing="0" w:after="0" w:afterAutospacing="0"/>
        <w:rPr>
          <w:rFonts w:ascii="Calibri" w:hAnsi="Calibri" w:cs="Calibri"/>
        </w:rPr>
      </w:pPr>
      <w:r w:rsidRPr="00A509BE">
        <w:rPr>
          <w:rFonts w:ascii="Calibri" w:hAnsi="Calibri" w:cs="Calibri"/>
          <w:color w:val="000000"/>
        </w:rPr>
        <w:t>You may need special arrangements to meet your academic obligations in this class. For an accommodation request, the processes are as follows:</w:t>
      </w:r>
    </w:p>
    <w:p w14:paraId="1F876321" w14:textId="77777777" w:rsidR="00A509BE" w:rsidRPr="00A509BE" w:rsidRDefault="00A509BE" w:rsidP="00A509BE">
      <w:pPr>
        <w:rPr>
          <w:rFonts w:ascii="Calibri" w:hAnsi="Calibri" w:cs="Calibri"/>
        </w:rPr>
      </w:pPr>
    </w:p>
    <w:p w14:paraId="27F2B2F2" w14:textId="77777777" w:rsidR="00A509BE" w:rsidRPr="00A509BE" w:rsidRDefault="00A509BE" w:rsidP="00A509BE">
      <w:pPr>
        <w:pStyle w:val="NormalWeb"/>
        <w:spacing w:before="0" w:beforeAutospacing="0" w:after="0" w:afterAutospacing="0"/>
        <w:rPr>
          <w:rFonts w:ascii="Calibri" w:hAnsi="Calibri" w:cs="Calibri"/>
        </w:rPr>
      </w:pPr>
      <w:r w:rsidRPr="00A509BE">
        <w:rPr>
          <w:rFonts w:ascii="Calibri" w:hAnsi="Calibri" w:cs="Calibri"/>
          <w:b/>
          <w:bCs/>
          <w:color w:val="000000"/>
        </w:rPr>
        <w:t xml:space="preserve">Students with Disabilities: </w:t>
      </w:r>
      <w:r w:rsidRPr="00A509BE">
        <w:rPr>
          <w:rFonts w:ascii="Calibri" w:hAnsi="Calibri" w:cs="Calibri"/>
          <w:color w:val="000000"/>
        </w:rPr>
        <w:t xml:space="preserve">The Paul Menton Centre for Students with Disabilities (PMC) provides services to students with learning disabilities, psychiatric/mental health disabilities, attention deficit hyperactivity disorder, autism spectrum disorders, chronic medical conditions, and impairments in mobility, hearing, and vision. If you have a disability requiring academic accommodations in this course, please contact PMC at 613-520-6608 or </w:t>
      </w:r>
      <w:hyperlink r:id="rId21" w:history="1">
        <w:r w:rsidRPr="00A509BE">
          <w:rPr>
            <w:rStyle w:val="Hyperlink"/>
            <w:rFonts w:ascii="Calibri" w:eastAsiaTheme="majorEastAsia" w:hAnsi="Calibri" w:cs="Calibri"/>
            <w:color w:val="1155CC"/>
          </w:rPr>
          <w:t>pmc@carleton.ca</w:t>
        </w:r>
      </w:hyperlink>
      <w:r w:rsidRPr="00A509BE">
        <w:rPr>
          <w:rFonts w:ascii="Calibri" w:hAnsi="Calibri" w:cs="Calibri"/>
          <w:color w:val="000000"/>
        </w:rPr>
        <w:t xml:space="preserve"> for a formal evaluation. If you are already registered with the PMC, contact your PMC coordinator to send me your letter of accommodation at the beginning of the term, and no later than two weeks before the first in-class scheduled test or exam requiring accommodation (if applicable). After the request for accommodation has been made, please also schedule a time to meet with me, so that we can make sure that the accommodations you need are in place.</w:t>
      </w:r>
      <w:r w:rsidRPr="00A509BE">
        <w:rPr>
          <w:rFonts w:ascii="Calibri" w:hAnsi="Calibri" w:cs="Calibri"/>
          <w:color w:val="000000"/>
        </w:rPr>
        <w:br/>
      </w:r>
      <w:r w:rsidRPr="00A509BE">
        <w:rPr>
          <w:rFonts w:ascii="Calibri" w:hAnsi="Calibri" w:cs="Calibri"/>
          <w:color w:val="000000"/>
        </w:rPr>
        <w:br/>
      </w:r>
      <w:r w:rsidRPr="00A509BE">
        <w:rPr>
          <w:rFonts w:ascii="Calibri" w:hAnsi="Calibri" w:cs="Calibri"/>
          <w:b/>
          <w:bCs/>
          <w:color w:val="000000"/>
        </w:rPr>
        <w:t xml:space="preserve">Pregnancy or Religious Observation: </w:t>
      </w:r>
      <w:r w:rsidRPr="00A509BE">
        <w:rPr>
          <w:rFonts w:ascii="Calibri" w:hAnsi="Calibri" w:cs="Calibri"/>
          <w:color w:val="000000"/>
        </w:rPr>
        <w:t>As soon as you are aware that accommodation for these reasons may be needed, please contact me directly via email. We will work together to find a way for you to satisfy your course requirements in a way that does not disadvantage you academically.  </w:t>
      </w:r>
    </w:p>
    <w:p w14:paraId="24C7AC1B" w14:textId="77777777" w:rsidR="00A509BE" w:rsidRPr="00A509BE" w:rsidRDefault="00A509BE" w:rsidP="00A509BE">
      <w:pPr>
        <w:rPr>
          <w:rFonts w:ascii="Calibri" w:hAnsi="Calibri" w:cs="Calibri"/>
        </w:rPr>
      </w:pPr>
    </w:p>
    <w:p w14:paraId="1B225882" w14:textId="77777777" w:rsidR="00A509BE" w:rsidRPr="00A509BE" w:rsidRDefault="00A509BE" w:rsidP="00A509BE">
      <w:pPr>
        <w:pStyle w:val="NormalWeb"/>
        <w:spacing w:before="0" w:beforeAutospacing="0" w:after="0" w:afterAutospacing="0"/>
        <w:rPr>
          <w:rFonts w:ascii="Calibri" w:hAnsi="Calibri" w:cs="Calibri"/>
        </w:rPr>
      </w:pPr>
      <w:r w:rsidRPr="00A509BE">
        <w:rPr>
          <w:rFonts w:ascii="Calibri" w:hAnsi="Calibri" w:cs="Calibri"/>
          <w:b/>
          <w:bCs/>
          <w:color w:val="000000"/>
        </w:rPr>
        <w:t xml:space="preserve">Survivors of Sexual Violence: </w:t>
      </w:r>
      <w:r w:rsidRPr="00A509BE">
        <w:rPr>
          <w:rFonts w:ascii="Calibri" w:hAnsi="Calibri" w:cs="Calibri"/>
          <w:color w:val="000000"/>
        </w:rPr>
        <w:t xml:space="preserve">As a community, Carleton University is committed to maintaining a positive learning, working and living environment where sexual violence will not be tolerated, and where survivors are supported through academic accommodations as per Carleton’s Sexual Violence Policy. For more information about the services available at the university and to obtain information about sexual violence and/or support, visit: </w:t>
      </w:r>
      <w:hyperlink r:id="rId22" w:history="1">
        <w:r w:rsidRPr="00A509BE">
          <w:rPr>
            <w:rStyle w:val="Hyperlink"/>
            <w:rFonts w:ascii="Calibri" w:eastAsiaTheme="majorEastAsia" w:hAnsi="Calibri" w:cs="Calibri"/>
            <w:color w:val="1155CC"/>
          </w:rPr>
          <w:t>https://carleton.ca/equity/sexual-assault-support-services</w:t>
        </w:r>
      </w:hyperlink>
      <w:r w:rsidRPr="00A509BE">
        <w:rPr>
          <w:rFonts w:ascii="Calibri" w:hAnsi="Calibri" w:cs="Calibri"/>
          <w:color w:val="000000"/>
        </w:rPr>
        <w:t> </w:t>
      </w:r>
    </w:p>
    <w:p w14:paraId="0FAA3EC2" w14:textId="77777777" w:rsidR="00A509BE" w:rsidRPr="00A509BE" w:rsidRDefault="00A509BE" w:rsidP="00A509BE">
      <w:pPr>
        <w:rPr>
          <w:rFonts w:ascii="Calibri" w:hAnsi="Calibri" w:cs="Calibri"/>
        </w:rPr>
      </w:pPr>
    </w:p>
    <w:p w14:paraId="11364F8D" w14:textId="77777777" w:rsidR="00A509BE" w:rsidRPr="00A509BE" w:rsidRDefault="00A509BE" w:rsidP="00A509BE">
      <w:pPr>
        <w:pStyle w:val="NormalWeb"/>
        <w:spacing w:before="0" w:beforeAutospacing="0" w:after="0" w:afterAutospacing="0"/>
        <w:rPr>
          <w:rFonts w:ascii="Calibri" w:hAnsi="Calibri" w:cs="Calibri"/>
        </w:rPr>
      </w:pPr>
      <w:r w:rsidRPr="00A509BE">
        <w:rPr>
          <w:rFonts w:ascii="Calibri" w:hAnsi="Calibri" w:cs="Calibri"/>
          <w:b/>
          <w:bCs/>
          <w:color w:val="000000"/>
        </w:rPr>
        <w:t xml:space="preserve">Student Activities: </w:t>
      </w:r>
      <w:r w:rsidRPr="00A509BE">
        <w:rPr>
          <w:rFonts w:ascii="Calibri" w:hAnsi="Calibri" w:cs="Calibri"/>
          <w:color w:val="000000"/>
        </w:rPr>
        <w:t>Carleton University recognizes the substantial benefits, both to the individual student and for the university, that result from a student participating in activities beyond the classroom experience. Reasonable accommodation will be provided to students who compete or perform at the national or international level. Write to me with any requests for academic accommodation during the first two weeks of class, or as soon as possible after the need for accommodation is known to exist. </w:t>
      </w:r>
    </w:p>
    <w:p w14:paraId="6B969B1A" w14:textId="77777777" w:rsidR="00A509BE" w:rsidRPr="00A509BE" w:rsidRDefault="00A509BE" w:rsidP="00A509BE">
      <w:pPr>
        <w:rPr>
          <w:rFonts w:ascii="Calibri" w:hAnsi="Calibri" w:cs="Calibri"/>
        </w:rPr>
      </w:pPr>
    </w:p>
    <w:p w14:paraId="35793057" w14:textId="0BC92E35" w:rsidR="004544C1" w:rsidRPr="00A509BE" w:rsidRDefault="004544C1" w:rsidP="00A509BE">
      <w:pPr>
        <w:shd w:val="clear" w:color="auto" w:fill="FFFFFF"/>
        <w:rPr>
          <w:rFonts w:ascii="Calibri" w:hAnsi="Calibri" w:cs="Calibri"/>
          <w:color w:val="191919"/>
          <w:lang w:eastAsia="en-CA"/>
        </w:rPr>
      </w:pPr>
    </w:p>
    <w:p w14:paraId="38001619" w14:textId="77777777" w:rsidR="00C37AAF" w:rsidRDefault="00C37AAF"/>
    <w:sectPr w:rsidR="00C37AAF" w:rsidSect="00BB200E">
      <w:footerReference w:type="even" r:id="rId23"/>
      <w:footerReference w:type="default" r:id="rId24"/>
      <w:pgSz w:w="12240" w:h="15840"/>
      <w:pgMar w:top="1440" w:right="1361" w:bottom="130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026927" w14:textId="77777777" w:rsidR="004321D2" w:rsidRDefault="004321D2" w:rsidP="00BB200E">
      <w:r>
        <w:separator/>
      </w:r>
    </w:p>
  </w:endnote>
  <w:endnote w:type="continuationSeparator" w:id="0">
    <w:p w14:paraId="4E93DD17" w14:textId="77777777" w:rsidR="004321D2" w:rsidRDefault="004321D2" w:rsidP="00BB2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otham Narrow SSm B">
    <w:altName w:val="Tahom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51484972"/>
      <w:docPartObj>
        <w:docPartGallery w:val="Page Numbers (Bottom of Page)"/>
        <w:docPartUnique/>
      </w:docPartObj>
    </w:sdtPr>
    <w:sdtEndPr>
      <w:rPr>
        <w:rStyle w:val="PageNumber"/>
      </w:rPr>
    </w:sdtEndPr>
    <w:sdtContent>
      <w:p w14:paraId="0057E9C3" w14:textId="32D73F96" w:rsidR="00BB200E" w:rsidRDefault="00BB200E" w:rsidP="006E18B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762AE1" w14:textId="77777777" w:rsidR="00BB200E" w:rsidRDefault="00BB200E" w:rsidP="00BB20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09091648"/>
      <w:docPartObj>
        <w:docPartGallery w:val="Page Numbers (Bottom of Page)"/>
        <w:docPartUnique/>
      </w:docPartObj>
    </w:sdtPr>
    <w:sdtEndPr>
      <w:rPr>
        <w:rStyle w:val="PageNumber"/>
        <w:rFonts w:ascii="Calibri" w:hAnsi="Calibri" w:cs="Calibri"/>
      </w:rPr>
    </w:sdtEndPr>
    <w:sdtContent>
      <w:p w14:paraId="30A40F0E" w14:textId="08E4E151" w:rsidR="00BB200E" w:rsidRPr="00BB200E" w:rsidRDefault="00BB200E" w:rsidP="006E18BD">
        <w:pPr>
          <w:pStyle w:val="Footer"/>
          <w:framePr w:wrap="none" w:vAnchor="text" w:hAnchor="margin" w:xAlign="right" w:y="1"/>
          <w:rPr>
            <w:rStyle w:val="PageNumber"/>
            <w:rFonts w:ascii="Calibri" w:hAnsi="Calibri" w:cs="Calibri"/>
          </w:rPr>
        </w:pPr>
        <w:r w:rsidRPr="00BB200E">
          <w:rPr>
            <w:rStyle w:val="PageNumber"/>
            <w:rFonts w:ascii="Calibri" w:hAnsi="Calibri" w:cs="Calibri"/>
          </w:rPr>
          <w:fldChar w:fldCharType="begin"/>
        </w:r>
        <w:r w:rsidRPr="00BB200E">
          <w:rPr>
            <w:rStyle w:val="PageNumber"/>
            <w:rFonts w:ascii="Calibri" w:hAnsi="Calibri" w:cs="Calibri"/>
          </w:rPr>
          <w:instrText xml:space="preserve"> PAGE </w:instrText>
        </w:r>
        <w:r w:rsidRPr="00BB200E">
          <w:rPr>
            <w:rStyle w:val="PageNumber"/>
            <w:rFonts w:ascii="Calibri" w:hAnsi="Calibri" w:cs="Calibri"/>
          </w:rPr>
          <w:fldChar w:fldCharType="separate"/>
        </w:r>
        <w:r w:rsidRPr="00BB200E">
          <w:rPr>
            <w:rStyle w:val="PageNumber"/>
            <w:rFonts w:ascii="Calibri" w:hAnsi="Calibri" w:cs="Calibri"/>
            <w:noProof/>
          </w:rPr>
          <w:t>1</w:t>
        </w:r>
        <w:r w:rsidRPr="00BB200E">
          <w:rPr>
            <w:rStyle w:val="PageNumber"/>
            <w:rFonts w:ascii="Calibri" w:hAnsi="Calibri" w:cs="Calibri"/>
          </w:rPr>
          <w:fldChar w:fldCharType="end"/>
        </w:r>
      </w:p>
    </w:sdtContent>
  </w:sdt>
  <w:p w14:paraId="09BCF232" w14:textId="77777777" w:rsidR="00BB200E" w:rsidRDefault="00BB200E" w:rsidP="00BB200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5FAD46" w14:textId="77777777" w:rsidR="004321D2" w:rsidRDefault="004321D2" w:rsidP="00BB200E">
      <w:r>
        <w:separator/>
      </w:r>
    </w:p>
  </w:footnote>
  <w:footnote w:type="continuationSeparator" w:id="0">
    <w:p w14:paraId="19E6B4AD" w14:textId="77777777" w:rsidR="004321D2" w:rsidRDefault="004321D2" w:rsidP="00BB20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54EA7"/>
    <w:multiLevelType w:val="multilevel"/>
    <w:tmpl w:val="56FA4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D94915"/>
    <w:multiLevelType w:val="multilevel"/>
    <w:tmpl w:val="D91A7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0D67D0"/>
    <w:multiLevelType w:val="multilevel"/>
    <w:tmpl w:val="CD56E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D870C0"/>
    <w:multiLevelType w:val="multilevel"/>
    <w:tmpl w:val="7B0E3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EA05BA"/>
    <w:multiLevelType w:val="multilevel"/>
    <w:tmpl w:val="C9380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553B4A"/>
    <w:multiLevelType w:val="multilevel"/>
    <w:tmpl w:val="8BB4D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FA7CAB"/>
    <w:multiLevelType w:val="multilevel"/>
    <w:tmpl w:val="E5187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B2010B"/>
    <w:multiLevelType w:val="multilevel"/>
    <w:tmpl w:val="660E9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940A9"/>
    <w:multiLevelType w:val="multilevel"/>
    <w:tmpl w:val="C02E2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A70367"/>
    <w:multiLevelType w:val="multilevel"/>
    <w:tmpl w:val="72EE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443E72"/>
    <w:multiLevelType w:val="multilevel"/>
    <w:tmpl w:val="9AF67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5961334">
    <w:abstractNumId w:val="10"/>
  </w:num>
  <w:num w:numId="2" w16cid:durableId="1576086023">
    <w:abstractNumId w:val="8"/>
  </w:num>
  <w:num w:numId="3" w16cid:durableId="1250387889">
    <w:abstractNumId w:val="1"/>
  </w:num>
  <w:num w:numId="4" w16cid:durableId="314993607">
    <w:abstractNumId w:val="4"/>
  </w:num>
  <w:num w:numId="5" w16cid:durableId="1286695224">
    <w:abstractNumId w:val="3"/>
  </w:num>
  <w:num w:numId="6" w16cid:durableId="1526750804">
    <w:abstractNumId w:val="5"/>
  </w:num>
  <w:num w:numId="7" w16cid:durableId="547226974">
    <w:abstractNumId w:val="0"/>
  </w:num>
  <w:num w:numId="8" w16cid:durableId="1944804340">
    <w:abstractNumId w:val="9"/>
  </w:num>
  <w:num w:numId="9" w16cid:durableId="1543246721">
    <w:abstractNumId w:val="2"/>
  </w:num>
  <w:num w:numId="10" w16cid:durableId="1829903341">
    <w:abstractNumId w:val="7"/>
  </w:num>
  <w:num w:numId="11" w16cid:durableId="495057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4C1"/>
    <w:rsid w:val="000201D8"/>
    <w:rsid w:val="00103838"/>
    <w:rsid w:val="0020531A"/>
    <w:rsid w:val="003E1B4B"/>
    <w:rsid w:val="004321D2"/>
    <w:rsid w:val="004474D9"/>
    <w:rsid w:val="004544C1"/>
    <w:rsid w:val="004F5343"/>
    <w:rsid w:val="007346BF"/>
    <w:rsid w:val="00794096"/>
    <w:rsid w:val="00861E83"/>
    <w:rsid w:val="00A509BE"/>
    <w:rsid w:val="00BB200E"/>
    <w:rsid w:val="00C37AAF"/>
    <w:rsid w:val="00DA6C32"/>
    <w:rsid w:val="00F97E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93A61"/>
  <w15:chartTrackingRefBased/>
  <w15:docId w15:val="{D105C649-879B-42BE-9567-702EF3BB8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B4B"/>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4544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544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44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44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44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44C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44C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44C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44C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44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544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44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44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44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44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44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44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44C1"/>
    <w:rPr>
      <w:rFonts w:eastAsiaTheme="majorEastAsia" w:cstheme="majorBidi"/>
      <w:color w:val="272727" w:themeColor="text1" w:themeTint="D8"/>
    </w:rPr>
  </w:style>
  <w:style w:type="paragraph" w:styleId="Title">
    <w:name w:val="Title"/>
    <w:basedOn w:val="Normal"/>
    <w:next w:val="Normal"/>
    <w:link w:val="TitleChar"/>
    <w:uiPriority w:val="10"/>
    <w:qFormat/>
    <w:rsid w:val="004544C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44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44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44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44C1"/>
    <w:pPr>
      <w:spacing w:before="160"/>
      <w:jc w:val="center"/>
    </w:pPr>
    <w:rPr>
      <w:i/>
      <w:iCs/>
      <w:color w:val="404040" w:themeColor="text1" w:themeTint="BF"/>
    </w:rPr>
  </w:style>
  <w:style w:type="character" w:customStyle="1" w:styleId="QuoteChar">
    <w:name w:val="Quote Char"/>
    <w:basedOn w:val="DefaultParagraphFont"/>
    <w:link w:val="Quote"/>
    <w:uiPriority w:val="29"/>
    <w:rsid w:val="004544C1"/>
    <w:rPr>
      <w:i/>
      <w:iCs/>
      <w:color w:val="404040" w:themeColor="text1" w:themeTint="BF"/>
    </w:rPr>
  </w:style>
  <w:style w:type="paragraph" w:styleId="ListParagraph">
    <w:name w:val="List Paragraph"/>
    <w:basedOn w:val="Normal"/>
    <w:uiPriority w:val="34"/>
    <w:qFormat/>
    <w:rsid w:val="004544C1"/>
    <w:pPr>
      <w:ind w:left="720"/>
      <w:contextualSpacing/>
    </w:pPr>
  </w:style>
  <w:style w:type="character" w:styleId="IntenseEmphasis">
    <w:name w:val="Intense Emphasis"/>
    <w:basedOn w:val="DefaultParagraphFont"/>
    <w:uiPriority w:val="21"/>
    <w:qFormat/>
    <w:rsid w:val="004544C1"/>
    <w:rPr>
      <w:i/>
      <w:iCs/>
      <w:color w:val="0F4761" w:themeColor="accent1" w:themeShade="BF"/>
    </w:rPr>
  </w:style>
  <w:style w:type="paragraph" w:styleId="IntenseQuote">
    <w:name w:val="Intense Quote"/>
    <w:basedOn w:val="Normal"/>
    <w:next w:val="Normal"/>
    <w:link w:val="IntenseQuoteChar"/>
    <w:uiPriority w:val="30"/>
    <w:qFormat/>
    <w:rsid w:val="004544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44C1"/>
    <w:rPr>
      <w:i/>
      <w:iCs/>
      <w:color w:val="0F4761" w:themeColor="accent1" w:themeShade="BF"/>
    </w:rPr>
  </w:style>
  <w:style w:type="character" w:styleId="IntenseReference">
    <w:name w:val="Intense Reference"/>
    <w:basedOn w:val="DefaultParagraphFont"/>
    <w:uiPriority w:val="32"/>
    <w:qFormat/>
    <w:rsid w:val="004544C1"/>
    <w:rPr>
      <w:b/>
      <w:bCs/>
      <w:smallCaps/>
      <w:color w:val="0F4761" w:themeColor="accent1" w:themeShade="BF"/>
      <w:spacing w:val="5"/>
    </w:rPr>
  </w:style>
  <w:style w:type="paragraph" w:styleId="NormalWeb">
    <w:name w:val="Normal (Web)"/>
    <w:basedOn w:val="Normal"/>
    <w:uiPriority w:val="99"/>
    <w:unhideWhenUsed/>
    <w:rsid w:val="004544C1"/>
    <w:pPr>
      <w:spacing w:before="100" w:beforeAutospacing="1" w:after="100" w:afterAutospacing="1"/>
    </w:pPr>
    <w:rPr>
      <w:lang w:eastAsia="en-CA"/>
    </w:rPr>
  </w:style>
  <w:style w:type="character" w:styleId="Strong">
    <w:name w:val="Strong"/>
    <w:basedOn w:val="DefaultParagraphFont"/>
    <w:uiPriority w:val="22"/>
    <w:qFormat/>
    <w:rsid w:val="004544C1"/>
    <w:rPr>
      <w:b/>
      <w:bCs/>
    </w:rPr>
  </w:style>
  <w:style w:type="character" w:styleId="Hyperlink">
    <w:name w:val="Hyperlink"/>
    <w:basedOn w:val="DefaultParagraphFont"/>
    <w:uiPriority w:val="99"/>
    <w:semiHidden/>
    <w:unhideWhenUsed/>
    <w:rsid w:val="004544C1"/>
    <w:rPr>
      <w:color w:val="0000FF"/>
      <w:u w:val="single"/>
    </w:rPr>
  </w:style>
  <w:style w:type="character" w:styleId="Emphasis">
    <w:name w:val="Emphasis"/>
    <w:basedOn w:val="DefaultParagraphFont"/>
    <w:uiPriority w:val="20"/>
    <w:qFormat/>
    <w:rsid w:val="004544C1"/>
    <w:rPr>
      <w:i/>
      <w:iCs/>
    </w:rPr>
  </w:style>
  <w:style w:type="paragraph" w:customStyle="1" w:styleId="xmsonormal">
    <w:name w:val="x_msonormal"/>
    <w:basedOn w:val="Normal"/>
    <w:rsid w:val="004544C1"/>
    <w:pPr>
      <w:spacing w:before="100" w:beforeAutospacing="1" w:after="100" w:afterAutospacing="1"/>
    </w:pPr>
    <w:rPr>
      <w:lang w:eastAsia="en-CA"/>
    </w:rPr>
  </w:style>
  <w:style w:type="paragraph" w:styleId="Footer">
    <w:name w:val="footer"/>
    <w:basedOn w:val="Normal"/>
    <w:link w:val="FooterChar"/>
    <w:uiPriority w:val="99"/>
    <w:unhideWhenUsed/>
    <w:rsid w:val="00BB200E"/>
    <w:pPr>
      <w:tabs>
        <w:tab w:val="center" w:pos="4680"/>
        <w:tab w:val="right" w:pos="9360"/>
      </w:tabs>
    </w:pPr>
  </w:style>
  <w:style w:type="character" w:customStyle="1" w:styleId="FooterChar">
    <w:name w:val="Footer Char"/>
    <w:basedOn w:val="DefaultParagraphFont"/>
    <w:link w:val="Footer"/>
    <w:uiPriority w:val="99"/>
    <w:rsid w:val="00BB200E"/>
    <w:rPr>
      <w:rFonts w:ascii="Times New Roman" w:eastAsia="Times New Roman" w:hAnsi="Times New Roman" w:cs="Times New Roman"/>
      <w:kern w:val="0"/>
      <w:sz w:val="24"/>
      <w:szCs w:val="24"/>
      <w14:ligatures w14:val="none"/>
    </w:rPr>
  </w:style>
  <w:style w:type="character" w:styleId="PageNumber">
    <w:name w:val="page number"/>
    <w:basedOn w:val="DefaultParagraphFont"/>
    <w:uiPriority w:val="99"/>
    <w:semiHidden/>
    <w:unhideWhenUsed/>
    <w:rsid w:val="00BB200E"/>
  </w:style>
  <w:style w:type="paragraph" w:styleId="Header">
    <w:name w:val="header"/>
    <w:basedOn w:val="Normal"/>
    <w:link w:val="HeaderChar"/>
    <w:uiPriority w:val="99"/>
    <w:unhideWhenUsed/>
    <w:rsid w:val="00BB200E"/>
    <w:pPr>
      <w:tabs>
        <w:tab w:val="center" w:pos="4680"/>
        <w:tab w:val="right" w:pos="9360"/>
      </w:tabs>
    </w:pPr>
  </w:style>
  <w:style w:type="character" w:customStyle="1" w:styleId="HeaderChar">
    <w:name w:val="Header Char"/>
    <w:basedOn w:val="DefaultParagraphFont"/>
    <w:link w:val="Header"/>
    <w:uiPriority w:val="99"/>
    <w:rsid w:val="00BB200E"/>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942118">
      <w:bodyDiv w:val="1"/>
      <w:marLeft w:val="0"/>
      <w:marRight w:val="0"/>
      <w:marTop w:val="0"/>
      <w:marBottom w:val="0"/>
      <w:divBdr>
        <w:top w:val="none" w:sz="0" w:space="0" w:color="auto"/>
        <w:left w:val="none" w:sz="0" w:space="0" w:color="auto"/>
        <w:bottom w:val="none" w:sz="0" w:space="0" w:color="auto"/>
        <w:right w:val="none" w:sz="0" w:space="0" w:color="auto"/>
      </w:divBdr>
    </w:div>
    <w:div w:id="575015590">
      <w:bodyDiv w:val="1"/>
      <w:marLeft w:val="0"/>
      <w:marRight w:val="0"/>
      <w:marTop w:val="0"/>
      <w:marBottom w:val="0"/>
      <w:divBdr>
        <w:top w:val="none" w:sz="0" w:space="0" w:color="auto"/>
        <w:left w:val="none" w:sz="0" w:space="0" w:color="auto"/>
        <w:bottom w:val="none" w:sz="0" w:space="0" w:color="auto"/>
        <w:right w:val="none" w:sz="0" w:space="0" w:color="auto"/>
      </w:divBdr>
      <w:divsChild>
        <w:div w:id="708148934">
          <w:marLeft w:val="0"/>
          <w:marRight w:val="0"/>
          <w:marTop w:val="0"/>
          <w:marBottom w:val="0"/>
          <w:divBdr>
            <w:top w:val="none" w:sz="0" w:space="0" w:color="auto"/>
            <w:left w:val="none" w:sz="0" w:space="0" w:color="auto"/>
            <w:bottom w:val="none" w:sz="0" w:space="0" w:color="auto"/>
            <w:right w:val="none" w:sz="0" w:space="0" w:color="auto"/>
          </w:divBdr>
        </w:div>
      </w:divsChild>
    </w:div>
    <w:div w:id="772819151">
      <w:bodyDiv w:val="1"/>
      <w:marLeft w:val="0"/>
      <w:marRight w:val="0"/>
      <w:marTop w:val="0"/>
      <w:marBottom w:val="0"/>
      <w:divBdr>
        <w:top w:val="none" w:sz="0" w:space="0" w:color="auto"/>
        <w:left w:val="none" w:sz="0" w:space="0" w:color="auto"/>
        <w:bottom w:val="none" w:sz="0" w:space="0" w:color="auto"/>
        <w:right w:val="none" w:sz="0" w:space="0" w:color="auto"/>
      </w:divBdr>
    </w:div>
    <w:div w:id="816993599">
      <w:bodyDiv w:val="1"/>
      <w:marLeft w:val="0"/>
      <w:marRight w:val="0"/>
      <w:marTop w:val="0"/>
      <w:marBottom w:val="0"/>
      <w:divBdr>
        <w:top w:val="none" w:sz="0" w:space="0" w:color="auto"/>
        <w:left w:val="none" w:sz="0" w:space="0" w:color="auto"/>
        <w:bottom w:val="none" w:sz="0" w:space="0" w:color="auto"/>
        <w:right w:val="none" w:sz="0" w:space="0" w:color="auto"/>
      </w:divBdr>
    </w:div>
    <w:div w:id="824249851">
      <w:bodyDiv w:val="1"/>
      <w:marLeft w:val="0"/>
      <w:marRight w:val="0"/>
      <w:marTop w:val="0"/>
      <w:marBottom w:val="0"/>
      <w:divBdr>
        <w:top w:val="none" w:sz="0" w:space="0" w:color="auto"/>
        <w:left w:val="none" w:sz="0" w:space="0" w:color="auto"/>
        <w:bottom w:val="none" w:sz="0" w:space="0" w:color="auto"/>
        <w:right w:val="none" w:sz="0" w:space="0" w:color="auto"/>
      </w:divBdr>
    </w:div>
    <w:div w:id="833498945">
      <w:bodyDiv w:val="1"/>
      <w:marLeft w:val="0"/>
      <w:marRight w:val="0"/>
      <w:marTop w:val="0"/>
      <w:marBottom w:val="0"/>
      <w:divBdr>
        <w:top w:val="none" w:sz="0" w:space="0" w:color="auto"/>
        <w:left w:val="none" w:sz="0" w:space="0" w:color="auto"/>
        <w:bottom w:val="none" w:sz="0" w:space="0" w:color="auto"/>
        <w:right w:val="none" w:sz="0" w:space="0" w:color="auto"/>
      </w:divBdr>
    </w:div>
    <w:div w:id="1403747256">
      <w:bodyDiv w:val="1"/>
      <w:marLeft w:val="0"/>
      <w:marRight w:val="0"/>
      <w:marTop w:val="0"/>
      <w:marBottom w:val="0"/>
      <w:divBdr>
        <w:top w:val="none" w:sz="0" w:space="0" w:color="auto"/>
        <w:left w:val="none" w:sz="0" w:space="0" w:color="auto"/>
        <w:bottom w:val="none" w:sz="0" w:space="0" w:color="auto"/>
        <w:right w:val="none" w:sz="0" w:space="0" w:color="auto"/>
      </w:divBdr>
    </w:div>
    <w:div w:id="1529173779">
      <w:bodyDiv w:val="1"/>
      <w:marLeft w:val="0"/>
      <w:marRight w:val="0"/>
      <w:marTop w:val="0"/>
      <w:marBottom w:val="0"/>
      <w:divBdr>
        <w:top w:val="none" w:sz="0" w:space="0" w:color="auto"/>
        <w:left w:val="none" w:sz="0" w:space="0" w:color="auto"/>
        <w:bottom w:val="none" w:sz="0" w:space="0" w:color="auto"/>
        <w:right w:val="none" w:sz="0" w:space="0" w:color="auto"/>
      </w:divBdr>
    </w:div>
    <w:div w:id="1605573433">
      <w:bodyDiv w:val="1"/>
      <w:marLeft w:val="0"/>
      <w:marRight w:val="0"/>
      <w:marTop w:val="0"/>
      <w:marBottom w:val="0"/>
      <w:divBdr>
        <w:top w:val="none" w:sz="0" w:space="0" w:color="auto"/>
        <w:left w:val="none" w:sz="0" w:space="0" w:color="auto"/>
        <w:bottom w:val="none" w:sz="0" w:space="0" w:color="auto"/>
        <w:right w:val="none" w:sz="0" w:space="0" w:color="auto"/>
      </w:divBdr>
    </w:div>
    <w:div w:id="1778138990">
      <w:bodyDiv w:val="1"/>
      <w:marLeft w:val="0"/>
      <w:marRight w:val="0"/>
      <w:marTop w:val="0"/>
      <w:marBottom w:val="0"/>
      <w:divBdr>
        <w:top w:val="none" w:sz="0" w:space="0" w:color="auto"/>
        <w:left w:val="none" w:sz="0" w:space="0" w:color="auto"/>
        <w:bottom w:val="none" w:sz="0" w:space="0" w:color="auto"/>
        <w:right w:val="none" w:sz="0" w:space="0" w:color="auto"/>
      </w:divBdr>
    </w:div>
    <w:div w:id="182827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leton.ca/registrar/academic-integrity/" TargetMode="External"/><Relationship Id="rId13" Type="http://schemas.openxmlformats.org/officeDocument/2006/relationships/hyperlink" Target="https://carleton.ca/academicadvising/" TargetMode="External"/><Relationship Id="rId18" Type="http://schemas.openxmlformats.org/officeDocument/2006/relationships/hyperlink" Target="https://students.carleton.ca/services/empower-me-counselling-service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pmc@carleton.ca" TargetMode="External"/><Relationship Id="rId7" Type="http://schemas.openxmlformats.org/officeDocument/2006/relationships/image" Target="media/image1.jpeg"/><Relationship Id="rId12" Type="http://schemas.openxmlformats.org/officeDocument/2006/relationships/hyperlink" Target="https://carleton.ca/pmc/" TargetMode="External"/><Relationship Id="rId17" Type="http://schemas.openxmlformats.org/officeDocument/2006/relationships/hyperlink" Target="http://www.crisisline.ca/"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dcottawa.on.ca/" TargetMode="External"/><Relationship Id="rId20" Type="http://schemas.openxmlformats.org/officeDocument/2006/relationships/hyperlink" Target="https://walkincounselling.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rleton.ca/health/"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carleton.ca/equity/" TargetMode="External"/><Relationship Id="rId23" Type="http://schemas.openxmlformats.org/officeDocument/2006/relationships/footer" Target="footer1.xml"/><Relationship Id="rId10" Type="http://schemas.openxmlformats.org/officeDocument/2006/relationships/hyperlink" Target="https://carleton.ca/wellness/" TargetMode="External"/><Relationship Id="rId19" Type="http://schemas.openxmlformats.org/officeDocument/2006/relationships/hyperlink" Target="https://good2talk.ca/" TargetMode="External"/><Relationship Id="rId4" Type="http://schemas.openxmlformats.org/officeDocument/2006/relationships/webSettings" Target="webSettings.xml"/><Relationship Id="rId9" Type="http://schemas.openxmlformats.org/officeDocument/2006/relationships/hyperlink" Target="https://carleton.ca/health/emergencies-and-crisis/emergency-numbers/" TargetMode="External"/><Relationship Id="rId14" Type="http://schemas.openxmlformats.org/officeDocument/2006/relationships/hyperlink" Target="https://carleton.ca/csas/" TargetMode="External"/><Relationship Id="rId22" Type="http://schemas.openxmlformats.org/officeDocument/2006/relationships/hyperlink" Target="https://carleton.ca/equity/sexual-assault-support-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1646</Words>
  <Characters>9386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Carleton University</Company>
  <LinksUpToDate>false</LinksUpToDate>
  <CharactersWithSpaces>11010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Coraa St. Pierre</dc:creator>
  <cp:keywords/>
  <dc:description/>
  <cp:lastModifiedBy>Coraa St. Pierre</cp:lastModifiedBy>
  <cp:revision>4</cp:revision>
  <dcterms:created xsi:type="dcterms:W3CDTF">2024-07-28T16:19:00Z</dcterms:created>
  <dcterms:modified xsi:type="dcterms:W3CDTF">2024-07-29T14:39:00Z</dcterms:modified>
</cp:coreProperties>
</file>