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436F12A" w:rsidR="00354096" w:rsidRDefault="00481B6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Reimagining Canadian Multiculturalism: Bridging Policy </w:t>
      </w:r>
      <w:r w:rsidR="002F40F8">
        <w:rPr>
          <w:rFonts w:ascii="Times New Roman" w:eastAsia="Times New Roman" w:hAnsi="Times New Roman" w:cs="Times New Roman"/>
          <w:b/>
          <w:bCs/>
          <w:sz w:val="24"/>
          <w:szCs w:val="24"/>
        </w:rPr>
        <w:t xml:space="preserve">with </w:t>
      </w:r>
      <w:r>
        <w:rPr>
          <w:rFonts w:ascii="Times New Roman" w:eastAsia="Times New Roman" w:hAnsi="Times New Roman" w:cs="Times New Roman"/>
          <w:b/>
          <w:bCs/>
          <w:sz w:val="24"/>
          <w:szCs w:val="24"/>
        </w:rPr>
        <w:t>Lived Experience</w:t>
      </w:r>
    </w:p>
    <w:p w14:paraId="00000002" w14:textId="77777777" w:rsidR="00354096" w:rsidRDefault="00354096">
      <w:pPr>
        <w:rPr>
          <w:rFonts w:ascii="Calibri" w:eastAsia="Calibri" w:hAnsi="Calibri" w:cs="Calibri"/>
        </w:rPr>
      </w:pPr>
    </w:p>
    <w:p w14:paraId="00000003" w14:textId="5ADE5258" w:rsidR="00354096" w:rsidRDefault="00481B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its adoption in 1988, the </w:t>
      </w:r>
      <w:r>
        <w:rPr>
          <w:rFonts w:ascii="Times New Roman" w:eastAsia="Times New Roman" w:hAnsi="Times New Roman" w:cs="Times New Roman"/>
          <w:i/>
          <w:iCs/>
          <w:sz w:val="24"/>
          <w:szCs w:val="24"/>
        </w:rPr>
        <w:t>Canadian Multiculturalism Act</w:t>
      </w:r>
      <w:r>
        <w:rPr>
          <w:rFonts w:ascii="Times New Roman" w:eastAsia="Times New Roman" w:hAnsi="Times New Roman" w:cs="Times New Roman"/>
          <w:sz w:val="24"/>
          <w:szCs w:val="24"/>
        </w:rPr>
        <w:t xml:space="preserve"> has provided the federal framework for responding to Canada's cultural and racial diversity. Its commitments include preserving and sharing cultural heritage, promoting the full and equitable participation of individuals and communities, eliminating discriminatory barriers, and ensuring federal institutions respond to Canada's multicultural reality.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Canadian Multiculturalism Act</w:t>
      </w:r>
      <w:r>
        <w:rPr>
          <w:rFonts w:ascii="Times New Roman" w:eastAsia="Times New Roman" w:hAnsi="Times New Roman" w:cs="Times New Roman"/>
          <w:sz w:val="24"/>
          <w:szCs w:val="24"/>
        </w:rPr>
        <w:t xml:space="preserve">, 1988; Berry, 2013; </w:t>
      </w:r>
      <w:proofErr w:type="spellStart"/>
      <w:r>
        <w:rPr>
          <w:rFonts w:ascii="Times New Roman" w:eastAsia="Times New Roman" w:hAnsi="Times New Roman" w:cs="Times New Roman"/>
          <w:sz w:val="24"/>
          <w:szCs w:val="24"/>
        </w:rPr>
        <w:t>Nakhaie</w:t>
      </w:r>
      <w:proofErr w:type="spellEnd"/>
      <w:r>
        <w:rPr>
          <w:rFonts w:ascii="Times New Roman" w:eastAsia="Times New Roman" w:hAnsi="Times New Roman" w:cs="Times New Roman"/>
          <w:sz w:val="24"/>
          <w:szCs w:val="24"/>
        </w:rPr>
        <w:t>, 2006). The Act also identifies multiculturalism as a fundamental characteristic of Canadian heritage and identity, connecting cultural difference to equality, participation, and membership within Canadian society (</w:t>
      </w:r>
      <w:r>
        <w:rPr>
          <w:rFonts w:ascii="Times New Roman" w:eastAsia="Times New Roman" w:hAnsi="Times New Roman" w:cs="Times New Roman"/>
          <w:i/>
          <w:iCs/>
          <w:sz w:val="24"/>
          <w:szCs w:val="24"/>
        </w:rPr>
        <w:t>Canadian Multiculturalism Act</w:t>
      </w:r>
      <w:r>
        <w:rPr>
          <w:rFonts w:ascii="Times New Roman" w:eastAsia="Times New Roman" w:hAnsi="Times New Roman" w:cs="Times New Roman"/>
          <w:sz w:val="24"/>
          <w:szCs w:val="24"/>
        </w:rPr>
        <w:t>, 1988; Uberoi</w:t>
      </w:r>
      <w:r>
        <w:rPr>
          <w:rFonts w:ascii="Times New Roman" w:eastAsia="Times New Roman" w:hAnsi="Times New Roman" w:cs="Times New Roman"/>
          <w:sz w:val="24"/>
          <w:szCs w:val="24"/>
        </w:rPr>
        <w:t>, 2016). Yet the Canada to which these principles apply has changed considerably. Forms of identification have become increasingly layered, immigration has transformed the composition of Canadian communities, and racial and socioeconomic inequalities continue to shape how diverse Canadians experience participation and belonging (Ali, 2008; Hébert, 2016; Davis, 2017). The Act's underlying statutory principles, however, have remained relatively consistent, leaving successive governments to interpret what thes</w:t>
      </w:r>
      <w:r>
        <w:rPr>
          <w:rFonts w:ascii="Times New Roman" w:eastAsia="Times New Roman" w:hAnsi="Times New Roman" w:cs="Times New Roman"/>
          <w:sz w:val="24"/>
          <w:szCs w:val="24"/>
        </w:rPr>
        <w:t xml:space="preserve">e commitments require </w:t>
      </w:r>
      <w:r w:rsidR="00B46814">
        <w:rPr>
          <w:rFonts w:ascii="Times New Roman" w:eastAsia="Times New Roman" w:hAnsi="Times New Roman" w:cs="Times New Roman"/>
          <w:sz w:val="24"/>
          <w:szCs w:val="24"/>
        </w:rPr>
        <w:t xml:space="preserve">in the face of </w:t>
      </w:r>
      <w:r>
        <w:rPr>
          <w:rFonts w:ascii="Times New Roman" w:eastAsia="Times New Roman" w:hAnsi="Times New Roman" w:cs="Times New Roman"/>
          <w:sz w:val="24"/>
          <w:szCs w:val="24"/>
        </w:rPr>
        <w:t>changing social conditions.</w:t>
      </w:r>
    </w:p>
    <w:p w14:paraId="00000004" w14:textId="77777777" w:rsidR="00354096" w:rsidRDefault="00481B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research asks: </w:t>
      </w:r>
      <w:r>
        <w:rPr>
          <w:rFonts w:ascii="Times New Roman" w:eastAsia="Times New Roman" w:hAnsi="Times New Roman" w:cs="Times New Roman"/>
          <w:i/>
          <w:iCs/>
          <w:sz w:val="24"/>
          <w:szCs w:val="24"/>
        </w:rPr>
        <w:t>How has the federal government's understanding of diversity, identity, and belonging evolved since the implementation of the Canadian Multiculturalism Act, and to what extent does this evolution reflect contemporary lived experiences of multiculturalism in Canada?</w:t>
      </w:r>
      <w:r>
        <w:rPr>
          <w:rFonts w:ascii="Times New Roman" w:eastAsia="Times New Roman" w:hAnsi="Times New Roman" w:cs="Times New Roman"/>
          <w:sz w:val="24"/>
          <w:szCs w:val="24"/>
        </w:rPr>
        <w:t xml:space="preserve"> By examining the Act and its federal implementation alongside scholarship documenting the experiences of racialized, immigrant, and other diverse Canadians, my project distinguishes between what I call </w:t>
      </w:r>
      <w:r>
        <w:rPr>
          <w:rFonts w:ascii="Times New Roman" w:eastAsia="Times New Roman" w:hAnsi="Times New Roman" w:cs="Times New Roman"/>
          <w:i/>
          <w:iCs/>
          <w:sz w:val="24"/>
          <w:szCs w:val="24"/>
        </w:rPr>
        <w:t>statutory</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lived multiculturalism</w:t>
      </w:r>
      <w:r>
        <w:rPr>
          <w:rFonts w:ascii="Times New Roman" w:eastAsia="Times New Roman" w:hAnsi="Times New Roman" w:cs="Times New Roman"/>
          <w:sz w:val="24"/>
          <w:szCs w:val="24"/>
        </w:rPr>
        <w:t xml:space="preserve">. Statutory multiculturalism refers to the principles established in legislation and how governments interpret and operationalize them, while lived multiculturalism captures how </w:t>
      </w:r>
      <w:r>
        <w:rPr>
          <w:rFonts w:ascii="Times New Roman" w:eastAsia="Times New Roman" w:hAnsi="Times New Roman" w:cs="Times New Roman"/>
          <w:sz w:val="24"/>
          <w:szCs w:val="24"/>
        </w:rPr>
        <w:lastRenderedPageBreak/>
        <w:t>these principles are encountered within everyday social, geographic, and institutional contexts. I argue that although federal interpretations of multiculturalism have evolved since 1988, a gap remains between the construction of diversity, identity, and belonging established through the Act and the more multidimensional realities through which multiculturalism is lived.</w:t>
      </w:r>
    </w:p>
    <w:p w14:paraId="00000005" w14:textId="77777777" w:rsidR="00354096" w:rsidRDefault="00481B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Preliminary findings from my analysis of the </w:t>
      </w:r>
      <w:r>
        <w:rPr>
          <w:rFonts w:ascii="Times New Roman" w:eastAsia="Times New Roman" w:hAnsi="Times New Roman" w:cs="Times New Roman"/>
          <w:i/>
          <w:iCs/>
          <w:sz w:val="24"/>
          <w:szCs w:val="24"/>
        </w:rPr>
        <w:t>Annual Reports on the Operation of the Canadian Multiculturalism Act</w:t>
      </w:r>
      <w:r>
        <w:rPr>
          <w:rFonts w:ascii="Times New Roman" w:eastAsia="Times New Roman" w:hAnsi="Times New Roman" w:cs="Times New Roman"/>
          <w:sz w:val="24"/>
          <w:szCs w:val="24"/>
        </w:rPr>
        <w:t xml:space="preserve"> demonstrate this evolution in federal interpretation. In 1989–1990, programming was organized around “race relations and cross-cultural understanding,” “heritage cultures and languages,” “community participation,” and “federal institutional commitment.” By 2024–2025, implementation increasingly incorporates the language of “systemic racism,” “institutional barriers,” “racial equity,” “disaggregated data collection,” “intersectional identities,” and “systemic change.” While the Act's underlying principles r</w:t>
      </w:r>
      <w:r>
        <w:rPr>
          <w:rFonts w:ascii="Times New Roman" w:eastAsia="Times New Roman" w:hAnsi="Times New Roman" w:cs="Times New Roman"/>
          <w:sz w:val="24"/>
          <w:szCs w:val="24"/>
        </w:rPr>
        <w:t>emain relatively consistent, this linguistic shift suggests that federal understandings of what those principles require in practice have expanded.</w:t>
      </w:r>
    </w:p>
    <w:p w14:paraId="00000006" w14:textId="77777777" w:rsidR="00354096" w:rsidRDefault="00481B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Existing research nevertheless demonstrates dimensions of lived multiculturalism that remain difficult to capture through federal policy. Identity and belonging are influenced by intersecting identities, migration histories, socioeconomic circumstances, relationships, geography, and encounters with institutions (Ali, 2008; Fleras, 2015; Hébert, 2016). Cultural recognition and identification with Canada can also coexist with racial and socioeconomic inequalities that complicate the national promise of multic</w:t>
      </w:r>
      <w:r>
        <w:rPr>
          <w:rFonts w:ascii="Times New Roman" w:eastAsia="Times New Roman" w:hAnsi="Times New Roman" w:cs="Times New Roman"/>
          <w:sz w:val="24"/>
          <w:szCs w:val="24"/>
        </w:rPr>
        <w:t>ultural equality (Davis, 2017). Preliminary findings therefore suggest a continuing disconnect between the federal operationalization of multiculturalism and the localized, relational, and structurally uneven conditions through which its principles are experienced.</w:t>
      </w:r>
    </w:p>
    <w:p w14:paraId="00000007" w14:textId="4250EC25" w:rsidR="00354096" w:rsidRDefault="00481B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Honours Research Essay will expand this analysis through a more comprehensive examination of the Act and its Annual Reports, asking whose lived experiences the </w:t>
      </w:r>
      <w:r>
        <w:rPr>
          <w:rFonts w:ascii="Times New Roman" w:eastAsia="Times New Roman" w:hAnsi="Times New Roman" w:cs="Times New Roman"/>
          <w:sz w:val="24"/>
          <w:szCs w:val="24"/>
        </w:rPr>
        <w:lastRenderedPageBreak/>
        <w:t>legislation is intended to address, whether and how those experiences enter federal implementation, and how they are captured through federal data. Ultimately, this work contribute</w:t>
      </w:r>
      <w:r w:rsidR="000C2F0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a re-examination of the Act and its operationalization, asking whether a statutory framework developed in 1988 remains sufficiently responsive to the changing identities, inequalities, and lived realities of diverse Canadians.</w:t>
      </w:r>
    </w:p>
    <w:p w14:paraId="00000008" w14:textId="77777777" w:rsidR="00354096" w:rsidRDefault="00354096">
      <w:pPr>
        <w:ind w:firstLine="720"/>
        <w:rPr>
          <w:rFonts w:ascii="Calibri" w:eastAsia="Calibri" w:hAnsi="Calibri" w:cs="Calibri"/>
        </w:rPr>
      </w:pPr>
    </w:p>
    <w:p w14:paraId="00000009" w14:textId="77777777" w:rsidR="00354096" w:rsidRDefault="00354096">
      <w:pPr>
        <w:ind w:firstLine="720"/>
        <w:rPr>
          <w:rFonts w:ascii="Calibri" w:eastAsia="Calibri" w:hAnsi="Calibri" w:cs="Calibri"/>
        </w:rPr>
      </w:pPr>
    </w:p>
    <w:p w14:paraId="0000000A" w14:textId="77777777" w:rsidR="00354096" w:rsidRDefault="00354096">
      <w:pPr>
        <w:ind w:firstLine="720"/>
        <w:rPr>
          <w:rFonts w:ascii="Calibri" w:eastAsia="Calibri" w:hAnsi="Calibri" w:cs="Calibri"/>
        </w:rPr>
      </w:pPr>
    </w:p>
    <w:p w14:paraId="0000000B" w14:textId="77777777" w:rsidR="00354096" w:rsidRDefault="00354096">
      <w:pPr>
        <w:ind w:firstLine="720"/>
        <w:rPr>
          <w:rFonts w:ascii="Calibri" w:eastAsia="Calibri" w:hAnsi="Calibri" w:cs="Calibri"/>
        </w:rPr>
      </w:pPr>
    </w:p>
    <w:p w14:paraId="0000000C" w14:textId="77777777" w:rsidR="00354096" w:rsidRDefault="00354096">
      <w:pPr>
        <w:ind w:firstLine="720"/>
        <w:rPr>
          <w:rFonts w:ascii="Calibri" w:eastAsia="Calibri" w:hAnsi="Calibri" w:cs="Calibri"/>
        </w:rPr>
      </w:pPr>
    </w:p>
    <w:p w14:paraId="0000000D" w14:textId="77777777" w:rsidR="00354096" w:rsidRDefault="00354096">
      <w:pPr>
        <w:ind w:firstLine="720"/>
        <w:rPr>
          <w:rFonts w:ascii="Calibri" w:eastAsia="Calibri" w:hAnsi="Calibri" w:cs="Calibri"/>
        </w:rPr>
      </w:pPr>
    </w:p>
    <w:p w14:paraId="0000000E" w14:textId="77777777" w:rsidR="00354096" w:rsidRDefault="00354096">
      <w:pPr>
        <w:ind w:firstLine="720"/>
        <w:rPr>
          <w:rFonts w:ascii="Calibri" w:eastAsia="Calibri" w:hAnsi="Calibri" w:cs="Calibri"/>
        </w:rPr>
      </w:pPr>
    </w:p>
    <w:p w14:paraId="0000000F" w14:textId="77777777" w:rsidR="00354096" w:rsidRDefault="00354096">
      <w:pPr>
        <w:ind w:firstLine="720"/>
        <w:rPr>
          <w:rFonts w:ascii="Calibri" w:eastAsia="Calibri" w:hAnsi="Calibri" w:cs="Calibri"/>
        </w:rPr>
      </w:pPr>
    </w:p>
    <w:p w14:paraId="00000010" w14:textId="77777777" w:rsidR="00354096" w:rsidRDefault="00354096">
      <w:pPr>
        <w:ind w:firstLine="720"/>
        <w:rPr>
          <w:rFonts w:ascii="Calibri" w:eastAsia="Calibri" w:hAnsi="Calibri" w:cs="Calibri"/>
        </w:rPr>
      </w:pPr>
    </w:p>
    <w:p w14:paraId="00000011" w14:textId="77777777" w:rsidR="00354096" w:rsidRDefault="00354096">
      <w:pPr>
        <w:ind w:firstLine="720"/>
        <w:rPr>
          <w:rFonts w:ascii="Calibri" w:eastAsia="Calibri" w:hAnsi="Calibri" w:cs="Calibri"/>
        </w:rPr>
      </w:pPr>
    </w:p>
    <w:p w14:paraId="00000012" w14:textId="77777777" w:rsidR="00354096" w:rsidRDefault="00354096">
      <w:pPr>
        <w:ind w:firstLine="720"/>
        <w:rPr>
          <w:rFonts w:ascii="Calibri" w:eastAsia="Calibri" w:hAnsi="Calibri" w:cs="Calibri"/>
        </w:rPr>
      </w:pPr>
    </w:p>
    <w:p w14:paraId="00000013" w14:textId="77777777" w:rsidR="00354096" w:rsidRDefault="00354096">
      <w:pPr>
        <w:ind w:firstLine="720"/>
        <w:rPr>
          <w:rFonts w:ascii="Calibri" w:eastAsia="Calibri" w:hAnsi="Calibri" w:cs="Calibri"/>
        </w:rPr>
      </w:pPr>
    </w:p>
    <w:p w14:paraId="00000014" w14:textId="77777777" w:rsidR="00354096" w:rsidRDefault="00354096">
      <w:pPr>
        <w:ind w:firstLine="720"/>
        <w:rPr>
          <w:rFonts w:ascii="Calibri" w:eastAsia="Calibri" w:hAnsi="Calibri" w:cs="Calibri"/>
        </w:rPr>
      </w:pPr>
    </w:p>
    <w:p w14:paraId="00000015" w14:textId="77777777" w:rsidR="00354096" w:rsidRDefault="00354096">
      <w:pPr>
        <w:ind w:firstLine="720"/>
        <w:rPr>
          <w:rFonts w:ascii="Calibri" w:eastAsia="Calibri" w:hAnsi="Calibri" w:cs="Calibri"/>
        </w:rPr>
      </w:pPr>
    </w:p>
    <w:p w14:paraId="00000016" w14:textId="77777777" w:rsidR="00354096" w:rsidRDefault="00354096">
      <w:pPr>
        <w:ind w:firstLine="720"/>
        <w:rPr>
          <w:rFonts w:ascii="Calibri" w:eastAsia="Calibri" w:hAnsi="Calibri" w:cs="Calibri"/>
        </w:rPr>
      </w:pPr>
    </w:p>
    <w:p w14:paraId="00000017" w14:textId="77777777" w:rsidR="00354096" w:rsidRDefault="00354096">
      <w:pPr>
        <w:ind w:firstLine="720"/>
        <w:rPr>
          <w:rFonts w:ascii="Calibri" w:eastAsia="Calibri" w:hAnsi="Calibri" w:cs="Calibri"/>
        </w:rPr>
      </w:pPr>
    </w:p>
    <w:p w14:paraId="00000018" w14:textId="77777777" w:rsidR="00354096" w:rsidRDefault="00354096">
      <w:pPr>
        <w:ind w:firstLine="720"/>
        <w:rPr>
          <w:rFonts w:ascii="Calibri" w:eastAsia="Calibri" w:hAnsi="Calibri" w:cs="Calibri"/>
        </w:rPr>
      </w:pPr>
    </w:p>
    <w:p w14:paraId="00000019" w14:textId="77777777" w:rsidR="00354096" w:rsidRDefault="00354096">
      <w:pPr>
        <w:ind w:firstLine="720"/>
        <w:rPr>
          <w:rFonts w:ascii="Calibri" w:eastAsia="Calibri" w:hAnsi="Calibri" w:cs="Calibri"/>
        </w:rPr>
      </w:pPr>
    </w:p>
    <w:p w14:paraId="0000001A" w14:textId="77777777" w:rsidR="00354096" w:rsidRDefault="00354096">
      <w:pPr>
        <w:ind w:firstLine="720"/>
        <w:rPr>
          <w:rFonts w:ascii="Calibri" w:eastAsia="Calibri" w:hAnsi="Calibri" w:cs="Calibri"/>
        </w:rPr>
      </w:pPr>
    </w:p>
    <w:p w14:paraId="0000001B" w14:textId="77777777" w:rsidR="00354096" w:rsidRDefault="00354096">
      <w:pPr>
        <w:ind w:firstLine="720"/>
        <w:rPr>
          <w:rFonts w:ascii="Calibri" w:eastAsia="Calibri" w:hAnsi="Calibri" w:cs="Calibri"/>
        </w:rPr>
      </w:pPr>
    </w:p>
    <w:p w14:paraId="0000001C" w14:textId="77777777" w:rsidR="00354096" w:rsidRDefault="00354096">
      <w:pPr>
        <w:ind w:firstLine="720"/>
        <w:rPr>
          <w:rFonts w:ascii="Calibri" w:eastAsia="Calibri" w:hAnsi="Calibri" w:cs="Calibri"/>
        </w:rPr>
      </w:pPr>
    </w:p>
    <w:p w14:paraId="0000001D" w14:textId="77777777" w:rsidR="00354096" w:rsidRDefault="00354096">
      <w:pPr>
        <w:ind w:firstLine="720"/>
        <w:rPr>
          <w:rFonts w:ascii="Calibri" w:eastAsia="Calibri" w:hAnsi="Calibri" w:cs="Calibri"/>
        </w:rPr>
      </w:pPr>
    </w:p>
    <w:p w14:paraId="0000001E" w14:textId="77777777" w:rsidR="00354096" w:rsidRDefault="00354096">
      <w:pPr>
        <w:ind w:firstLine="720"/>
        <w:rPr>
          <w:rFonts w:ascii="Calibri" w:eastAsia="Calibri" w:hAnsi="Calibri" w:cs="Calibri"/>
        </w:rPr>
      </w:pPr>
    </w:p>
    <w:p w14:paraId="0000001F" w14:textId="77777777" w:rsidR="00354096" w:rsidRDefault="00354096">
      <w:pPr>
        <w:ind w:firstLine="720"/>
        <w:rPr>
          <w:rFonts w:ascii="Calibri" w:eastAsia="Calibri" w:hAnsi="Calibri" w:cs="Calibri"/>
        </w:rPr>
      </w:pPr>
    </w:p>
    <w:p w14:paraId="00000020" w14:textId="77777777" w:rsidR="00354096" w:rsidRDefault="00354096">
      <w:pPr>
        <w:ind w:firstLine="720"/>
        <w:rPr>
          <w:rFonts w:ascii="Calibri" w:eastAsia="Calibri" w:hAnsi="Calibri" w:cs="Calibri"/>
        </w:rPr>
      </w:pPr>
    </w:p>
    <w:p w14:paraId="00000021" w14:textId="77777777" w:rsidR="00354096" w:rsidRDefault="00354096">
      <w:pPr>
        <w:ind w:firstLine="720"/>
        <w:rPr>
          <w:rFonts w:ascii="Calibri" w:eastAsia="Calibri" w:hAnsi="Calibri" w:cs="Calibri"/>
        </w:rPr>
      </w:pPr>
    </w:p>
    <w:p w14:paraId="00000022" w14:textId="77777777" w:rsidR="00354096" w:rsidRDefault="00354096">
      <w:pPr>
        <w:ind w:firstLine="720"/>
        <w:rPr>
          <w:rFonts w:ascii="Calibri" w:eastAsia="Calibri" w:hAnsi="Calibri" w:cs="Calibri"/>
        </w:rPr>
      </w:pPr>
    </w:p>
    <w:p w14:paraId="57CCBD07" w14:textId="1866AD82" w:rsidR="002F40F8" w:rsidRDefault="002F40F8" w:rsidP="007024AC">
      <w:pPr>
        <w:rPr>
          <w:rFonts w:ascii="Calibri" w:eastAsia="Calibri" w:hAnsi="Calibri" w:cs="Calibri"/>
        </w:rPr>
      </w:pPr>
    </w:p>
    <w:p w14:paraId="339AA85F" w14:textId="77777777" w:rsidR="007024AC" w:rsidRDefault="007024AC" w:rsidP="007024AC">
      <w:pPr>
        <w:rPr>
          <w:rFonts w:ascii="Calibri" w:eastAsia="Calibri" w:hAnsi="Calibri" w:cs="Calibri"/>
        </w:rPr>
      </w:pPr>
    </w:p>
    <w:p w14:paraId="5BC9F01B" w14:textId="77777777" w:rsidR="002F40F8" w:rsidRDefault="002F40F8">
      <w:pPr>
        <w:ind w:firstLine="720"/>
        <w:rPr>
          <w:rFonts w:ascii="Calibri" w:eastAsia="Calibri" w:hAnsi="Calibri" w:cs="Calibri"/>
        </w:rPr>
      </w:pPr>
    </w:p>
    <w:p w14:paraId="2C153B2F" w14:textId="77777777" w:rsidR="002F40F8" w:rsidRDefault="002F40F8">
      <w:pPr>
        <w:ind w:firstLine="720"/>
        <w:rPr>
          <w:rFonts w:ascii="Calibri" w:eastAsia="Calibri" w:hAnsi="Calibri" w:cs="Calibri"/>
        </w:rPr>
      </w:pPr>
    </w:p>
    <w:p w14:paraId="2F03FD27" w14:textId="77777777" w:rsidR="002F40F8" w:rsidRDefault="002F40F8">
      <w:pPr>
        <w:ind w:firstLine="720"/>
        <w:rPr>
          <w:rFonts w:ascii="Calibri" w:eastAsia="Calibri" w:hAnsi="Calibri" w:cs="Calibri"/>
        </w:rPr>
      </w:pPr>
    </w:p>
    <w:p w14:paraId="00000024" w14:textId="77777777" w:rsidR="00354096" w:rsidRDefault="00354096">
      <w:pPr>
        <w:ind w:firstLine="720"/>
        <w:rPr>
          <w:rFonts w:ascii="Calibri" w:eastAsia="Calibri" w:hAnsi="Calibri" w:cs="Calibri"/>
        </w:rPr>
      </w:pPr>
    </w:p>
    <w:p w14:paraId="00000025" w14:textId="77777777" w:rsidR="00354096" w:rsidRDefault="00354096">
      <w:pPr>
        <w:ind w:firstLine="720"/>
        <w:rPr>
          <w:rFonts w:ascii="Calibri" w:eastAsia="Calibri" w:hAnsi="Calibri" w:cs="Calibri"/>
        </w:rPr>
      </w:pPr>
    </w:p>
    <w:p w14:paraId="00000026" w14:textId="77777777" w:rsidR="00354096" w:rsidRDefault="00354096">
      <w:pPr>
        <w:ind w:firstLine="720"/>
        <w:rPr>
          <w:rFonts w:ascii="Calibri" w:eastAsia="Calibri" w:hAnsi="Calibri" w:cs="Calibri"/>
        </w:rPr>
      </w:pPr>
    </w:p>
    <w:p w14:paraId="00000027" w14:textId="77777777" w:rsidR="00354096" w:rsidRDefault="00354096">
      <w:pPr>
        <w:rPr>
          <w:rFonts w:ascii="Calibri" w:eastAsia="Calibri" w:hAnsi="Calibri" w:cs="Calibri"/>
        </w:rPr>
      </w:pPr>
    </w:p>
    <w:p w14:paraId="00000028" w14:textId="77777777" w:rsidR="00354096" w:rsidRPr="002F40F8" w:rsidRDefault="00481B62">
      <w:pPr>
        <w:jc w:val="center"/>
        <w:rPr>
          <w:rFonts w:ascii="Times New Roman" w:eastAsia="Times New Roman" w:hAnsi="Times New Roman" w:cs="Times New Roman"/>
          <w:b/>
          <w:bCs/>
          <w:sz w:val="24"/>
          <w:szCs w:val="24"/>
        </w:rPr>
      </w:pPr>
      <w:r w:rsidRPr="002F40F8">
        <w:rPr>
          <w:rFonts w:ascii="Times New Roman" w:eastAsia="Times New Roman" w:hAnsi="Times New Roman" w:cs="Times New Roman"/>
          <w:b/>
          <w:bCs/>
          <w:sz w:val="24"/>
          <w:szCs w:val="24"/>
        </w:rPr>
        <w:lastRenderedPageBreak/>
        <w:t>References</w:t>
      </w:r>
    </w:p>
    <w:p w14:paraId="00000029" w14:textId="77777777" w:rsidR="00354096" w:rsidRDefault="00481B62">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 M. A. (2008). Second-generation youth's belief in the myth of Canadian </w:t>
      </w:r>
    </w:p>
    <w:p w14:paraId="0000002A" w14:textId="77777777" w:rsidR="00354096" w:rsidRDefault="00481B62">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multiculturalism. </w:t>
      </w:r>
      <w:r>
        <w:rPr>
          <w:rFonts w:ascii="Times New Roman" w:eastAsia="Times New Roman" w:hAnsi="Times New Roman" w:cs="Times New Roman"/>
          <w:i/>
          <w:iCs/>
          <w:sz w:val="24"/>
          <w:szCs w:val="24"/>
        </w:rPr>
        <w:t>Canadian Ethnic Studies, 40</w:t>
      </w:r>
      <w:r>
        <w:rPr>
          <w:rFonts w:ascii="Times New Roman" w:eastAsia="Times New Roman" w:hAnsi="Times New Roman" w:cs="Times New Roman"/>
          <w:sz w:val="24"/>
          <w:szCs w:val="24"/>
        </w:rPr>
        <w:t>(2), 89–107.</w:t>
      </w:r>
    </w:p>
    <w:p w14:paraId="0000002B" w14:textId="77777777" w:rsidR="00354096" w:rsidRDefault="00481B62">
      <w:pPr>
        <w:spacing w:before="240" w:after="24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Berry, J. W. (2013). Research on multiculturalism in Canada. </w:t>
      </w:r>
      <w:r>
        <w:rPr>
          <w:rFonts w:ascii="Times New Roman" w:eastAsia="Times New Roman" w:hAnsi="Times New Roman" w:cs="Times New Roman"/>
          <w:i/>
          <w:iCs/>
          <w:sz w:val="24"/>
          <w:szCs w:val="24"/>
        </w:rPr>
        <w:t xml:space="preserve">International Journal of </w:t>
      </w:r>
    </w:p>
    <w:p w14:paraId="0000002C" w14:textId="77777777" w:rsidR="00354096" w:rsidRDefault="00481B62">
      <w:pPr>
        <w:spacing w:before="240" w:after="240"/>
        <w:ind w:firstLine="720"/>
        <w:rPr>
          <w:rFonts w:ascii="Times New Roman" w:eastAsia="Times New Roman" w:hAnsi="Times New Roman" w:cs="Times New Roman"/>
          <w:color w:val="1155CC"/>
          <w:sz w:val="24"/>
          <w:szCs w:val="24"/>
          <w:u w:val="single"/>
        </w:rPr>
      </w:pPr>
      <w:r>
        <w:rPr>
          <w:rFonts w:ascii="Times New Roman" w:eastAsia="Times New Roman" w:hAnsi="Times New Roman" w:cs="Times New Roman"/>
          <w:i/>
          <w:iCs/>
          <w:sz w:val="24"/>
          <w:szCs w:val="24"/>
        </w:rPr>
        <w:t>Intercultural Relations, 37</w:t>
      </w:r>
      <w:r>
        <w:rPr>
          <w:rFonts w:ascii="Times New Roman" w:eastAsia="Times New Roman" w:hAnsi="Times New Roman" w:cs="Times New Roman"/>
          <w:sz w:val="24"/>
          <w:szCs w:val="24"/>
        </w:rPr>
        <w:t>(6), 663–675.</w:t>
      </w:r>
      <w:hyperlink r:id="rId6">
        <w:r w:rsidR="00354096">
          <w:rPr>
            <w:rFonts w:ascii="Times New Roman" w:eastAsia="Times New Roman" w:hAnsi="Times New Roman" w:cs="Times New Roman"/>
            <w:sz w:val="24"/>
            <w:szCs w:val="24"/>
          </w:rPr>
          <w:t xml:space="preserve"> </w:t>
        </w:r>
      </w:hyperlink>
      <w:hyperlink r:id="rId7">
        <w:r w:rsidR="00354096">
          <w:rPr>
            <w:rFonts w:ascii="Times New Roman" w:eastAsia="Times New Roman" w:hAnsi="Times New Roman" w:cs="Times New Roman"/>
            <w:color w:val="1155CC"/>
            <w:sz w:val="24"/>
            <w:szCs w:val="24"/>
            <w:u w:val="single"/>
          </w:rPr>
          <w:t>https://doi.org/10.1016/j.ijintrel.2013.09.005</w:t>
        </w:r>
      </w:hyperlink>
    </w:p>
    <w:p w14:paraId="0000002D" w14:textId="77777777" w:rsidR="00354096" w:rsidRDefault="00481B62">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A. (2017). “The real Toronto”: Black youth experiences and the narration of the </w:t>
      </w:r>
    </w:p>
    <w:p w14:paraId="0000002E" w14:textId="77777777" w:rsidR="00354096" w:rsidRDefault="00481B62">
      <w:pPr>
        <w:spacing w:before="240" w:after="240"/>
        <w:ind w:firstLine="720"/>
      </w:pPr>
      <w:r>
        <w:rPr>
          <w:rFonts w:ascii="Times New Roman" w:eastAsia="Times New Roman" w:hAnsi="Times New Roman" w:cs="Times New Roman"/>
          <w:sz w:val="24"/>
          <w:szCs w:val="24"/>
        </w:rPr>
        <w:t xml:space="preserve">multicultural city. </w:t>
      </w:r>
      <w:r>
        <w:rPr>
          <w:rFonts w:ascii="Times New Roman" w:eastAsia="Times New Roman" w:hAnsi="Times New Roman" w:cs="Times New Roman"/>
          <w:i/>
          <w:iCs/>
          <w:sz w:val="24"/>
          <w:szCs w:val="24"/>
        </w:rPr>
        <w:t>Journal of Canadian Studies, 51</w:t>
      </w:r>
      <w:r>
        <w:rPr>
          <w:rFonts w:ascii="Times New Roman" w:eastAsia="Times New Roman" w:hAnsi="Times New Roman" w:cs="Times New Roman"/>
          <w:sz w:val="24"/>
          <w:szCs w:val="24"/>
        </w:rPr>
        <w:t>(3), 725–748.</w:t>
      </w:r>
      <w:hyperlink r:id="rId8">
        <w:r w:rsidR="00354096">
          <w:rPr>
            <w:rFonts w:ascii="Times New Roman" w:eastAsia="Times New Roman" w:hAnsi="Times New Roman" w:cs="Times New Roman"/>
            <w:sz w:val="24"/>
            <w:szCs w:val="24"/>
          </w:rPr>
          <w:t xml:space="preserve"> </w:t>
        </w:r>
      </w:hyperlink>
    </w:p>
    <w:p w14:paraId="0000002F" w14:textId="77777777" w:rsidR="00354096" w:rsidRDefault="00354096">
      <w:pPr>
        <w:spacing w:before="240" w:after="240"/>
        <w:ind w:firstLine="720"/>
        <w:rPr>
          <w:rFonts w:ascii="Times New Roman" w:eastAsia="Times New Roman" w:hAnsi="Times New Roman" w:cs="Times New Roman"/>
          <w:color w:val="1155CC"/>
          <w:sz w:val="24"/>
          <w:szCs w:val="24"/>
          <w:u w:val="single"/>
        </w:rPr>
      </w:pPr>
      <w:hyperlink r:id="rId9">
        <w:r>
          <w:rPr>
            <w:rFonts w:ascii="Times New Roman" w:eastAsia="Times New Roman" w:hAnsi="Times New Roman" w:cs="Times New Roman"/>
            <w:color w:val="1155CC"/>
            <w:sz w:val="24"/>
            <w:szCs w:val="24"/>
            <w:u w:val="single"/>
          </w:rPr>
          <w:t>https://doi.org/10.3138/jcs.2017-0039.r1</w:t>
        </w:r>
      </w:hyperlink>
    </w:p>
    <w:p w14:paraId="00000030" w14:textId="77777777" w:rsidR="00354096" w:rsidRDefault="00481B62">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Fleras, A. (2015). Beyond multiculturalism: Managing complex diversities in a </w:t>
      </w:r>
    </w:p>
    <w:p w14:paraId="00000031" w14:textId="77777777" w:rsidR="00354096" w:rsidRDefault="00481B62">
      <w:pPr>
        <w:spacing w:before="240" w:after="240"/>
        <w:ind w:firstLine="720"/>
        <w:rPr>
          <w:rFonts w:ascii="Times New Roman" w:eastAsia="Times New Roman" w:hAnsi="Times New Roman" w:cs="Times New Roman"/>
          <w:i/>
          <w:iCs/>
          <w:sz w:val="24"/>
          <w:szCs w:val="24"/>
        </w:rPr>
      </w:pPr>
      <w:proofErr w:type="spellStart"/>
      <w:r>
        <w:rPr>
          <w:rFonts w:ascii="Times New Roman" w:eastAsia="Times New Roman" w:hAnsi="Times New Roman" w:cs="Times New Roman"/>
          <w:sz w:val="24"/>
          <w:szCs w:val="24"/>
        </w:rPr>
        <w:t>postmulticultural</w:t>
      </w:r>
      <w:proofErr w:type="spellEnd"/>
      <w:r>
        <w:rPr>
          <w:rFonts w:ascii="Times New Roman" w:eastAsia="Times New Roman" w:hAnsi="Times New Roman" w:cs="Times New Roman"/>
          <w:sz w:val="24"/>
          <w:szCs w:val="24"/>
        </w:rPr>
        <w:t xml:space="preserve"> Canada. In S. Guo &amp; L. Wong (Eds.), </w:t>
      </w:r>
      <w:r>
        <w:rPr>
          <w:rFonts w:ascii="Times New Roman" w:eastAsia="Times New Roman" w:hAnsi="Times New Roman" w:cs="Times New Roman"/>
          <w:i/>
          <w:iCs/>
          <w:sz w:val="24"/>
          <w:szCs w:val="24"/>
        </w:rPr>
        <w:t xml:space="preserve">Revisiting multiculturalism in </w:t>
      </w:r>
    </w:p>
    <w:p w14:paraId="00000032" w14:textId="77777777" w:rsidR="00354096" w:rsidRDefault="00481B62">
      <w:pPr>
        <w:spacing w:before="240" w:after="240"/>
        <w:ind w:left="720"/>
      </w:pPr>
      <w:r>
        <w:rPr>
          <w:rFonts w:ascii="Times New Roman" w:eastAsia="Times New Roman" w:hAnsi="Times New Roman" w:cs="Times New Roman"/>
          <w:i/>
          <w:iCs/>
          <w:sz w:val="24"/>
          <w:szCs w:val="24"/>
        </w:rPr>
        <w:t>Canada</w:t>
      </w:r>
      <w:r>
        <w:rPr>
          <w:rFonts w:ascii="Times New Roman" w:eastAsia="Times New Roman" w:hAnsi="Times New Roman" w:cs="Times New Roman"/>
          <w:sz w:val="24"/>
          <w:szCs w:val="24"/>
        </w:rPr>
        <w:t xml:space="preserve"> (pp. 311–334). </w:t>
      </w:r>
      <w:proofErr w:type="spellStart"/>
      <w:r>
        <w:rPr>
          <w:rFonts w:ascii="Times New Roman" w:eastAsia="Times New Roman" w:hAnsi="Times New Roman" w:cs="Times New Roman"/>
          <w:sz w:val="24"/>
          <w:szCs w:val="24"/>
        </w:rPr>
        <w:t>SensePublishers</w:t>
      </w:r>
      <w:proofErr w:type="spellEnd"/>
      <w:r>
        <w:rPr>
          <w:rFonts w:ascii="Times New Roman" w:eastAsia="Times New Roman" w:hAnsi="Times New Roman" w:cs="Times New Roman"/>
          <w:sz w:val="24"/>
          <w:szCs w:val="24"/>
        </w:rPr>
        <w:t>.</w:t>
      </w:r>
      <w:hyperlink r:id="rId10">
        <w:r w:rsidR="00354096">
          <w:rPr>
            <w:rFonts w:ascii="Times New Roman" w:eastAsia="Times New Roman" w:hAnsi="Times New Roman" w:cs="Times New Roman"/>
            <w:sz w:val="24"/>
            <w:szCs w:val="24"/>
          </w:rPr>
          <w:t xml:space="preserve"> </w:t>
        </w:r>
      </w:hyperlink>
    </w:p>
    <w:p w14:paraId="00000033" w14:textId="77777777" w:rsidR="00354096" w:rsidRDefault="00354096">
      <w:pPr>
        <w:spacing w:before="240" w:after="240"/>
        <w:ind w:left="720"/>
        <w:rPr>
          <w:rFonts w:ascii="Times New Roman" w:eastAsia="Times New Roman" w:hAnsi="Times New Roman" w:cs="Times New Roman"/>
          <w:color w:val="1155CC"/>
          <w:sz w:val="24"/>
          <w:szCs w:val="24"/>
          <w:u w:val="single"/>
        </w:rPr>
      </w:pPr>
      <w:hyperlink r:id="rId11">
        <w:r>
          <w:rPr>
            <w:rFonts w:ascii="Times New Roman" w:eastAsia="Times New Roman" w:hAnsi="Times New Roman" w:cs="Times New Roman"/>
            <w:color w:val="1155CC"/>
            <w:sz w:val="24"/>
            <w:szCs w:val="24"/>
            <w:u w:val="single"/>
          </w:rPr>
          <w:t>https://doi.org/10.1007/978-94-6300-208-0_19</w:t>
        </w:r>
      </w:hyperlink>
    </w:p>
    <w:p w14:paraId="00000034" w14:textId="77777777" w:rsidR="00354096" w:rsidRDefault="00481B62">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Hébert, Y. (2016). Youth in plural cities, multiculturalism and citizenship: Policy challenges </w:t>
      </w:r>
    </w:p>
    <w:p w14:paraId="00000035" w14:textId="77777777" w:rsidR="00354096" w:rsidRDefault="00481B62">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opportunities. </w:t>
      </w:r>
      <w:r>
        <w:rPr>
          <w:rFonts w:ascii="Times New Roman" w:eastAsia="Times New Roman" w:hAnsi="Times New Roman" w:cs="Times New Roman"/>
          <w:i/>
          <w:iCs/>
          <w:sz w:val="24"/>
          <w:szCs w:val="24"/>
        </w:rPr>
        <w:t xml:space="preserve">Foro de </w:t>
      </w:r>
      <w:proofErr w:type="spellStart"/>
      <w:r>
        <w:rPr>
          <w:rFonts w:ascii="Times New Roman" w:eastAsia="Times New Roman" w:hAnsi="Times New Roman" w:cs="Times New Roman"/>
          <w:i/>
          <w:iCs/>
          <w:sz w:val="24"/>
          <w:szCs w:val="24"/>
        </w:rPr>
        <w:t>Educación</w:t>
      </w:r>
      <w:proofErr w:type="spellEnd"/>
      <w:r>
        <w:rPr>
          <w:rFonts w:ascii="Times New Roman" w:eastAsia="Times New Roman" w:hAnsi="Times New Roman" w:cs="Times New Roman"/>
          <w:i/>
          <w:iCs/>
          <w:sz w:val="24"/>
          <w:szCs w:val="24"/>
        </w:rPr>
        <w:t>, 14</w:t>
      </w:r>
      <w:r>
        <w:rPr>
          <w:rFonts w:ascii="Times New Roman" w:eastAsia="Times New Roman" w:hAnsi="Times New Roman" w:cs="Times New Roman"/>
          <w:sz w:val="24"/>
          <w:szCs w:val="24"/>
        </w:rPr>
        <w:t>(20), 199–230.</w:t>
      </w:r>
    </w:p>
    <w:p w14:paraId="00000036" w14:textId="77777777" w:rsidR="00354096" w:rsidRDefault="00481B62">
      <w:pPr>
        <w:spacing w:before="240"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Nakhaie</w:t>
      </w:r>
      <w:proofErr w:type="spellEnd"/>
      <w:r>
        <w:rPr>
          <w:rFonts w:ascii="Times New Roman" w:eastAsia="Times New Roman" w:hAnsi="Times New Roman" w:cs="Times New Roman"/>
          <w:sz w:val="24"/>
          <w:szCs w:val="24"/>
        </w:rPr>
        <w:t xml:space="preserve">, M. R. (2006). Contemporary realities and future visions: Enhancing </w:t>
      </w:r>
    </w:p>
    <w:p w14:paraId="00000037" w14:textId="77777777" w:rsidR="00354096" w:rsidRDefault="00481B62">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multiculturalism in Canada. </w:t>
      </w:r>
      <w:r>
        <w:rPr>
          <w:rFonts w:ascii="Times New Roman" w:eastAsia="Times New Roman" w:hAnsi="Times New Roman" w:cs="Times New Roman"/>
          <w:i/>
          <w:iCs/>
          <w:sz w:val="24"/>
          <w:szCs w:val="24"/>
        </w:rPr>
        <w:t>Canadian Ethnic Studies, 38</w:t>
      </w:r>
      <w:r>
        <w:rPr>
          <w:rFonts w:ascii="Times New Roman" w:eastAsia="Times New Roman" w:hAnsi="Times New Roman" w:cs="Times New Roman"/>
          <w:sz w:val="24"/>
          <w:szCs w:val="24"/>
        </w:rPr>
        <w:t>(1), 149.</w:t>
      </w:r>
    </w:p>
    <w:p w14:paraId="00000038" w14:textId="77777777" w:rsidR="00354096" w:rsidRDefault="00481B62">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Uberoi, V. (2016). Legislating multiculturalism and nationhood: The 1988 Canadian </w:t>
      </w:r>
    </w:p>
    <w:p w14:paraId="00000039" w14:textId="77777777" w:rsidR="00354096" w:rsidRPr="00F0511B" w:rsidRDefault="00481B62">
      <w:pPr>
        <w:spacing w:before="240" w:after="240"/>
        <w:ind w:left="720"/>
        <w:rPr>
          <w:rFonts w:ascii="Times New Roman" w:eastAsia="Times New Roman" w:hAnsi="Times New Roman" w:cs="Times New Roman"/>
          <w:i/>
          <w:iCs/>
          <w:sz w:val="24"/>
          <w:szCs w:val="24"/>
          <w:lang w:val="fr-CA"/>
        </w:rPr>
      </w:pPr>
      <w:r w:rsidRPr="00F0511B">
        <w:rPr>
          <w:rFonts w:ascii="Times New Roman" w:eastAsia="Times New Roman" w:hAnsi="Times New Roman" w:cs="Times New Roman"/>
          <w:sz w:val="24"/>
          <w:szCs w:val="24"/>
          <w:lang w:val="fr-CA"/>
        </w:rPr>
        <w:t xml:space="preserve">Multiculturalism Act. </w:t>
      </w:r>
      <w:r w:rsidRPr="00F0511B">
        <w:rPr>
          <w:rFonts w:ascii="Times New Roman" w:eastAsia="Times New Roman" w:hAnsi="Times New Roman" w:cs="Times New Roman"/>
          <w:i/>
          <w:iCs/>
          <w:sz w:val="24"/>
          <w:szCs w:val="24"/>
          <w:lang w:val="fr-CA"/>
        </w:rPr>
        <w:t xml:space="preserve">Canadian Journal of Political Science/Revue canadienne de </w:t>
      </w:r>
    </w:p>
    <w:p w14:paraId="0000003A" w14:textId="77777777" w:rsidR="00354096" w:rsidRPr="00F0511B" w:rsidRDefault="00481B62">
      <w:pPr>
        <w:spacing w:before="240" w:after="240"/>
        <w:ind w:left="720"/>
        <w:rPr>
          <w:rFonts w:ascii="Times New Roman" w:eastAsia="Times New Roman" w:hAnsi="Times New Roman" w:cs="Times New Roman"/>
          <w:sz w:val="24"/>
          <w:szCs w:val="24"/>
          <w:lang w:val="fr-CA"/>
        </w:rPr>
      </w:pPr>
      <w:r w:rsidRPr="00F0511B">
        <w:rPr>
          <w:rFonts w:ascii="Times New Roman" w:eastAsia="Times New Roman" w:hAnsi="Times New Roman" w:cs="Times New Roman"/>
          <w:i/>
          <w:iCs/>
          <w:sz w:val="24"/>
          <w:szCs w:val="24"/>
          <w:lang w:val="fr-CA"/>
        </w:rPr>
        <w:t>science politique, 49</w:t>
      </w:r>
      <w:r w:rsidRPr="00F0511B">
        <w:rPr>
          <w:rFonts w:ascii="Times New Roman" w:eastAsia="Times New Roman" w:hAnsi="Times New Roman" w:cs="Times New Roman"/>
          <w:sz w:val="24"/>
          <w:szCs w:val="24"/>
          <w:lang w:val="fr-CA"/>
        </w:rPr>
        <w:t>(2), 267–287.</w:t>
      </w:r>
    </w:p>
    <w:p w14:paraId="0000003B" w14:textId="77777777" w:rsidR="00354096" w:rsidRPr="00F0511B" w:rsidRDefault="00354096">
      <w:pPr>
        <w:rPr>
          <w:rFonts w:ascii="Times New Roman" w:eastAsia="Times New Roman" w:hAnsi="Times New Roman" w:cs="Times New Roman"/>
          <w:sz w:val="24"/>
          <w:szCs w:val="24"/>
          <w:lang w:val="fr-CA"/>
        </w:rPr>
      </w:pPr>
    </w:p>
    <w:p w14:paraId="0000003C" w14:textId="77777777" w:rsidR="00354096" w:rsidRPr="00F0511B" w:rsidRDefault="00354096">
      <w:pPr>
        <w:rPr>
          <w:lang w:val="fr-CA"/>
        </w:rPr>
      </w:pPr>
    </w:p>
    <w:sectPr w:rsidR="00354096" w:rsidRPr="00F0511B">
      <w:head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5731" w14:textId="77777777" w:rsidR="00481B62" w:rsidRDefault="00481B62">
      <w:pPr>
        <w:spacing w:line="240" w:lineRule="auto"/>
      </w:pPr>
      <w:r>
        <w:separator/>
      </w:r>
    </w:p>
  </w:endnote>
  <w:endnote w:type="continuationSeparator" w:id="0">
    <w:p w14:paraId="2C3BDC4C" w14:textId="77777777" w:rsidR="00481B62" w:rsidRDefault="0048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3FCB9EB-93DE-4674-A866-A47F73A08991}"/>
  </w:font>
  <w:font w:name="Cambria">
    <w:panose1 w:val="02040503050406030204"/>
    <w:charset w:val="00"/>
    <w:family w:val="roman"/>
    <w:pitch w:val="variable"/>
    <w:sig w:usb0="E00006FF" w:usb1="420024FF" w:usb2="02000000" w:usb3="00000000" w:csb0="0000019F" w:csb1="00000000"/>
    <w:embedRegular r:id="rId2" w:fontKey="{A203B005-F50A-4D04-A236-C4AA724FBDB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A151" w14:textId="77777777" w:rsidR="00481B62" w:rsidRDefault="00481B62">
      <w:pPr>
        <w:spacing w:line="240" w:lineRule="auto"/>
      </w:pPr>
      <w:r>
        <w:separator/>
      </w:r>
    </w:p>
  </w:footnote>
  <w:footnote w:type="continuationSeparator" w:id="0">
    <w:p w14:paraId="4A63EDB9" w14:textId="77777777" w:rsidR="00481B62" w:rsidRDefault="00481B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D" w14:textId="77777777" w:rsidR="00354096" w:rsidRDefault="00481B6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Hezel </w:t>
    </w:r>
    <w:proofErr w:type="spellStart"/>
    <w:r>
      <w:rPr>
        <w:rFonts w:ascii="Times New Roman" w:eastAsia="Times New Roman" w:hAnsi="Times New Roman" w:cs="Times New Roman"/>
        <w:sz w:val="24"/>
        <w:szCs w:val="24"/>
      </w:rPr>
      <w:t>Ulona</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096"/>
    <w:rsid w:val="000C2F0D"/>
    <w:rsid w:val="001F1ABA"/>
    <w:rsid w:val="002F40F8"/>
    <w:rsid w:val="00354096"/>
    <w:rsid w:val="003732A9"/>
    <w:rsid w:val="00481B62"/>
    <w:rsid w:val="006E6E88"/>
    <w:rsid w:val="007024AC"/>
    <w:rsid w:val="00947127"/>
    <w:rsid w:val="00B46814"/>
    <w:rsid w:val="00C772A0"/>
    <w:rsid w:val="00D071AA"/>
    <w:rsid w:val="00ED6435"/>
    <w:rsid w:val="00F051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9E99"/>
  <w15:docId w15:val="{A7776798-2B99-5641-85FD-2103E16B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46814"/>
    <w:rPr>
      <w:sz w:val="16"/>
      <w:szCs w:val="16"/>
    </w:rPr>
  </w:style>
  <w:style w:type="paragraph" w:styleId="CommentText">
    <w:name w:val="annotation text"/>
    <w:basedOn w:val="Normal"/>
    <w:link w:val="CommentTextChar"/>
    <w:uiPriority w:val="99"/>
    <w:semiHidden/>
    <w:unhideWhenUsed/>
    <w:rsid w:val="00B46814"/>
    <w:pPr>
      <w:spacing w:line="240" w:lineRule="auto"/>
    </w:pPr>
    <w:rPr>
      <w:sz w:val="20"/>
      <w:szCs w:val="20"/>
    </w:rPr>
  </w:style>
  <w:style w:type="character" w:customStyle="1" w:styleId="CommentTextChar">
    <w:name w:val="Comment Text Char"/>
    <w:basedOn w:val="DefaultParagraphFont"/>
    <w:link w:val="CommentText"/>
    <w:uiPriority w:val="99"/>
    <w:semiHidden/>
    <w:rsid w:val="00B46814"/>
    <w:rPr>
      <w:sz w:val="20"/>
      <w:szCs w:val="20"/>
    </w:rPr>
  </w:style>
  <w:style w:type="paragraph" w:styleId="CommentSubject">
    <w:name w:val="annotation subject"/>
    <w:basedOn w:val="CommentText"/>
    <w:next w:val="CommentText"/>
    <w:link w:val="CommentSubjectChar"/>
    <w:uiPriority w:val="99"/>
    <w:semiHidden/>
    <w:unhideWhenUsed/>
    <w:rsid w:val="00B46814"/>
    <w:rPr>
      <w:b/>
      <w:bCs/>
    </w:rPr>
  </w:style>
  <w:style w:type="character" w:customStyle="1" w:styleId="CommentSubjectChar">
    <w:name w:val="Comment Subject Char"/>
    <w:basedOn w:val="CommentTextChar"/>
    <w:link w:val="CommentSubject"/>
    <w:uiPriority w:val="99"/>
    <w:semiHidden/>
    <w:rsid w:val="00B46814"/>
    <w:rPr>
      <w:b/>
      <w:bCs/>
      <w:sz w:val="20"/>
      <w:szCs w:val="20"/>
    </w:rPr>
  </w:style>
  <w:style w:type="paragraph" w:styleId="Revision">
    <w:name w:val="Revision"/>
    <w:hidden/>
    <w:uiPriority w:val="99"/>
    <w:semiHidden/>
    <w:rsid w:val="00B4681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3138/jcs.2017-0039.r1?utm_source=chatgpt.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ijintrel.2013.09.005?utm_source=chatgpt.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ijintrel.2013.09.005?utm_source=chatgpt.com" TargetMode="External"/><Relationship Id="rId11" Type="http://schemas.openxmlformats.org/officeDocument/2006/relationships/hyperlink" Target="https://doi.org/10.1007/978-94-6300-208-0_19?utm_source=chatgpt.com" TargetMode="External"/><Relationship Id="rId5" Type="http://schemas.openxmlformats.org/officeDocument/2006/relationships/endnotes" Target="endnotes.xml"/><Relationship Id="rId10" Type="http://schemas.openxmlformats.org/officeDocument/2006/relationships/hyperlink" Target="https://doi.org/10.1007/978-94-6300-208-0_19?utm_source=chatgpt.com" TargetMode="External"/><Relationship Id="rId4" Type="http://schemas.openxmlformats.org/officeDocument/2006/relationships/footnotes" Target="footnotes.xml"/><Relationship Id="rId9" Type="http://schemas.openxmlformats.org/officeDocument/2006/relationships/hyperlink" Target="https://doi.org/10.3138/jcs.2017-0039.r1?utm_source=chatgpt.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Krista Lauren Craven</cp:lastModifiedBy>
  <cp:revision>5</cp:revision>
  <dcterms:created xsi:type="dcterms:W3CDTF">2026-10-18T21:49:00Z</dcterms:created>
  <dcterms:modified xsi:type="dcterms:W3CDTF">2026-10-19T15:03:00Z</dcterms:modified>
</cp:coreProperties>
</file>