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5F5208D3" w:rsidR="00C661A9" w:rsidRPr="00C661A9" w:rsidRDefault="006270EA" w:rsidP="00C661A9">
      <w:pPr>
        <w:jc w:val="center"/>
        <w:rPr>
          <w:b/>
          <w:szCs w:val="24"/>
        </w:rPr>
      </w:pPr>
      <w:r>
        <w:rPr>
          <w:b/>
          <w:szCs w:val="24"/>
        </w:rPr>
        <w:t>SOCI 1002D</w:t>
      </w:r>
    </w:p>
    <w:p w14:paraId="39361328" w14:textId="5CA12D81" w:rsidR="00C661A9" w:rsidRPr="00C661A9" w:rsidRDefault="006270EA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6B875B34" w:rsidR="00DE37CC" w:rsidRPr="00A97E7D" w:rsidRDefault="006270EA" w:rsidP="00C661A9">
      <w:pPr>
        <w:jc w:val="center"/>
        <w:rPr>
          <w:b/>
          <w:szCs w:val="24"/>
        </w:rPr>
      </w:pPr>
      <w:r>
        <w:rPr>
          <w:b/>
          <w:szCs w:val="24"/>
        </w:rPr>
        <w:t>INTRODUTION TO SOCIOLOGY II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0E02159D" w:rsidR="00110483" w:rsidRPr="006270EA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6270EA">
        <w:rPr>
          <w:bCs/>
          <w:szCs w:val="24"/>
        </w:rPr>
        <w:t>Deborah Landry</w:t>
      </w:r>
    </w:p>
    <w:p w14:paraId="7F56FB0B" w14:textId="0D567343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6270EA" w:rsidRPr="006F6325">
          <w:rPr>
            <w:rStyle w:val="Hyperlink"/>
            <w:rFonts w:cstheme="minorHAnsi"/>
            <w:bCs/>
            <w:szCs w:val="24"/>
          </w:rPr>
          <w:t>deborahlandry@cunet.carleton.ca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5332F2A1" w:rsidR="00110483" w:rsidRPr="006270EA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6270EA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38B32AA3" w:rsidR="00AF0D04" w:rsidRP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  <w:r w:rsidR="006270EA" w:rsidRPr="008D5CC8">
        <w:rPr>
          <w:rFonts w:cstheme="minorHAnsi"/>
          <w:szCs w:val="24"/>
        </w:rPr>
        <w:t>This course will further explore and expand upon the key thinkers, concepts and disciplinary</w:t>
      </w:r>
      <w:r w:rsidR="006270EA" w:rsidRPr="006F6325">
        <w:rPr>
          <w:rFonts w:cstheme="minorHAnsi"/>
          <w:szCs w:val="24"/>
        </w:rPr>
        <w:t xml:space="preserve"> subfields in sociology. The focus of analysis will shift from the everyday world to </w:t>
      </w:r>
      <w:r w:rsidR="006270EA" w:rsidRPr="008D5CC8">
        <w:rPr>
          <w:rFonts w:cstheme="minorHAnsi"/>
          <w:szCs w:val="24"/>
        </w:rPr>
        <w:t>social institutions and structural processes</w:t>
      </w:r>
      <w:r w:rsidR="006270EA" w:rsidRPr="006F6325">
        <w:rPr>
          <w:rFonts w:cstheme="minorHAnsi"/>
          <w:szCs w:val="24"/>
        </w:rPr>
        <w:t>. Topics may include globalization, education, media, health, social movements, colonialism, urbanization.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2D7C8E12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592B3770" w14:textId="77777777" w:rsidR="006270EA" w:rsidRDefault="006270EA" w:rsidP="006270EA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Ravelli</w:t>
      </w:r>
      <w:proofErr w:type="spellEnd"/>
      <w:r>
        <w:rPr>
          <w:rFonts w:ascii="Calibri" w:hAnsi="Calibri" w:cs="Calibri"/>
          <w:color w:val="000000"/>
        </w:rPr>
        <w:t>, B. and Webber, M. (2020) “Exploring Sociology: A Canadian Perspective” 5th Edition. Pearson</w:t>
      </w:r>
      <w:r>
        <w:rPr>
          <w:rFonts w:asciiTheme="minorHAnsi" w:hAnsiTheme="minorHAnsi" w:cstheme="minorHAnsi"/>
          <w:b/>
          <w:bCs/>
          <w:color w:val="000000"/>
        </w:rPr>
        <w:t xml:space="preserve">. (84.99$). Purchase Here: </w:t>
      </w:r>
      <w:hyperlink r:id="rId6" w:history="1">
        <w:r w:rsidRPr="007825F2">
          <w:rPr>
            <w:rStyle w:val="Hyperlink"/>
            <w:rFonts w:ascii="Open Sans" w:hAnsi="Open Sans" w:cs="Open Sans"/>
            <w:sz w:val="21"/>
            <w:szCs w:val="21"/>
          </w:rPr>
          <w:t>https://console.pearson.com/enrollment/9v1w3t</w:t>
        </w:r>
      </w:hyperlink>
    </w:p>
    <w:p w14:paraId="1E630E60" w14:textId="1833F0F1" w:rsidR="006270EA" w:rsidRPr="006270EA" w:rsidRDefault="006270EA" w:rsidP="00DE37CC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Calibri" w:hAnsi="Calibri" w:cs="Calibri"/>
          <w:color w:val="000000"/>
        </w:rPr>
      </w:pPr>
      <w:r w:rsidRPr="0074183B">
        <w:rPr>
          <w:rFonts w:ascii="Calibri" w:hAnsi="Calibri" w:cs="Calibri"/>
          <w:color w:val="000000"/>
        </w:rPr>
        <w:t>Allaire, F. (Executive Producer). (2022- present). </w:t>
      </w:r>
      <w:r w:rsidRPr="0074183B">
        <w:rPr>
          <w:rFonts w:ascii="Calibri" w:hAnsi="Calibri" w:cs="Calibri"/>
          <w:i/>
          <w:iCs/>
        </w:rPr>
        <w:t>Telling our Twisted Histories</w:t>
      </w:r>
      <w:r w:rsidRPr="0074183B">
        <w:rPr>
          <w:rFonts w:ascii="Calibri" w:hAnsi="Calibri" w:cs="Calibri"/>
          <w:color w:val="000000"/>
        </w:rPr>
        <w:t xml:space="preserve"> [Audio podcast &amp; transcripts]. CBC. </w:t>
      </w:r>
      <w:hyperlink r:id="rId7" w:history="1">
        <w:r w:rsidRPr="0074183B">
          <w:rPr>
            <w:rStyle w:val="Hyperlink"/>
            <w:rFonts w:ascii="Calibri" w:hAnsi="Calibri" w:cs="Calibri"/>
          </w:rPr>
          <w:t>https://www.cbc.ca/radio/podcastnews/telling-our-twisted-histories-transcripts-listen-1.6868648</w:t>
        </w:r>
      </w:hyperlink>
      <w:r w:rsidRPr="0074183B">
        <w:rPr>
          <w:rFonts w:ascii="Calibri" w:hAnsi="Calibri" w:cs="Calibri"/>
          <w:color w:val="000000"/>
        </w:rPr>
        <w:t xml:space="preserve"> [Free resource]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465F90FC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5B49F733" w14:textId="77777777" w:rsidR="006270EA" w:rsidRDefault="006270EA" w:rsidP="00110483">
      <w:pPr>
        <w:rPr>
          <w:b/>
          <w:szCs w:val="24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2551"/>
        <w:gridCol w:w="3121"/>
        <w:gridCol w:w="220"/>
      </w:tblGrid>
      <w:tr w:rsidR="006270EA" w:rsidRPr="0044499A" w14:paraId="3E031B46" w14:textId="77777777" w:rsidTr="00B766BF">
        <w:trPr>
          <w:trHeight w:val="429"/>
          <w:jc w:val="center"/>
        </w:trPr>
        <w:tc>
          <w:tcPr>
            <w:tcW w:w="395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5ABB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</w:pPr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>REQUIRED Assignments</w:t>
            </w:r>
          </w:p>
          <w:p w14:paraId="551A6650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 xml:space="preserve"> (</w:t>
            </w:r>
            <w:proofErr w:type="gramStart"/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>worth</w:t>
            </w:r>
            <w:proofErr w:type="gramEnd"/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 xml:space="preserve"> 40% of final grade)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3F59C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>Evaluation</w:t>
            </w:r>
          </w:p>
        </w:tc>
        <w:tc>
          <w:tcPr>
            <w:tcW w:w="312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1C845" w14:textId="77777777" w:rsidR="00B766BF" w:rsidRPr="0044499A" w:rsidRDefault="00B766BF" w:rsidP="00B766BF">
            <w:pPr>
              <w:spacing w:line="240" w:lineRule="auto"/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</w:pPr>
            <w:r w:rsidRPr="0044499A">
              <w:rPr>
                <w:rFonts w:cstheme="minorHAnsi"/>
                <w:b/>
                <w:bCs/>
                <w:color w:val="000000"/>
                <w:szCs w:val="24"/>
                <w:shd w:val="clear" w:color="auto" w:fill="EFEFEF"/>
                <w:lang w:eastAsia="en-CA"/>
              </w:rPr>
              <w:t>Weight </w:t>
            </w:r>
          </w:p>
          <w:p w14:paraId="36E10EF0" w14:textId="5E8CCBCB" w:rsidR="006270EA" w:rsidRPr="0044499A" w:rsidRDefault="00B766BF" w:rsidP="00B766B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szCs w:val="24"/>
                <w:shd w:val="clear" w:color="auto" w:fill="EFEFEF"/>
                <w:lang w:eastAsia="en-CA"/>
              </w:rPr>
              <w:t>Points out of 100</w:t>
            </w:r>
          </w:p>
        </w:tc>
        <w:tc>
          <w:tcPr>
            <w:tcW w:w="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D2576" w14:textId="09BA5B87" w:rsidR="006270EA" w:rsidRPr="0044499A" w:rsidRDefault="006270EA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</w:p>
        </w:tc>
      </w:tr>
      <w:tr w:rsidR="006270EA" w:rsidRPr="0044499A" w14:paraId="5D19FB06" w14:textId="77777777" w:rsidTr="00B766BF">
        <w:trPr>
          <w:trHeight w:val="264"/>
          <w:jc w:val="center"/>
        </w:trPr>
        <w:tc>
          <w:tcPr>
            <w:tcW w:w="39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2C91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APA Activity #1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6BE1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Marking Matrix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48DD" w14:textId="2B43E090" w:rsidR="006270EA" w:rsidRPr="0044499A" w:rsidRDefault="00B766BF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>
              <w:rPr>
                <w:rFonts w:cstheme="minorHAnsi"/>
                <w:color w:val="000000"/>
                <w:szCs w:val="24"/>
                <w:lang w:eastAsia="en-CA"/>
              </w:rPr>
              <w:t>15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33FC" w14:textId="660ABCD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</w:p>
        </w:tc>
      </w:tr>
      <w:tr w:rsidR="00B766BF" w:rsidRPr="0044499A" w14:paraId="0312144E" w14:textId="77777777" w:rsidTr="00B766BF">
        <w:trPr>
          <w:gridAfter w:val="1"/>
          <w:wAfter w:w="220" w:type="dxa"/>
          <w:trHeight w:val="248"/>
          <w:jc w:val="center"/>
        </w:trPr>
        <w:tc>
          <w:tcPr>
            <w:tcW w:w="39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0306" w14:textId="77777777" w:rsidR="00B766BF" w:rsidRPr="0044499A" w:rsidRDefault="00B766BF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 xml:space="preserve">APA Activity #2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E1F6" w14:textId="77777777" w:rsidR="00B766BF" w:rsidRPr="0044499A" w:rsidRDefault="00B766BF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Marking Matrix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74D6" w14:textId="77777777" w:rsidR="00B766BF" w:rsidRPr="0044499A" w:rsidRDefault="00B766BF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25</w:t>
            </w:r>
          </w:p>
        </w:tc>
      </w:tr>
      <w:tr w:rsidR="006270EA" w:rsidRPr="0044499A" w14:paraId="7467417C" w14:textId="77777777" w:rsidTr="00B766BF">
        <w:trPr>
          <w:gridAfter w:val="1"/>
          <w:wAfter w:w="220" w:type="dxa"/>
          <w:trHeight w:val="342"/>
          <w:jc w:val="center"/>
        </w:trPr>
        <w:tc>
          <w:tcPr>
            <w:tcW w:w="9629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1B0A7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b/>
                <w:bCs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b/>
                <w:bCs/>
                <w:color w:val="000000"/>
                <w:szCs w:val="24"/>
                <w:lang w:eastAsia="en-CA"/>
              </w:rPr>
              <w:t>OPTIONAL Assignments (worth 60% of final grade)</w:t>
            </w:r>
          </w:p>
          <w:p w14:paraId="4102D8FA" w14:textId="77777777" w:rsidR="006270EA" w:rsidRPr="0044499A" w:rsidRDefault="006270EA" w:rsidP="006270E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b/>
                <w:bCs/>
                <w:szCs w:val="24"/>
                <w:lang w:eastAsia="en-CA"/>
              </w:rPr>
              <w:t>Said another way:</w:t>
            </w:r>
            <w:r w:rsidRPr="0044499A">
              <w:rPr>
                <w:rFonts w:cstheme="minorHAnsi"/>
                <w:szCs w:val="24"/>
                <w:lang w:eastAsia="en-CA"/>
              </w:rPr>
              <w:t xml:space="preserve"> learners can ‘miss’ any of the activities</w:t>
            </w:r>
            <w:r>
              <w:rPr>
                <w:rFonts w:cstheme="minorHAnsi"/>
                <w:szCs w:val="24"/>
                <w:lang w:eastAsia="en-CA"/>
              </w:rPr>
              <w:t xml:space="preserve"> </w:t>
            </w:r>
            <w:r w:rsidRPr="0044499A">
              <w:rPr>
                <w:rFonts w:cstheme="minorHAnsi"/>
                <w:szCs w:val="24"/>
                <w:lang w:eastAsia="en-CA"/>
              </w:rPr>
              <w:t>listed below; however, in doing so, the grades from those missed activities will also be ‘missed’ (or lost).</w:t>
            </w:r>
          </w:p>
          <w:p w14:paraId="254AC54A" w14:textId="77777777" w:rsidR="006270EA" w:rsidRPr="0044499A" w:rsidRDefault="006270EA" w:rsidP="006270E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b/>
                <w:bCs/>
                <w:szCs w:val="24"/>
                <w:lang w:eastAsia="en-CA"/>
              </w:rPr>
              <w:t>For example:</w:t>
            </w:r>
            <w:r w:rsidRPr="0044499A">
              <w:rPr>
                <w:rFonts w:cstheme="minorHAnsi"/>
                <w:szCs w:val="24"/>
                <w:lang w:eastAsia="en-CA"/>
              </w:rPr>
              <w:t xml:space="preserve"> </w:t>
            </w:r>
          </w:p>
          <w:p w14:paraId="407F72E3" w14:textId="77777777" w:rsidR="006270EA" w:rsidRPr="0044499A" w:rsidRDefault="006270EA" w:rsidP="007B339F">
            <w:pPr>
              <w:pStyle w:val="ListParagraph"/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szCs w:val="24"/>
                <w:lang w:eastAsia="en-CA"/>
              </w:rPr>
              <w:t xml:space="preserve">If a learner completes 10 of the 12 optional quizzes in the Revel App; that means the learner will earn 40 out of the possible 48 points from quizzes. </w:t>
            </w:r>
          </w:p>
        </w:tc>
      </w:tr>
      <w:tr w:rsidR="006270EA" w:rsidRPr="0044499A" w14:paraId="2F2E1E2F" w14:textId="77777777" w:rsidTr="00B766BF">
        <w:trPr>
          <w:trHeight w:val="429"/>
          <w:jc w:val="center"/>
        </w:trPr>
        <w:tc>
          <w:tcPr>
            <w:tcW w:w="39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15C7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Tutorial (Discussion Group) Attendance &amp; Activity (6 @ 2 points each)</w:t>
            </w:r>
          </w:p>
          <w:p w14:paraId="40784424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</w:p>
          <w:p w14:paraId="60DAF28A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lastRenderedPageBreak/>
              <w:t xml:space="preserve">For full points: Students attend </w:t>
            </w:r>
            <w:r w:rsidRPr="0044499A">
              <w:rPr>
                <w:rFonts w:cstheme="minorHAnsi"/>
                <w:b/>
                <w:bCs/>
                <w:color w:val="000000"/>
                <w:szCs w:val="24"/>
                <w:lang w:eastAsia="en-CA"/>
              </w:rPr>
              <w:t>and participate</w:t>
            </w: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 xml:space="preserve"> in 6 out of the 9 tutorials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93B0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lastRenderedPageBreak/>
              <w:t>Complete OR Incomplete</w:t>
            </w:r>
          </w:p>
          <w:p w14:paraId="3409B4EF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012C" w14:textId="2DC7439E" w:rsidR="006270EA" w:rsidRPr="0044499A" w:rsidRDefault="00B766BF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>
              <w:rPr>
                <w:rFonts w:cstheme="minorHAnsi"/>
                <w:color w:val="000000"/>
                <w:szCs w:val="24"/>
                <w:lang w:eastAsia="en-CA"/>
              </w:rPr>
              <w:t>12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F8B6" w14:textId="71ECDE26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</w:p>
        </w:tc>
      </w:tr>
      <w:tr w:rsidR="006270EA" w:rsidRPr="0044499A" w14:paraId="566F0208" w14:textId="77777777" w:rsidTr="00B766BF">
        <w:trPr>
          <w:trHeight w:val="290"/>
          <w:jc w:val="center"/>
        </w:trPr>
        <w:tc>
          <w:tcPr>
            <w:tcW w:w="39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8B02B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Revel Quizzes (12 @ 4 points each)</w:t>
            </w:r>
          </w:p>
          <w:p w14:paraId="5A9B12D9" w14:textId="77777777" w:rsidR="006270EA" w:rsidRPr="0044499A" w:rsidRDefault="006270EA" w:rsidP="006270E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b/>
                <w:bCs/>
                <w:szCs w:val="24"/>
                <w:lang w:eastAsia="en-CA"/>
              </w:rPr>
            </w:pPr>
            <w:r w:rsidRPr="0044499A">
              <w:rPr>
                <w:rFonts w:cstheme="minorHAnsi"/>
                <w:color w:val="ED0000"/>
                <w:szCs w:val="24"/>
                <w:lang w:eastAsia="en-CA"/>
              </w:rPr>
              <w:t xml:space="preserve">Revel quizzes can only be accessed through the Revel App, which comes with the </w:t>
            </w:r>
            <w:proofErr w:type="spellStart"/>
            <w:r>
              <w:rPr>
                <w:rFonts w:cstheme="minorHAnsi"/>
                <w:color w:val="ED0000"/>
                <w:szCs w:val="24"/>
                <w:lang w:eastAsia="en-CA"/>
              </w:rPr>
              <w:t>Ravelli</w:t>
            </w:r>
            <w:proofErr w:type="spellEnd"/>
            <w:r>
              <w:rPr>
                <w:rFonts w:cstheme="minorHAnsi"/>
                <w:color w:val="ED0000"/>
                <w:szCs w:val="24"/>
                <w:lang w:eastAsia="en-CA"/>
              </w:rPr>
              <w:t xml:space="preserve"> &amp; Webber E-Text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EF5A3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color w:val="000000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Multiple Choice</w:t>
            </w:r>
          </w:p>
          <w:p w14:paraId="469229C8" w14:textId="77777777" w:rsidR="006270EA" w:rsidRPr="0044499A" w:rsidRDefault="006270EA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(</w:t>
            </w:r>
            <w:proofErr w:type="gramStart"/>
            <w:r w:rsidRPr="0044499A">
              <w:rPr>
                <w:rFonts w:cstheme="minorHAnsi"/>
                <w:color w:val="000000"/>
                <w:szCs w:val="24"/>
                <w:lang w:eastAsia="en-CA"/>
              </w:rPr>
              <w:t>unlimited</w:t>
            </w:r>
            <w:proofErr w:type="gramEnd"/>
            <w:r w:rsidRPr="0044499A">
              <w:rPr>
                <w:rFonts w:cstheme="minorHAnsi"/>
                <w:color w:val="000000"/>
                <w:szCs w:val="24"/>
                <w:lang w:eastAsia="en-CA"/>
              </w:rPr>
              <w:t xml:space="preserve"> time, 2 attempts)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9C701" w14:textId="5D680C48" w:rsidR="006270EA" w:rsidRPr="0044499A" w:rsidRDefault="00B766BF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  <w:r>
              <w:rPr>
                <w:rFonts w:cstheme="minorHAnsi"/>
                <w:szCs w:val="24"/>
                <w:lang w:eastAsia="en-CA"/>
              </w:rPr>
              <w:t>48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45A0A" w14:textId="14FAF819" w:rsidR="006270EA" w:rsidRPr="0044499A" w:rsidRDefault="006270EA" w:rsidP="007B339F">
            <w:pPr>
              <w:spacing w:line="240" w:lineRule="auto"/>
              <w:rPr>
                <w:rFonts w:cstheme="minorHAnsi"/>
                <w:szCs w:val="24"/>
                <w:lang w:eastAsia="en-CA"/>
              </w:rPr>
            </w:pPr>
          </w:p>
        </w:tc>
      </w:tr>
    </w:tbl>
    <w:p w14:paraId="7CB6AE8B" w14:textId="0B870044" w:rsidR="006270EA" w:rsidRPr="00110483" w:rsidRDefault="006270EA" w:rsidP="00110483">
      <w:pPr>
        <w:rPr>
          <w:b/>
          <w:szCs w:val="24"/>
        </w:rPr>
      </w:pPr>
    </w:p>
    <w:sectPr w:rsidR="006270EA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861"/>
    <w:multiLevelType w:val="hybridMultilevel"/>
    <w:tmpl w:val="DEF87A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17E7"/>
    <w:multiLevelType w:val="hybridMultilevel"/>
    <w:tmpl w:val="3D44B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851AC"/>
    <w:multiLevelType w:val="hybridMultilevel"/>
    <w:tmpl w:val="0896C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110483"/>
    <w:rsid w:val="0021544B"/>
    <w:rsid w:val="003D5CF9"/>
    <w:rsid w:val="006270EA"/>
    <w:rsid w:val="006D594D"/>
    <w:rsid w:val="00814D52"/>
    <w:rsid w:val="00A042F7"/>
    <w:rsid w:val="00A97E7D"/>
    <w:rsid w:val="00AE75A5"/>
    <w:rsid w:val="00AF0D04"/>
    <w:rsid w:val="00B766BF"/>
    <w:rsid w:val="00C661A9"/>
    <w:rsid w:val="00C75511"/>
    <w:rsid w:val="00DE37CC"/>
    <w:rsid w:val="00E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0EA"/>
    <w:pPr>
      <w:spacing w:before="100" w:beforeAutospacing="1" w:after="100" w:afterAutospacing="1" w:line="240" w:lineRule="auto"/>
    </w:pPr>
    <w:rPr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c.ca/radio/podcastnews/telling-our-twisted-histories-transcripts-listen-1.68686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ole.pearson.com/enrollment/9v1w3t" TargetMode="External"/><Relationship Id="rId5" Type="http://schemas.openxmlformats.org/officeDocument/2006/relationships/hyperlink" Target="mailto:deborahlandry@cunet.carleton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3</cp:revision>
  <dcterms:created xsi:type="dcterms:W3CDTF">2023-12-05T20:22:00Z</dcterms:created>
  <dcterms:modified xsi:type="dcterms:W3CDTF">2023-12-05T20:25:00Z</dcterms:modified>
</cp:coreProperties>
</file>