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76746FE8" w:rsidR="00C661A9" w:rsidRPr="00C661A9" w:rsidRDefault="00F96F9C" w:rsidP="00C661A9">
      <w:pPr>
        <w:jc w:val="center"/>
        <w:rPr>
          <w:b/>
          <w:szCs w:val="24"/>
        </w:rPr>
      </w:pPr>
      <w:r>
        <w:rPr>
          <w:b/>
          <w:szCs w:val="24"/>
        </w:rPr>
        <w:t>SOCI 2450B</w:t>
      </w:r>
    </w:p>
    <w:p w14:paraId="39361328" w14:textId="3831FEA0" w:rsidR="00C661A9" w:rsidRPr="00C661A9" w:rsidRDefault="00F96F9C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6B3C75D8" w:rsidR="00DE37CC" w:rsidRPr="00A97E7D" w:rsidRDefault="00F96F9C" w:rsidP="00C661A9">
      <w:pPr>
        <w:jc w:val="center"/>
        <w:rPr>
          <w:b/>
          <w:szCs w:val="24"/>
        </w:rPr>
      </w:pPr>
      <w:r>
        <w:rPr>
          <w:b/>
          <w:szCs w:val="24"/>
        </w:rPr>
        <w:t>CRIME AND SOCIETY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0A77D850" w:rsidR="00110483" w:rsidRPr="00F96F9C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F96F9C">
        <w:rPr>
          <w:bCs/>
          <w:szCs w:val="24"/>
        </w:rPr>
        <w:t>Deborah Landry</w:t>
      </w:r>
    </w:p>
    <w:p w14:paraId="7F56FB0B" w14:textId="2C4DD82A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F96F9C" w:rsidRPr="006F6325">
          <w:rPr>
            <w:rStyle w:val="Hyperlink"/>
            <w:rFonts w:cstheme="minorHAnsi"/>
            <w:bCs/>
            <w:szCs w:val="24"/>
          </w:rPr>
          <w:t>deborahlandry@cunet.carleton.ca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44F85576" w:rsidR="00110483" w:rsidRPr="00F96F9C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F96F9C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18B2D150" w:rsidR="00AF0D04" w:rsidRP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  <w:r w:rsidR="00F96F9C" w:rsidRPr="00FF5027">
        <w:rPr>
          <w:rFonts w:cstheme="minorHAnsi"/>
          <w:szCs w:val="24"/>
        </w:rPr>
        <w:t>Social reactions to crime, criminalization processes, the criminal justice system, and intersection</w:t>
      </w:r>
      <w:r w:rsidR="00F96F9C">
        <w:rPr>
          <w:rFonts w:cstheme="minorHAnsi"/>
          <w:szCs w:val="24"/>
        </w:rPr>
        <w:t>s</w:t>
      </w:r>
      <w:r w:rsidR="00F96F9C" w:rsidRPr="00FF5027">
        <w:rPr>
          <w:rFonts w:cstheme="minorHAnsi"/>
          <w:szCs w:val="24"/>
        </w:rPr>
        <w:t xml:space="preserve"> with power relations and social inequalities.</w:t>
      </w:r>
      <w:r w:rsidR="00F96F9C">
        <w:rPr>
          <w:rFonts w:cstheme="minorHAnsi"/>
          <w:szCs w:val="24"/>
        </w:rPr>
        <w:t xml:space="preserve"> Specifically, we will be examining how these social phenomena manifest in the historic and current relationship between First Nations and the Canadian State. We will also be reflecting upon the role </w:t>
      </w:r>
      <w:proofErr w:type="gramStart"/>
      <w:r w:rsidR="00F96F9C">
        <w:rPr>
          <w:rFonts w:cstheme="minorHAnsi"/>
          <w:szCs w:val="24"/>
        </w:rPr>
        <w:t>that social sciences</w:t>
      </w:r>
      <w:proofErr w:type="gramEnd"/>
      <w:r w:rsidR="00F96F9C">
        <w:rPr>
          <w:rFonts w:cstheme="minorHAnsi"/>
          <w:szCs w:val="24"/>
        </w:rPr>
        <w:t xml:space="preserve"> have played in settler colonialism and criminalization historically and</w:t>
      </w:r>
      <w:r w:rsidR="00F96F9C">
        <w:rPr>
          <w:rFonts w:cstheme="minorHAnsi"/>
          <w:szCs w:val="24"/>
        </w:rPr>
        <w:t xml:space="preserve"> currently. Finally, we conclude with critical consideration about possible futures for ‘crime’ and ‘society’. 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77777777" w:rsidR="00DE37CC" w:rsidRPr="00A97E7D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44157194" w14:textId="77777777" w:rsidR="00F96F9C" w:rsidRDefault="00F96F9C" w:rsidP="00F96F9C">
      <w:pPr>
        <w:pStyle w:val="NormalWeb"/>
        <w:spacing w:before="240" w:beforeAutospacing="0" w:after="0" w:afterAutospacing="0" w:line="276" w:lineRule="auto"/>
        <w:rPr>
          <w:rFonts w:asciiTheme="minorHAnsi" w:hAnsiTheme="minorHAnsi" w:cstheme="minorHAnsi"/>
        </w:rPr>
      </w:pPr>
      <w:proofErr w:type="spellStart"/>
      <w:r w:rsidRPr="0037069E">
        <w:rPr>
          <w:rFonts w:asciiTheme="minorHAnsi" w:hAnsiTheme="minorHAnsi" w:cstheme="minorHAnsi"/>
        </w:rPr>
        <w:t>Monchalin</w:t>
      </w:r>
      <w:proofErr w:type="spellEnd"/>
      <w:r w:rsidRPr="0037069E">
        <w:rPr>
          <w:rFonts w:asciiTheme="minorHAnsi" w:hAnsiTheme="minorHAnsi" w:cstheme="minorHAnsi"/>
        </w:rPr>
        <w:t xml:space="preserve">, L. (2016). </w:t>
      </w:r>
      <w:r w:rsidRPr="0037069E">
        <w:rPr>
          <w:rFonts w:asciiTheme="minorHAnsi" w:hAnsiTheme="minorHAnsi" w:cstheme="minorHAnsi"/>
          <w:i/>
          <w:iCs/>
        </w:rPr>
        <w:t>The colonial problem: an Indigenous perspective on crime and injustice in Canada</w:t>
      </w:r>
      <w:r w:rsidRPr="0037069E">
        <w:rPr>
          <w:rFonts w:asciiTheme="minorHAnsi" w:hAnsiTheme="minorHAnsi" w:cstheme="minorHAnsi"/>
        </w:rPr>
        <w:t>. University of Toronto Press.</w:t>
      </w:r>
    </w:p>
    <w:p w14:paraId="083B1303" w14:textId="77C6B125" w:rsidR="00A97E7D" w:rsidRPr="00F96F9C" w:rsidRDefault="00F96F9C" w:rsidP="00F96F9C">
      <w:pPr>
        <w:spacing w:line="276" w:lineRule="auto"/>
        <w:rPr>
          <w:rFonts w:cstheme="minorHAnsi"/>
          <w:szCs w:val="24"/>
          <w:lang w:eastAsia="en-CA"/>
        </w:rPr>
      </w:pPr>
      <w:r w:rsidRPr="00B15F36">
        <w:rPr>
          <w:rFonts w:cstheme="minorHAnsi"/>
          <w:szCs w:val="24"/>
          <w:lang w:eastAsia="en-CA"/>
        </w:rPr>
        <w:t>Any additional resources will be available to learners through Brightspace.</w:t>
      </w:r>
    </w:p>
    <w:p w14:paraId="5092CCD6" w14:textId="77777777" w:rsidR="00F96F9C" w:rsidRPr="00A97E7D" w:rsidRDefault="00F96F9C" w:rsidP="00DE37CC">
      <w:pPr>
        <w:rPr>
          <w:b/>
          <w:szCs w:val="24"/>
        </w:rPr>
      </w:pPr>
    </w:p>
    <w:p w14:paraId="5D5521DF" w14:textId="7F6F3B2E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693E4C58" w14:textId="1603B6E5" w:rsidR="00F96F9C" w:rsidRDefault="00F96F9C" w:rsidP="00110483">
      <w:pPr>
        <w:rPr>
          <w:b/>
          <w:szCs w:val="24"/>
        </w:rPr>
      </w:pPr>
    </w:p>
    <w:tbl>
      <w:tblPr>
        <w:tblW w:w="110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5"/>
        <w:gridCol w:w="2641"/>
        <w:gridCol w:w="2971"/>
      </w:tblGrid>
      <w:tr w:rsidR="00F96F9C" w:rsidRPr="00F4492A" w14:paraId="2FCDA6CA" w14:textId="77777777" w:rsidTr="007B339F">
        <w:trPr>
          <w:trHeight w:val="429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AE7ED" w14:textId="77777777" w:rsidR="00F96F9C" w:rsidRDefault="00F96F9C" w:rsidP="007B339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  <w:t xml:space="preserve">Required Assignments </w:t>
            </w:r>
            <w:r w:rsidRPr="00961C54">
              <w:rPr>
                <w:rFonts w:ascii="Calibri" w:hAnsi="Calibri" w:cs="Calibri"/>
                <w:color w:val="000000"/>
                <w:shd w:val="clear" w:color="auto" w:fill="EFEFEF"/>
                <w:lang w:eastAsia="en-CA"/>
              </w:rPr>
              <w:t>(</w:t>
            </w:r>
            <w:r>
              <w:rPr>
                <w:rFonts w:ascii="Calibri" w:hAnsi="Calibri" w:cs="Calibri"/>
                <w:color w:val="000000"/>
                <w:shd w:val="clear" w:color="auto" w:fill="EFEFEF"/>
                <w:lang w:eastAsia="en-CA"/>
              </w:rPr>
              <w:t>75</w:t>
            </w:r>
            <w:r w:rsidRPr="00961C54">
              <w:rPr>
                <w:rFonts w:ascii="Calibri" w:hAnsi="Calibri" w:cs="Calibri"/>
                <w:color w:val="000000"/>
                <w:shd w:val="clear" w:color="auto" w:fill="EFEFEF"/>
                <w:lang w:eastAsia="en-CA"/>
              </w:rPr>
              <w:t>% of final grade)</w:t>
            </w:r>
          </w:p>
          <w:p w14:paraId="59804A0F" w14:textId="77777777" w:rsidR="00F96F9C" w:rsidRPr="00961C54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EFEFEF"/>
                <w:lang w:eastAsia="en-CA"/>
              </w:rPr>
            </w:pPr>
            <w:r w:rsidRPr="00961C54">
              <w:rPr>
                <w:rFonts w:ascii="Calibri" w:hAnsi="Calibri" w:cs="Calibri"/>
                <w:color w:val="000000"/>
                <w:highlight w:val="yellow"/>
                <w:shd w:val="clear" w:color="auto" w:fill="EFEFEF"/>
                <w:lang w:eastAsia="en-CA"/>
              </w:rPr>
              <w:t xml:space="preserve">These submissions must be made in order to </w:t>
            </w:r>
            <w:r w:rsidRPr="007E26BE">
              <w:rPr>
                <w:rFonts w:ascii="Calibri" w:hAnsi="Calibri" w:cs="Calibri"/>
                <w:color w:val="000000"/>
                <w:highlight w:val="yellow"/>
                <w:shd w:val="clear" w:color="auto" w:fill="EFEFEF"/>
                <w:lang w:eastAsia="en-CA"/>
              </w:rPr>
              <w:t>receive course credit</w:t>
            </w:r>
            <w:r w:rsidRPr="00961C54">
              <w:rPr>
                <w:rFonts w:ascii="Calibri" w:hAnsi="Calibri" w:cs="Calibri"/>
                <w:color w:val="000000"/>
                <w:shd w:val="clear" w:color="auto" w:fill="EFEFEF"/>
                <w:lang w:eastAsia="en-CA"/>
              </w:rPr>
              <w:t xml:space="preserve">  </w:t>
            </w:r>
          </w:p>
          <w:p w14:paraId="29A60EEC" w14:textId="77777777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735AB" w14:textId="77777777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  <w:r w:rsidRPr="005904BF"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  <w:t>Evaluation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62232" w14:textId="77777777" w:rsidR="00F96F9C" w:rsidRDefault="00F96F9C" w:rsidP="00F96F9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</w:pPr>
            <w:r w:rsidRPr="005904BF"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  <w:t>Weight </w:t>
            </w:r>
          </w:p>
          <w:p w14:paraId="48D5092C" w14:textId="492A942E" w:rsidR="00F96F9C" w:rsidRPr="00F4492A" w:rsidRDefault="00F96F9C" w:rsidP="00F96F9C">
            <w:pPr>
              <w:spacing w:line="240" w:lineRule="auto"/>
              <w:rPr>
                <w:i/>
                <w:iCs/>
                <w:szCs w:val="24"/>
                <w:lang w:eastAsia="en-CA"/>
              </w:rPr>
            </w:pPr>
            <w:r>
              <w:rPr>
                <w:szCs w:val="24"/>
                <w:shd w:val="clear" w:color="auto" w:fill="EFEFEF"/>
                <w:lang w:eastAsia="en-CA"/>
              </w:rPr>
              <w:t>Points out of 100</w:t>
            </w:r>
          </w:p>
        </w:tc>
      </w:tr>
      <w:tr w:rsidR="00F96F9C" w:rsidRPr="005904BF" w14:paraId="6D444CDD" w14:textId="77777777" w:rsidTr="007B339F">
        <w:trPr>
          <w:trHeight w:val="264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69FF" w14:textId="77777777" w:rsidR="00F96F9C" w:rsidRPr="005904BF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APA Activity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5AF1" w14:textId="77777777" w:rsidR="00F96F9C" w:rsidRPr="005904BF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Marking Matrix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49A67" w14:textId="300B77A4" w:rsidR="00F96F9C" w:rsidRPr="005904BF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15</w:t>
            </w:r>
          </w:p>
        </w:tc>
      </w:tr>
      <w:tr w:rsidR="00F96F9C" w:rsidRPr="00EF56FE" w14:paraId="060F3B0F" w14:textId="77777777" w:rsidTr="007B339F">
        <w:trPr>
          <w:trHeight w:val="330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A641" w14:textId="77777777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  <w:r w:rsidRPr="000E365C">
              <w:rPr>
                <w:rFonts w:ascii="Calibri" w:hAnsi="Calibri" w:cs="Calibri"/>
                <w:color w:val="000000"/>
                <w:lang w:eastAsia="en-CA"/>
              </w:rPr>
              <w:t>APA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Case Study Proposal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0213" w14:textId="77777777" w:rsidR="00F96F9C" w:rsidRPr="00EF56FE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Marking Matrix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737C" w14:textId="7C74886C" w:rsidR="00F96F9C" w:rsidRPr="00EF56FE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20</w:t>
            </w:r>
          </w:p>
        </w:tc>
      </w:tr>
      <w:tr w:rsidR="00F96F9C" w:rsidRPr="005904BF" w14:paraId="6BDD94B3" w14:textId="77777777" w:rsidTr="007B339F">
        <w:trPr>
          <w:trHeight w:val="248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6E37" w14:textId="77777777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  <w:r w:rsidRPr="000E365C">
              <w:rPr>
                <w:rFonts w:ascii="Calibri" w:hAnsi="Calibri" w:cs="Calibri"/>
                <w:color w:val="000000"/>
                <w:lang w:eastAsia="en-CA"/>
              </w:rPr>
              <w:t>APA Essay: Case Study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(FINAL)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FD90" w14:textId="77777777" w:rsidR="00F96F9C" w:rsidRPr="00EF56FE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EF56FE">
              <w:rPr>
                <w:rFonts w:ascii="Calibri" w:hAnsi="Calibri" w:cs="Calibri"/>
                <w:color w:val="000000"/>
                <w:lang w:eastAsia="en-CA"/>
              </w:rPr>
              <w:t>Marking Matrix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AE7B" w14:textId="0339429C" w:rsidR="00F96F9C" w:rsidRPr="005904BF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CA"/>
              </w:rPr>
              <w:t>40</w:t>
            </w:r>
          </w:p>
        </w:tc>
      </w:tr>
      <w:tr w:rsidR="00F96F9C" w:rsidRPr="00F4492A" w14:paraId="53C1DCB2" w14:textId="77777777" w:rsidTr="007B339F">
        <w:trPr>
          <w:trHeight w:val="248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8626" w14:textId="77777777" w:rsidR="00F96F9C" w:rsidRDefault="00F96F9C" w:rsidP="007B339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F4492A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Optional Marks/Assignments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 xml:space="preserve"> </w:t>
            </w:r>
          </w:p>
          <w:p w14:paraId="128D21AB" w14:textId="77777777" w:rsidR="00F96F9C" w:rsidRPr="00961C54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961C54">
              <w:rPr>
                <w:rFonts w:ascii="Calibri" w:hAnsi="Calibri" w:cs="Calibri"/>
                <w:color w:val="000000"/>
                <w:lang w:eastAsia="en-CA"/>
              </w:rPr>
              <w:t>(</w:t>
            </w:r>
            <w:r>
              <w:rPr>
                <w:rFonts w:ascii="Calibri" w:hAnsi="Calibri" w:cs="Calibri"/>
                <w:color w:val="000000"/>
                <w:lang w:eastAsia="en-CA"/>
              </w:rPr>
              <w:t>25</w:t>
            </w:r>
            <w:r w:rsidRPr="00961C54">
              <w:rPr>
                <w:rFonts w:ascii="Calibri" w:hAnsi="Calibri" w:cs="Calibri"/>
                <w:color w:val="000000"/>
                <w:lang w:eastAsia="en-CA"/>
              </w:rPr>
              <w:t xml:space="preserve">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of </w:t>
            </w:r>
            <w:r w:rsidRPr="00961C54">
              <w:rPr>
                <w:rFonts w:ascii="Calibri" w:hAnsi="Calibri" w:cs="Calibri"/>
                <w:color w:val="000000"/>
                <w:lang w:eastAsia="en-CA"/>
              </w:rPr>
              <w:t>final grade)</w:t>
            </w:r>
          </w:p>
          <w:p w14:paraId="4B5169FF" w14:textId="77777777" w:rsidR="00F96F9C" w:rsidRPr="00F4492A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F4492A">
              <w:rPr>
                <w:rFonts w:ascii="Calibri" w:hAnsi="Calibri" w:cs="Calibri"/>
                <w:color w:val="000000"/>
                <w:lang w:eastAsia="en-CA"/>
              </w:rPr>
              <w:t>If these submissions are not made, the learner can still complete the course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436A" w14:textId="77777777" w:rsidR="00F96F9C" w:rsidRDefault="00F96F9C" w:rsidP="007B339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</w:pPr>
            <w:r w:rsidRPr="005904BF"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  <w:t>Evaluation</w:t>
            </w:r>
          </w:p>
          <w:p w14:paraId="279302F0" w14:textId="77777777" w:rsidR="00F96F9C" w:rsidRPr="00F4492A" w:rsidRDefault="00F96F9C" w:rsidP="007B339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8B53" w14:textId="45D05872" w:rsidR="00F96F9C" w:rsidRPr="00F4492A" w:rsidRDefault="00F96F9C" w:rsidP="007B339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hd w:val="clear" w:color="auto" w:fill="EFEFEF"/>
                <w:lang w:eastAsia="en-CA"/>
              </w:rPr>
            </w:pPr>
          </w:p>
        </w:tc>
      </w:tr>
      <w:tr w:rsidR="00F96F9C" w:rsidRPr="005904BF" w14:paraId="3764DA1D" w14:textId="77777777" w:rsidTr="007B339F">
        <w:trPr>
          <w:trHeight w:val="336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87EF" w14:textId="77777777" w:rsidR="00F96F9C" w:rsidRPr="008A69BC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val="fr-CA" w:eastAsia="en-CA"/>
              </w:rPr>
            </w:pPr>
            <w:r w:rsidRPr="008A69BC">
              <w:rPr>
                <w:rFonts w:ascii="Calibri" w:hAnsi="Calibri" w:cs="Calibri"/>
                <w:color w:val="000000"/>
                <w:lang w:val="fr-CA" w:eastAsia="en-CA"/>
              </w:rPr>
              <w:t xml:space="preserve">APTN </w:t>
            </w:r>
            <w:proofErr w:type="spellStart"/>
            <w:r w:rsidRPr="008A69BC">
              <w:rPr>
                <w:rFonts w:ascii="Calibri" w:hAnsi="Calibri" w:cs="Calibri"/>
                <w:color w:val="000000"/>
                <w:lang w:val="fr-CA" w:eastAsia="en-CA"/>
              </w:rPr>
              <w:t>Reflection</w:t>
            </w:r>
            <w:proofErr w:type="spellEnd"/>
            <w:r w:rsidRPr="008A69BC">
              <w:rPr>
                <w:rFonts w:ascii="Calibri" w:hAnsi="Calibri" w:cs="Calibri"/>
                <w:color w:val="000000"/>
                <w:lang w:val="fr-CA" w:eastAsia="en-CA"/>
              </w:rPr>
              <w:t xml:space="preserve"> </w:t>
            </w:r>
            <w:proofErr w:type="spellStart"/>
            <w:r w:rsidRPr="008A69BC">
              <w:rPr>
                <w:rFonts w:ascii="Calibri" w:hAnsi="Calibri" w:cs="Calibri"/>
                <w:color w:val="000000"/>
                <w:lang w:val="fr-CA" w:eastAsia="en-CA"/>
              </w:rPr>
              <w:t>Journals</w:t>
            </w:r>
            <w:proofErr w:type="spellEnd"/>
            <w:r w:rsidRPr="008A69BC">
              <w:rPr>
                <w:rFonts w:ascii="Calibri" w:hAnsi="Calibri" w:cs="Calibri"/>
                <w:color w:val="000000"/>
                <w:lang w:val="fr-CA" w:eastAsia="en-CA"/>
              </w:rPr>
              <w:t xml:space="preserve"> (3 X 5 points)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AB8C" w14:textId="77777777" w:rsidR="00F96F9C" w:rsidRPr="005904BF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Marking Grid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FDE3" w14:textId="60331E31" w:rsidR="00F96F9C" w:rsidRPr="005904BF" w:rsidRDefault="00F96F9C" w:rsidP="007B339F">
            <w:pPr>
              <w:spacing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15</w:t>
            </w:r>
          </w:p>
        </w:tc>
      </w:tr>
      <w:tr w:rsidR="00F96F9C" w:rsidRPr="005904BF" w14:paraId="694D59BB" w14:textId="77777777" w:rsidTr="007B339F">
        <w:trPr>
          <w:trHeight w:val="290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4C8C" w14:textId="77777777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Case Study Dissemination (sharing your findings)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71AD" w14:textId="77777777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  <w:r w:rsidRPr="00EF56FE">
              <w:rPr>
                <w:rFonts w:ascii="Calibri" w:hAnsi="Calibri" w:cs="Calibri"/>
                <w:color w:val="000000"/>
                <w:lang w:eastAsia="en-CA"/>
              </w:rPr>
              <w:t>Complete/Incomplete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90FF" w14:textId="1796C56D" w:rsidR="00F96F9C" w:rsidRPr="005904BF" w:rsidRDefault="00F96F9C" w:rsidP="007B339F">
            <w:pPr>
              <w:spacing w:line="240" w:lineRule="auto"/>
              <w:rPr>
                <w:szCs w:val="24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CA"/>
              </w:rPr>
              <w:t>10</w:t>
            </w:r>
          </w:p>
        </w:tc>
      </w:tr>
    </w:tbl>
    <w:p w14:paraId="278C2A63" w14:textId="77777777" w:rsidR="00F96F9C" w:rsidRPr="00110483" w:rsidRDefault="00F96F9C" w:rsidP="00110483">
      <w:pPr>
        <w:rPr>
          <w:b/>
          <w:szCs w:val="24"/>
        </w:rPr>
      </w:pPr>
    </w:p>
    <w:sectPr w:rsidR="00F96F9C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110483"/>
    <w:rsid w:val="0021544B"/>
    <w:rsid w:val="003D5CF9"/>
    <w:rsid w:val="006D594D"/>
    <w:rsid w:val="00814D52"/>
    <w:rsid w:val="00A042F7"/>
    <w:rsid w:val="00A97E7D"/>
    <w:rsid w:val="00AE75A5"/>
    <w:rsid w:val="00AF0D04"/>
    <w:rsid w:val="00C661A9"/>
    <w:rsid w:val="00C75511"/>
    <w:rsid w:val="00DE37CC"/>
    <w:rsid w:val="00EB2ABD"/>
    <w:rsid w:val="00F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6F9C"/>
    <w:pPr>
      <w:spacing w:before="100" w:beforeAutospacing="1" w:after="100" w:afterAutospacing="1" w:line="240" w:lineRule="auto"/>
    </w:pPr>
    <w:rPr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orahlandry@cunet.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2023-12-05T20:29:00Z</dcterms:created>
  <dcterms:modified xsi:type="dcterms:W3CDTF">2023-12-05T20:29:00Z</dcterms:modified>
</cp:coreProperties>
</file>