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E6FBD" w14:textId="77777777" w:rsidR="00C661A9" w:rsidRPr="00C661A9" w:rsidRDefault="00C661A9" w:rsidP="00C661A9">
      <w:pPr>
        <w:jc w:val="center"/>
        <w:rPr>
          <w:b/>
          <w:szCs w:val="24"/>
        </w:rPr>
      </w:pPr>
      <w:r w:rsidRPr="00C661A9">
        <w:rPr>
          <w:b/>
          <w:szCs w:val="24"/>
        </w:rPr>
        <w:t>CARLETON UNIVERSITY</w:t>
      </w:r>
    </w:p>
    <w:p w14:paraId="6B519D2B" w14:textId="77777777" w:rsidR="00C661A9" w:rsidRPr="00C661A9" w:rsidRDefault="00C661A9" w:rsidP="00C661A9">
      <w:pPr>
        <w:jc w:val="center"/>
        <w:rPr>
          <w:b/>
          <w:szCs w:val="24"/>
        </w:rPr>
      </w:pPr>
      <w:r w:rsidRPr="00C661A9">
        <w:rPr>
          <w:b/>
          <w:szCs w:val="24"/>
        </w:rPr>
        <w:t>DEPARTMENT OF SOCIOLOGY AND ANTHROPOLOGY</w:t>
      </w:r>
    </w:p>
    <w:p w14:paraId="35077009" w14:textId="77777777" w:rsidR="00C661A9" w:rsidRPr="00C661A9" w:rsidRDefault="00C661A9" w:rsidP="00C661A9">
      <w:pPr>
        <w:jc w:val="center"/>
        <w:rPr>
          <w:b/>
          <w:szCs w:val="24"/>
        </w:rPr>
      </w:pPr>
    </w:p>
    <w:p w14:paraId="7961D505" w14:textId="343AC0FB" w:rsidR="00C661A9" w:rsidRPr="00C661A9" w:rsidRDefault="00F76882" w:rsidP="00C661A9">
      <w:pPr>
        <w:jc w:val="center"/>
        <w:rPr>
          <w:b/>
          <w:szCs w:val="24"/>
        </w:rPr>
      </w:pPr>
      <w:r>
        <w:rPr>
          <w:b/>
          <w:szCs w:val="24"/>
        </w:rPr>
        <w:t>SOCI 3220/ANTH 3215</w:t>
      </w:r>
    </w:p>
    <w:p w14:paraId="39361328" w14:textId="455406F7" w:rsidR="00C661A9" w:rsidRPr="00C661A9" w:rsidRDefault="00F76882" w:rsidP="00C661A9">
      <w:pPr>
        <w:jc w:val="center"/>
        <w:rPr>
          <w:b/>
          <w:szCs w:val="24"/>
        </w:rPr>
      </w:pPr>
      <w:r>
        <w:rPr>
          <w:b/>
          <w:szCs w:val="24"/>
        </w:rPr>
        <w:t>WINTER 2024</w:t>
      </w:r>
    </w:p>
    <w:p w14:paraId="6A89C690" w14:textId="25268DEE" w:rsidR="00DE37CC" w:rsidRPr="00A97E7D" w:rsidRDefault="00F76882" w:rsidP="00C661A9">
      <w:pPr>
        <w:jc w:val="center"/>
        <w:rPr>
          <w:b/>
          <w:szCs w:val="24"/>
        </w:rPr>
      </w:pPr>
      <w:r>
        <w:rPr>
          <w:b/>
          <w:szCs w:val="24"/>
        </w:rPr>
        <w:t>WHET YOUR APPETITE: EHTNOGRAPHIES OF FOOD</w:t>
      </w:r>
    </w:p>
    <w:p w14:paraId="429364C5" w14:textId="77777777" w:rsidR="00DE37CC" w:rsidRDefault="00DE37CC" w:rsidP="00DE37CC">
      <w:pPr>
        <w:rPr>
          <w:b/>
          <w:szCs w:val="24"/>
        </w:rPr>
      </w:pPr>
    </w:p>
    <w:p w14:paraId="2B8DA6F8" w14:textId="77777777" w:rsidR="00814D52" w:rsidRPr="00A97E7D" w:rsidRDefault="00814D52" w:rsidP="00DE37CC">
      <w:pPr>
        <w:rPr>
          <w:b/>
          <w:szCs w:val="24"/>
        </w:rPr>
      </w:pPr>
    </w:p>
    <w:p w14:paraId="067987AF" w14:textId="6F8D36EF" w:rsidR="00110483" w:rsidRPr="00F76882" w:rsidRDefault="00DE37CC" w:rsidP="00DE37CC">
      <w:pPr>
        <w:rPr>
          <w:bCs/>
          <w:szCs w:val="24"/>
        </w:rPr>
      </w:pPr>
      <w:r w:rsidRPr="00A97E7D">
        <w:rPr>
          <w:b/>
          <w:szCs w:val="24"/>
        </w:rPr>
        <w:t xml:space="preserve">Instructor: </w:t>
      </w:r>
      <w:r w:rsidR="00F76882">
        <w:rPr>
          <w:bCs/>
          <w:szCs w:val="24"/>
        </w:rPr>
        <w:t xml:space="preserve">Dr. Miriam Hird-Younger </w:t>
      </w:r>
    </w:p>
    <w:p w14:paraId="7F56FB0B" w14:textId="58B5F215" w:rsidR="00DE37CC" w:rsidRDefault="00DE37CC" w:rsidP="00DE37CC">
      <w:pPr>
        <w:rPr>
          <w:szCs w:val="24"/>
        </w:rPr>
      </w:pPr>
      <w:r w:rsidRPr="00A97E7D">
        <w:rPr>
          <w:b/>
          <w:szCs w:val="24"/>
        </w:rPr>
        <w:t>Email:</w:t>
      </w:r>
      <w:r w:rsidR="00A97E7D" w:rsidRPr="00A97E7D">
        <w:rPr>
          <w:szCs w:val="24"/>
        </w:rPr>
        <w:t xml:space="preserve"> </w:t>
      </w:r>
      <w:hyperlink r:id="rId5" w:history="1">
        <w:r w:rsidR="00F76882" w:rsidRPr="00313387">
          <w:rPr>
            <w:rStyle w:val="Hyperlink"/>
            <w:rFonts w:ascii="Arial" w:hAnsi="Arial" w:cs="Arial"/>
            <w:szCs w:val="24"/>
          </w:rPr>
          <w:t>miriamhirdyounger@cunet.carleton.ca</w:t>
        </w:r>
      </w:hyperlink>
    </w:p>
    <w:p w14:paraId="46E9D739" w14:textId="77777777" w:rsidR="00814D52" w:rsidRDefault="00814D52" w:rsidP="00DE37CC">
      <w:pPr>
        <w:rPr>
          <w:szCs w:val="24"/>
        </w:rPr>
      </w:pPr>
    </w:p>
    <w:p w14:paraId="575383B4" w14:textId="5746568A" w:rsidR="00110483" w:rsidRPr="00F76882" w:rsidRDefault="00814D52" w:rsidP="00DE37CC">
      <w:pPr>
        <w:rPr>
          <w:bCs/>
          <w:szCs w:val="24"/>
        </w:rPr>
      </w:pPr>
      <w:r>
        <w:rPr>
          <w:b/>
          <w:szCs w:val="24"/>
        </w:rPr>
        <w:t xml:space="preserve">Method of Delivery: </w:t>
      </w:r>
      <w:r w:rsidR="00F76882">
        <w:rPr>
          <w:bCs/>
          <w:szCs w:val="24"/>
        </w:rPr>
        <w:t>In-person</w:t>
      </w:r>
    </w:p>
    <w:p w14:paraId="39F086DA" w14:textId="77777777" w:rsidR="00814D52" w:rsidRPr="00814D52" w:rsidRDefault="00814D52" w:rsidP="00DE37CC">
      <w:pPr>
        <w:rPr>
          <w:b/>
          <w:szCs w:val="24"/>
        </w:rPr>
      </w:pPr>
    </w:p>
    <w:p w14:paraId="095E1437" w14:textId="16A0DE09" w:rsidR="00AF0D04" w:rsidRDefault="00A97E7D" w:rsidP="00DE37CC">
      <w:pPr>
        <w:rPr>
          <w:b/>
          <w:szCs w:val="24"/>
        </w:rPr>
      </w:pPr>
      <w:r w:rsidRPr="00A97E7D">
        <w:rPr>
          <w:b/>
          <w:szCs w:val="24"/>
        </w:rPr>
        <w:t xml:space="preserve">Course Description: </w:t>
      </w:r>
    </w:p>
    <w:p w14:paraId="3472B345" w14:textId="2F543A28" w:rsidR="00F76882" w:rsidRDefault="00F76882" w:rsidP="00DE37CC">
      <w:pPr>
        <w:rPr>
          <w:b/>
          <w:szCs w:val="24"/>
        </w:rPr>
      </w:pPr>
    </w:p>
    <w:p w14:paraId="569322C0" w14:textId="77777777" w:rsidR="00F76882" w:rsidRPr="00313387" w:rsidRDefault="00F76882" w:rsidP="00F76882">
      <w:pPr>
        <w:spacing w:after="120" w:line="240" w:lineRule="auto"/>
        <w:rPr>
          <w:rFonts w:ascii="Arial" w:hAnsi="Arial" w:cs="Arial"/>
          <w:color w:val="000000"/>
          <w:szCs w:val="24"/>
          <w:shd w:val="clear" w:color="auto" w:fill="FFFFFF"/>
        </w:rPr>
      </w:pPr>
      <w:r w:rsidRPr="00313387">
        <w:rPr>
          <w:rFonts w:ascii="Arial" w:hAnsi="Arial" w:cs="Arial"/>
          <w:color w:val="000000"/>
          <w:szCs w:val="24"/>
          <w:shd w:val="clear" w:color="auto" w:fill="FFFFFF"/>
        </w:rPr>
        <w:t>Anthropologists and sociologists love studying the meaning, significance, and social impacts of everyday lived experiences. What could be more everyday than food? Far from mundane, food is one of our basic needs, food is an economic livelihood, and food is symbolic in our families and religions. Our social relations and systems, like gender, class, and race, are reproduced, in part, through food production and consumption. In this course, students will use food as a window to study our social world, its patterns, meanings, and ways of organizing. Students will engage with ethnographies of specific contexts and themes, such as ethics, gender, and sovereignty. Students will also be encouraged to take a sensorial perspective, which will include experiential learning components (beyond just eating!). The course content will draw on ethnographic texts, but also podcasts, videos, and other materials. This course is meant to ‘whet your appetite’ about the significance of what and how we eat. </w:t>
      </w:r>
    </w:p>
    <w:p w14:paraId="4D47CD13" w14:textId="77777777" w:rsidR="00F76882" w:rsidRPr="00AF0D04" w:rsidRDefault="00F76882" w:rsidP="00DE37CC">
      <w:pPr>
        <w:rPr>
          <w:b/>
          <w:szCs w:val="24"/>
        </w:rPr>
      </w:pPr>
    </w:p>
    <w:p w14:paraId="793A24D2" w14:textId="77777777" w:rsidR="00A97E7D" w:rsidRPr="00A97E7D" w:rsidRDefault="00A97E7D" w:rsidP="00DE37CC">
      <w:pPr>
        <w:rPr>
          <w:b/>
          <w:szCs w:val="24"/>
        </w:rPr>
      </w:pPr>
    </w:p>
    <w:p w14:paraId="46A377E3" w14:textId="6A6FC11C" w:rsidR="00DE37CC" w:rsidRDefault="00DE37CC" w:rsidP="00DE37CC">
      <w:pPr>
        <w:rPr>
          <w:b/>
          <w:szCs w:val="24"/>
        </w:rPr>
      </w:pPr>
      <w:r w:rsidRPr="00A97E7D">
        <w:rPr>
          <w:b/>
          <w:szCs w:val="24"/>
        </w:rPr>
        <w:t>Reading (s)/Textbook (s):</w:t>
      </w:r>
    </w:p>
    <w:p w14:paraId="5C502F61" w14:textId="0B367EC6" w:rsidR="00F76882" w:rsidRDefault="00F76882" w:rsidP="00DE37CC">
      <w:pPr>
        <w:rPr>
          <w:b/>
          <w:szCs w:val="24"/>
        </w:rPr>
      </w:pPr>
    </w:p>
    <w:p w14:paraId="4D9801E5" w14:textId="77777777" w:rsidR="00F76882" w:rsidRPr="00313387" w:rsidRDefault="00F76882" w:rsidP="00F76882">
      <w:pPr>
        <w:keepNext/>
        <w:spacing w:after="120" w:line="240" w:lineRule="auto"/>
        <w:ind w:left="1440" w:hanging="1440"/>
        <w:rPr>
          <w:rFonts w:ascii="Arial" w:hAnsi="Arial" w:cs="Arial"/>
          <w:b/>
          <w:szCs w:val="24"/>
        </w:rPr>
      </w:pPr>
    </w:p>
    <w:p w14:paraId="5B8D8183" w14:textId="77777777" w:rsidR="00F76882" w:rsidRPr="00313387" w:rsidRDefault="00F76882" w:rsidP="00F76882">
      <w:pPr>
        <w:keepNext/>
        <w:spacing w:after="120" w:line="240" w:lineRule="auto"/>
        <w:ind w:left="1440" w:hanging="1440"/>
        <w:rPr>
          <w:rFonts w:ascii="Arial" w:hAnsi="Arial" w:cs="Arial"/>
          <w:b/>
          <w:szCs w:val="24"/>
        </w:rPr>
      </w:pPr>
      <w:r w:rsidRPr="00313387">
        <w:rPr>
          <w:rFonts w:ascii="Arial" w:hAnsi="Arial" w:cs="Arial"/>
          <w:b/>
          <w:szCs w:val="24"/>
        </w:rPr>
        <w:t xml:space="preserve">We will read significant portions of the following books: </w:t>
      </w:r>
    </w:p>
    <w:p w14:paraId="5EAE57D4" w14:textId="77777777" w:rsidR="00F76882" w:rsidRPr="00313387" w:rsidRDefault="00F76882" w:rsidP="00F76882">
      <w:pPr>
        <w:pStyle w:val="ListParagraph"/>
        <w:keepNext/>
        <w:numPr>
          <w:ilvl w:val="0"/>
          <w:numId w:val="2"/>
        </w:numPr>
        <w:spacing w:after="120" w:line="240" w:lineRule="auto"/>
        <w:rPr>
          <w:rFonts w:ascii="Arial" w:hAnsi="Arial" w:cs="Arial"/>
          <w:color w:val="3A3A3A"/>
          <w:szCs w:val="24"/>
          <w:shd w:val="clear" w:color="auto" w:fill="FFFFFF"/>
        </w:rPr>
      </w:pPr>
      <w:proofErr w:type="spellStart"/>
      <w:r w:rsidRPr="00313387">
        <w:rPr>
          <w:rFonts w:ascii="Arial" w:hAnsi="Arial" w:cs="Arial"/>
          <w:color w:val="3A3A3A"/>
          <w:szCs w:val="24"/>
          <w:shd w:val="clear" w:color="auto" w:fill="FFFFFF"/>
        </w:rPr>
        <w:t>Counihan</w:t>
      </w:r>
      <w:proofErr w:type="spellEnd"/>
      <w:r w:rsidRPr="00313387">
        <w:rPr>
          <w:rFonts w:ascii="Arial" w:hAnsi="Arial" w:cs="Arial"/>
          <w:color w:val="3A3A3A"/>
          <w:szCs w:val="24"/>
          <w:shd w:val="clear" w:color="auto" w:fill="FFFFFF"/>
        </w:rPr>
        <w:t>, C. (Ed.). (2019). </w:t>
      </w:r>
      <w:r w:rsidRPr="00313387">
        <w:rPr>
          <w:rFonts w:ascii="Arial" w:hAnsi="Arial" w:cs="Arial"/>
          <w:i/>
          <w:iCs/>
          <w:color w:val="3A3A3A"/>
          <w:szCs w:val="24"/>
          <w:shd w:val="clear" w:color="auto" w:fill="FFFFFF"/>
        </w:rPr>
        <w:t>Food and culture a reader</w:t>
      </w:r>
      <w:r w:rsidRPr="00313387">
        <w:rPr>
          <w:rFonts w:ascii="Arial" w:hAnsi="Arial" w:cs="Arial"/>
          <w:color w:val="3A3A3A"/>
          <w:szCs w:val="24"/>
          <w:shd w:val="clear" w:color="auto" w:fill="FFFFFF"/>
        </w:rPr>
        <w:t> (Fourth edition.). Routledge.</w:t>
      </w:r>
    </w:p>
    <w:p w14:paraId="616C46AA" w14:textId="77777777" w:rsidR="00F76882" w:rsidRPr="00313387" w:rsidRDefault="00F76882" w:rsidP="00F76882">
      <w:pPr>
        <w:pStyle w:val="ListParagraph"/>
        <w:keepNext/>
        <w:numPr>
          <w:ilvl w:val="0"/>
          <w:numId w:val="2"/>
        </w:numPr>
        <w:spacing w:after="120" w:line="240" w:lineRule="auto"/>
        <w:rPr>
          <w:rFonts w:ascii="Arial" w:hAnsi="Arial" w:cs="Arial"/>
          <w:b/>
          <w:szCs w:val="24"/>
        </w:rPr>
      </w:pPr>
      <w:r w:rsidRPr="00313387">
        <w:rPr>
          <w:rFonts w:ascii="Arial" w:hAnsi="Arial" w:cs="Arial"/>
          <w:color w:val="3A3A3A"/>
          <w:szCs w:val="24"/>
          <w:shd w:val="clear" w:color="auto" w:fill="FFFFFF"/>
        </w:rPr>
        <w:t>Mares, T. M. (2019). </w:t>
      </w:r>
      <w:r w:rsidRPr="00313387">
        <w:rPr>
          <w:rFonts w:ascii="Arial" w:hAnsi="Arial" w:cs="Arial"/>
          <w:i/>
          <w:iCs/>
          <w:color w:val="3A3A3A"/>
          <w:szCs w:val="24"/>
          <w:shd w:val="clear" w:color="auto" w:fill="FFFFFF"/>
        </w:rPr>
        <w:t>Life on the Other Border: Farmworkers and Food Justice in Vermont</w:t>
      </w:r>
      <w:r w:rsidRPr="00313387">
        <w:rPr>
          <w:rFonts w:ascii="Arial" w:hAnsi="Arial" w:cs="Arial"/>
          <w:color w:val="3A3A3A"/>
          <w:szCs w:val="24"/>
          <w:shd w:val="clear" w:color="auto" w:fill="FFFFFF"/>
        </w:rPr>
        <w:t> (1st ed.). University of California Press.</w:t>
      </w:r>
    </w:p>
    <w:p w14:paraId="11DFE21E" w14:textId="77777777" w:rsidR="00F76882" w:rsidRPr="00313387" w:rsidRDefault="00F76882" w:rsidP="00F76882">
      <w:pPr>
        <w:keepNext/>
        <w:spacing w:after="120" w:line="240" w:lineRule="auto"/>
        <w:rPr>
          <w:rFonts w:ascii="Arial" w:hAnsi="Arial" w:cs="Arial"/>
          <w:bCs/>
          <w:szCs w:val="24"/>
        </w:rPr>
      </w:pPr>
      <w:r w:rsidRPr="00313387">
        <w:rPr>
          <w:rFonts w:ascii="Arial" w:hAnsi="Arial" w:cs="Arial"/>
          <w:bCs/>
          <w:szCs w:val="24"/>
        </w:rPr>
        <w:t xml:space="preserve">Copies of these books are available at the Carleton Bookstore and also digital versions are available through the library and linked on each week’s modules on Brightspace. </w:t>
      </w:r>
    </w:p>
    <w:p w14:paraId="54F26420" w14:textId="77777777" w:rsidR="00F76882" w:rsidRPr="00313387" w:rsidRDefault="00F76882" w:rsidP="00F76882">
      <w:pPr>
        <w:keepNext/>
        <w:spacing w:after="120" w:line="240" w:lineRule="auto"/>
        <w:rPr>
          <w:rFonts w:ascii="Arial" w:hAnsi="Arial" w:cs="Arial"/>
          <w:bCs/>
          <w:szCs w:val="24"/>
        </w:rPr>
      </w:pPr>
      <w:r w:rsidRPr="00313387">
        <w:rPr>
          <w:rFonts w:ascii="Arial" w:hAnsi="Arial" w:cs="Arial"/>
          <w:bCs/>
          <w:szCs w:val="24"/>
        </w:rPr>
        <w:t xml:space="preserve">Additional readings and course materials (e.g., podcasts) are </w:t>
      </w:r>
      <w:hyperlink w:anchor="_5.Course_Calendar:_List" w:history="1">
        <w:r w:rsidRPr="00313387">
          <w:rPr>
            <w:rStyle w:val="Hyperlink"/>
            <w:rFonts w:ascii="Arial" w:hAnsi="Arial" w:cs="Arial"/>
            <w:bCs/>
            <w:szCs w:val="24"/>
          </w:rPr>
          <w:t>linked below</w:t>
        </w:r>
      </w:hyperlink>
      <w:r w:rsidRPr="00313387">
        <w:rPr>
          <w:rFonts w:ascii="Arial" w:hAnsi="Arial" w:cs="Arial"/>
          <w:bCs/>
          <w:szCs w:val="24"/>
        </w:rPr>
        <w:t xml:space="preserve"> and on Brightspace under each weekly module. </w:t>
      </w:r>
    </w:p>
    <w:p w14:paraId="44AA1FF0" w14:textId="77777777" w:rsidR="00F76882" w:rsidRPr="00A97E7D" w:rsidRDefault="00F76882" w:rsidP="00DE37CC">
      <w:pPr>
        <w:rPr>
          <w:b/>
          <w:szCs w:val="24"/>
        </w:rPr>
      </w:pPr>
    </w:p>
    <w:p w14:paraId="083B1303" w14:textId="77777777" w:rsidR="00A97E7D" w:rsidRPr="00A97E7D" w:rsidRDefault="00A97E7D" w:rsidP="00DE37CC">
      <w:pPr>
        <w:rPr>
          <w:b/>
          <w:szCs w:val="24"/>
        </w:rPr>
      </w:pPr>
    </w:p>
    <w:p w14:paraId="5D5521DF" w14:textId="6F218BB2" w:rsidR="00A97E7D" w:rsidRDefault="00DE37CC" w:rsidP="00110483">
      <w:pPr>
        <w:rPr>
          <w:b/>
          <w:szCs w:val="24"/>
        </w:rPr>
      </w:pPr>
      <w:r w:rsidRPr="00A97E7D">
        <w:rPr>
          <w:b/>
          <w:szCs w:val="24"/>
        </w:rPr>
        <w:t>Course Requirements &amp; Methods of Evaluation:</w:t>
      </w:r>
    </w:p>
    <w:p w14:paraId="74F921F9" w14:textId="21D970D0" w:rsidR="00F76882" w:rsidRDefault="00F76882" w:rsidP="00110483">
      <w:pPr>
        <w:rPr>
          <w:b/>
          <w:szCs w:val="24"/>
        </w:rPr>
      </w:pPr>
    </w:p>
    <w:p w14:paraId="2DC9A25F" w14:textId="0B2CBFFB" w:rsidR="00F76882" w:rsidRDefault="00F76882" w:rsidP="00110483">
      <w:pPr>
        <w:rPr>
          <w:bCs/>
          <w:szCs w:val="24"/>
        </w:rPr>
      </w:pPr>
      <w:r>
        <w:rPr>
          <w:bCs/>
          <w:szCs w:val="24"/>
        </w:rPr>
        <w:t>Participation: 20%</w:t>
      </w:r>
    </w:p>
    <w:p w14:paraId="4ECDC830" w14:textId="1520A2AD" w:rsidR="00F76882" w:rsidRDefault="00F76882" w:rsidP="00110483">
      <w:pPr>
        <w:rPr>
          <w:bCs/>
          <w:szCs w:val="24"/>
        </w:rPr>
      </w:pPr>
      <w:r>
        <w:rPr>
          <w:bCs/>
          <w:szCs w:val="24"/>
        </w:rPr>
        <w:t>Weekly response: 10%</w:t>
      </w:r>
    </w:p>
    <w:p w14:paraId="200D77B4" w14:textId="2B48E076" w:rsidR="00F76882" w:rsidRDefault="00F76882" w:rsidP="00110483">
      <w:pPr>
        <w:rPr>
          <w:bCs/>
          <w:szCs w:val="24"/>
        </w:rPr>
      </w:pPr>
      <w:r>
        <w:rPr>
          <w:bCs/>
          <w:szCs w:val="24"/>
        </w:rPr>
        <w:lastRenderedPageBreak/>
        <w:t>Experiential learning activity: 20%</w:t>
      </w:r>
    </w:p>
    <w:p w14:paraId="25D7E0EA" w14:textId="4F8D2992" w:rsidR="00F76882" w:rsidRDefault="00F76882" w:rsidP="00110483">
      <w:pPr>
        <w:rPr>
          <w:bCs/>
          <w:szCs w:val="24"/>
        </w:rPr>
      </w:pPr>
      <w:r>
        <w:rPr>
          <w:bCs/>
          <w:szCs w:val="24"/>
        </w:rPr>
        <w:t>Take home mid-term assignment: 20%</w:t>
      </w:r>
    </w:p>
    <w:p w14:paraId="7580972F" w14:textId="4401133C" w:rsidR="00F76882" w:rsidRDefault="00F76882" w:rsidP="00110483">
      <w:pPr>
        <w:rPr>
          <w:bCs/>
          <w:szCs w:val="24"/>
        </w:rPr>
      </w:pPr>
      <w:r>
        <w:rPr>
          <w:bCs/>
          <w:szCs w:val="24"/>
        </w:rPr>
        <w:t>Final essay: 30%</w:t>
      </w:r>
    </w:p>
    <w:p w14:paraId="070888EE" w14:textId="77777777" w:rsidR="00F76882" w:rsidRPr="00F76882" w:rsidRDefault="00F76882" w:rsidP="00110483">
      <w:pPr>
        <w:rPr>
          <w:bCs/>
          <w:szCs w:val="24"/>
        </w:rPr>
      </w:pPr>
    </w:p>
    <w:p w14:paraId="57312A8E" w14:textId="77777777" w:rsidR="00F76882" w:rsidRPr="00110483" w:rsidRDefault="00F76882" w:rsidP="00110483">
      <w:pPr>
        <w:rPr>
          <w:b/>
          <w:szCs w:val="24"/>
        </w:rPr>
      </w:pPr>
    </w:p>
    <w:sectPr w:rsidR="00F76882" w:rsidRPr="0011048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5525C0"/>
    <w:multiLevelType w:val="hybridMultilevel"/>
    <w:tmpl w:val="37C83D28"/>
    <w:lvl w:ilvl="0" w:tplc="EAAED93A">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7C244F8A"/>
    <w:multiLevelType w:val="hybridMultilevel"/>
    <w:tmpl w:val="3A10C1D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7CC"/>
    <w:rsid w:val="000626FC"/>
    <w:rsid w:val="00110483"/>
    <w:rsid w:val="0021544B"/>
    <w:rsid w:val="003D5CF9"/>
    <w:rsid w:val="006D594D"/>
    <w:rsid w:val="00814D52"/>
    <w:rsid w:val="00A042F7"/>
    <w:rsid w:val="00A97E7D"/>
    <w:rsid w:val="00AE75A5"/>
    <w:rsid w:val="00AF0D04"/>
    <w:rsid w:val="00C661A9"/>
    <w:rsid w:val="00C75511"/>
    <w:rsid w:val="00DE37CC"/>
    <w:rsid w:val="00EB2ABD"/>
    <w:rsid w:val="00F450B9"/>
    <w:rsid w:val="00F7688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95918"/>
  <w15:chartTrackingRefBased/>
  <w15:docId w15:val="{A1FEEABD-D617-4AB5-8AAF-4FE2D5FB9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7CC"/>
    <w:pPr>
      <w:spacing w:after="0" w:line="240" w:lineRule="exact"/>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E37CC"/>
    <w:pPr>
      <w:spacing w:after="240"/>
      <w:jc w:val="center"/>
      <w:outlineLvl w:val="0"/>
    </w:pPr>
    <w:rPr>
      <w:b/>
    </w:rPr>
  </w:style>
  <w:style w:type="character" w:customStyle="1" w:styleId="TitleChar">
    <w:name w:val="Title Char"/>
    <w:basedOn w:val="DefaultParagraphFont"/>
    <w:link w:val="Title"/>
    <w:rsid w:val="00DE37CC"/>
    <w:rPr>
      <w:rFonts w:ascii="Times New Roman" w:eastAsia="Times New Roman" w:hAnsi="Times New Roman" w:cs="Times New Roman"/>
      <w:b/>
      <w:sz w:val="24"/>
      <w:szCs w:val="20"/>
      <w:lang w:val="en-US"/>
    </w:rPr>
  </w:style>
  <w:style w:type="paragraph" w:styleId="BodyTextIndent">
    <w:name w:val="Body Text Indent"/>
    <w:basedOn w:val="Normal"/>
    <w:link w:val="BodyTextIndentChar"/>
    <w:semiHidden/>
    <w:unhideWhenUsed/>
    <w:rsid w:val="00DE37CC"/>
    <w:pPr>
      <w:spacing w:line="240" w:lineRule="auto"/>
      <w:ind w:left="1440" w:hanging="720"/>
    </w:pPr>
  </w:style>
  <w:style w:type="character" w:customStyle="1" w:styleId="BodyTextIndentChar">
    <w:name w:val="Body Text Indent Char"/>
    <w:basedOn w:val="DefaultParagraphFont"/>
    <w:link w:val="BodyTextIndent"/>
    <w:semiHidden/>
    <w:rsid w:val="00DE37CC"/>
    <w:rPr>
      <w:rFonts w:ascii="Times New Roman" w:eastAsia="Times New Roman" w:hAnsi="Times New Roman" w:cs="Times New Roman"/>
      <w:sz w:val="24"/>
      <w:szCs w:val="20"/>
      <w:lang w:val="en-US"/>
    </w:rPr>
  </w:style>
  <w:style w:type="paragraph" w:customStyle="1" w:styleId="Style2">
    <w:name w:val="Style2"/>
    <w:basedOn w:val="Normal"/>
    <w:next w:val="Normal"/>
    <w:rsid w:val="00DE37CC"/>
    <w:rPr>
      <w:b/>
    </w:rPr>
  </w:style>
  <w:style w:type="paragraph" w:customStyle="1" w:styleId="CT">
    <w:name w:val="C/T"/>
    <w:basedOn w:val="Normal"/>
    <w:rsid w:val="00DE37CC"/>
    <w:pPr>
      <w:spacing w:before="240" w:line="480" w:lineRule="atLeast"/>
    </w:pPr>
    <w:rPr>
      <w:rFonts w:ascii="Courier" w:hAnsi="Courier"/>
      <w:b/>
    </w:rPr>
  </w:style>
  <w:style w:type="paragraph" w:styleId="ListParagraph">
    <w:name w:val="List Paragraph"/>
    <w:basedOn w:val="Normal"/>
    <w:uiPriority w:val="34"/>
    <w:qFormat/>
    <w:rsid w:val="00A97E7D"/>
    <w:pPr>
      <w:ind w:left="720"/>
      <w:contextualSpacing/>
    </w:pPr>
  </w:style>
  <w:style w:type="character" w:styleId="Hyperlink">
    <w:name w:val="Hyperlink"/>
    <w:basedOn w:val="DefaultParagraphFont"/>
    <w:uiPriority w:val="99"/>
    <w:unhideWhenUsed/>
    <w:rsid w:val="00C75511"/>
    <w:rPr>
      <w:color w:val="0563C1" w:themeColor="hyperlink"/>
      <w:u w:val="single"/>
    </w:rPr>
  </w:style>
  <w:style w:type="character" w:styleId="UnresolvedMention">
    <w:name w:val="Unresolved Mention"/>
    <w:basedOn w:val="DefaultParagraphFont"/>
    <w:uiPriority w:val="99"/>
    <w:semiHidden/>
    <w:unhideWhenUsed/>
    <w:rsid w:val="00C755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081103">
      <w:bodyDiv w:val="1"/>
      <w:marLeft w:val="0"/>
      <w:marRight w:val="0"/>
      <w:marTop w:val="0"/>
      <w:marBottom w:val="0"/>
      <w:divBdr>
        <w:top w:val="none" w:sz="0" w:space="0" w:color="auto"/>
        <w:left w:val="none" w:sz="0" w:space="0" w:color="auto"/>
        <w:bottom w:val="none" w:sz="0" w:space="0" w:color="auto"/>
        <w:right w:val="none" w:sz="0" w:space="0" w:color="auto"/>
      </w:divBdr>
    </w:div>
    <w:div w:id="204632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iriamhirdyounger@cunet.carleton.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321</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LeBlanc</dc:creator>
  <cp:keywords/>
  <dc:description/>
  <cp:lastModifiedBy>Melina Tedesco</cp:lastModifiedBy>
  <cp:revision>2</cp:revision>
  <dcterms:created xsi:type="dcterms:W3CDTF">2023-12-14T20:49:00Z</dcterms:created>
  <dcterms:modified xsi:type="dcterms:W3CDTF">2023-12-14T20:49:00Z</dcterms:modified>
</cp:coreProperties>
</file>