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6B30B67F" w14:textId="77777777" w:rsidR="00432BAA" w:rsidRDefault="00432BAA" w:rsidP="00C661A9">
      <w:pPr>
        <w:jc w:val="center"/>
        <w:rPr>
          <w:b/>
          <w:szCs w:val="24"/>
        </w:rPr>
      </w:pPr>
      <w:r w:rsidRPr="00351CAE">
        <w:rPr>
          <w:b/>
          <w:szCs w:val="24"/>
        </w:rPr>
        <w:t xml:space="preserve">SOCI </w:t>
      </w:r>
      <w:r>
        <w:rPr>
          <w:b/>
          <w:szCs w:val="24"/>
        </w:rPr>
        <w:t>3220D/ INDG 3901A</w:t>
      </w:r>
      <w:r w:rsidRPr="00C661A9">
        <w:rPr>
          <w:b/>
          <w:szCs w:val="24"/>
        </w:rPr>
        <w:t xml:space="preserve"> </w:t>
      </w:r>
    </w:p>
    <w:p w14:paraId="39361328" w14:textId="577E1D52" w:rsidR="00C661A9" w:rsidRPr="00432BAA" w:rsidRDefault="00432BAA" w:rsidP="00C661A9">
      <w:pPr>
        <w:jc w:val="center"/>
        <w:rPr>
          <w:b/>
          <w:szCs w:val="24"/>
          <w:lang w:val="fr-CA"/>
        </w:rPr>
      </w:pPr>
      <w:r w:rsidRPr="00432BAA">
        <w:rPr>
          <w:b/>
          <w:szCs w:val="24"/>
          <w:lang w:val="fr-CA"/>
        </w:rPr>
        <w:t>WINTER 2024</w:t>
      </w:r>
    </w:p>
    <w:p w14:paraId="6A89C690" w14:textId="68EE8B9C" w:rsidR="00DE37CC" w:rsidRPr="00432BAA" w:rsidRDefault="00432BAA" w:rsidP="00C661A9">
      <w:pPr>
        <w:jc w:val="center"/>
        <w:rPr>
          <w:b/>
          <w:szCs w:val="24"/>
          <w:lang w:val="en-CA"/>
        </w:rPr>
      </w:pPr>
      <w:r w:rsidRPr="00432BAA">
        <w:rPr>
          <w:b/>
          <w:szCs w:val="24"/>
          <w:lang w:val="en-CA"/>
        </w:rPr>
        <w:t>POP CULTURE, INDIGENOUS FEMINISIMS AND S</w:t>
      </w:r>
      <w:r>
        <w:rPr>
          <w:b/>
          <w:szCs w:val="24"/>
          <w:lang w:val="en-CA"/>
        </w:rPr>
        <w:t>ETTLER COLONIAL STUDIES</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4A501138" w:rsidR="00110483" w:rsidRPr="00432BAA" w:rsidRDefault="00DE37CC" w:rsidP="00DE37CC">
      <w:pPr>
        <w:rPr>
          <w:bCs/>
          <w:szCs w:val="24"/>
        </w:rPr>
      </w:pPr>
      <w:r w:rsidRPr="00A97E7D">
        <w:rPr>
          <w:b/>
          <w:szCs w:val="24"/>
        </w:rPr>
        <w:t xml:space="preserve">Instructor: </w:t>
      </w:r>
      <w:r w:rsidR="00432BAA">
        <w:rPr>
          <w:bCs/>
          <w:szCs w:val="24"/>
        </w:rPr>
        <w:t>Dr. Laura Hall</w:t>
      </w:r>
    </w:p>
    <w:p w14:paraId="7F56FB0B" w14:textId="76F522E8" w:rsidR="00DE37CC" w:rsidRDefault="00DE37CC" w:rsidP="00DE37CC">
      <w:pPr>
        <w:rPr>
          <w:szCs w:val="24"/>
        </w:rPr>
      </w:pPr>
      <w:r w:rsidRPr="00A97E7D">
        <w:rPr>
          <w:b/>
          <w:szCs w:val="24"/>
        </w:rPr>
        <w:t>Email:</w:t>
      </w:r>
      <w:r w:rsidR="00A97E7D" w:rsidRPr="00A97E7D">
        <w:rPr>
          <w:szCs w:val="24"/>
        </w:rPr>
        <w:t xml:space="preserve"> </w:t>
      </w:r>
      <w:r w:rsidR="00432BAA" w:rsidRPr="00432BAA">
        <w:rPr>
          <w:rFonts w:eastAsia="Calibri"/>
          <w:bCs/>
          <w:color w:val="0563C1"/>
          <w:szCs w:val="24"/>
        </w:rPr>
        <w:t>laurajhall@cunet.carleton.ca</w:t>
      </w:r>
    </w:p>
    <w:p w14:paraId="46E9D739" w14:textId="77777777" w:rsidR="00814D52" w:rsidRDefault="00814D52" w:rsidP="00DE37CC">
      <w:pPr>
        <w:rPr>
          <w:szCs w:val="24"/>
        </w:rPr>
      </w:pPr>
    </w:p>
    <w:p w14:paraId="575383B4" w14:textId="684C9AA3" w:rsidR="00110483" w:rsidRDefault="00814D52" w:rsidP="00DE37CC">
      <w:pPr>
        <w:rPr>
          <w:b/>
          <w:szCs w:val="24"/>
        </w:rPr>
      </w:pPr>
      <w:r>
        <w:rPr>
          <w:b/>
          <w:szCs w:val="24"/>
        </w:rPr>
        <w:t xml:space="preserve">Method of Delivery: </w:t>
      </w:r>
    </w:p>
    <w:p w14:paraId="5DD5517B" w14:textId="5BA3B599" w:rsidR="00432BAA" w:rsidRDefault="00432BAA" w:rsidP="00DE37CC">
      <w:pPr>
        <w:rPr>
          <w:b/>
          <w:szCs w:val="24"/>
        </w:rPr>
      </w:pPr>
    </w:p>
    <w:p w14:paraId="327A8739" w14:textId="6EEEC76B" w:rsidR="00432BAA" w:rsidRPr="00432BAA" w:rsidRDefault="00432BAA" w:rsidP="00DE37CC">
      <w:pPr>
        <w:rPr>
          <w:bCs/>
          <w:szCs w:val="24"/>
        </w:rPr>
      </w:pPr>
      <w:r w:rsidRPr="00432BAA">
        <w:rPr>
          <w:bCs/>
          <w:szCs w:val="24"/>
        </w:rPr>
        <w:t xml:space="preserve">Combined synchronous (live lectures) and asynchronous (recorded lectures or independent learning). During live lecture time slots, students are expected to attend through the Zoom address that will be provided on the morning of the lecture on the Brightspace course site. During weeks when we view recorded lectures or have independent learning objectives outlined, students are not expected to attend any live Zoom sessions. </w:t>
      </w:r>
    </w:p>
    <w:p w14:paraId="39F086DA" w14:textId="77777777" w:rsidR="00814D52" w:rsidRPr="00814D52" w:rsidRDefault="00814D52" w:rsidP="00DE37CC">
      <w:pPr>
        <w:rPr>
          <w:b/>
          <w:szCs w:val="24"/>
        </w:rPr>
      </w:pPr>
    </w:p>
    <w:p w14:paraId="095E1437" w14:textId="27F42FB4" w:rsidR="00AF0D04" w:rsidRPr="00AF0D04" w:rsidRDefault="00A97E7D" w:rsidP="00DE37CC">
      <w:pPr>
        <w:rPr>
          <w:b/>
          <w:szCs w:val="24"/>
        </w:rPr>
      </w:pPr>
      <w:r w:rsidRPr="00A97E7D">
        <w:rPr>
          <w:b/>
          <w:szCs w:val="24"/>
        </w:rPr>
        <w:t xml:space="preserve">Course Description: </w:t>
      </w:r>
    </w:p>
    <w:p w14:paraId="793A24D2" w14:textId="1CB3ACF8" w:rsidR="00A97E7D" w:rsidRDefault="00A97E7D" w:rsidP="00DE37CC">
      <w:pPr>
        <w:rPr>
          <w:b/>
          <w:szCs w:val="24"/>
        </w:rPr>
      </w:pPr>
    </w:p>
    <w:p w14:paraId="33FF627D" w14:textId="10DA49CF" w:rsidR="00432BAA" w:rsidRPr="00432BAA" w:rsidRDefault="00432BAA" w:rsidP="00DE37CC">
      <w:pPr>
        <w:rPr>
          <w:rFonts w:eastAsia="Calibri"/>
          <w:szCs w:val="24"/>
        </w:rPr>
      </w:pPr>
      <w:r w:rsidRPr="00351CAE">
        <w:rPr>
          <w:rFonts w:eastAsia="Calibri"/>
          <w:szCs w:val="24"/>
        </w:rPr>
        <w:t>This course will explore popular culture re/framed by settler colonial studies and Indigenous feminism. A settler colonial lens permits the exploration of pop culture as contributing to both the erasure of Indigenous voices and Indigenous resurgence within settler colonial States.  Indigenous feminisms critique stories of dominance and erasure while creating space to address resistance through story-</w:t>
      </w:r>
      <w:proofErr w:type="spellStart"/>
      <w:r w:rsidRPr="00351CAE">
        <w:rPr>
          <w:rFonts w:eastAsia="Calibri"/>
          <w:szCs w:val="24"/>
        </w:rPr>
        <w:t>ing</w:t>
      </w:r>
      <w:proofErr w:type="spellEnd"/>
      <w:r w:rsidRPr="00351CAE">
        <w:rPr>
          <w:rFonts w:eastAsia="Calibri"/>
          <w:szCs w:val="24"/>
        </w:rPr>
        <w:t>. The course will address themes including the settler colonial gaze, surveillance, resistance, ghosts, hauntings, fear/madness, savagery and civilization through studies of film, television, literature and social media.</w:t>
      </w:r>
    </w:p>
    <w:p w14:paraId="1F1BE37F" w14:textId="77777777" w:rsidR="00432BAA" w:rsidRPr="00A97E7D" w:rsidRDefault="00432BAA" w:rsidP="00DE37CC">
      <w:pPr>
        <w:rPr>
          <w:b/>
          <w:szCs w:val="24"/>
        </w:rPr>
      </w:pPr>
    </w:p>
    <w:p w14:paraId="46A377E3" w14:textId="57F8BD31" w:rsidR="00DE37CC" w:rsidRDefault="00DE37CC" w:rsidP="00DE37CC">
      <w:pPr>
        <w:rPr>
          <w:b/>
          <w:szCs w:val="24"/>
        </w:rPr>
      </w:pPr>
      <w:r w:rsidRPr="00A97E7D">
        <w:rPr>
          <w:b/>
          <w:szCs w:val="24"/>
        </w:rPr>
        <w:t>Reading (s)/Textbook (s):</w:t>
      </w:r>
    </w:p>
    <w:p w14:paraId="7C7EDBFC" w14:textId="29CA54EC" w:rsidR="00432BAA" w:rsidRDefault="00432BAA" w:rsidP="00DE37CC">
      <w:pPr>
        <w:rPr>
          <w:b/>
          <w:szCs w:val="24"/>
        </w:rPr>
      </w:pPr>
    </w:p>
    <w:p w14:paraId="5228BDAC" w14:textId="4BABEF3B" w:rsidR="00432BAA" w:rsidRPr="00432BAA" w:rsidRDefault="00432BAA" w:rsidP="00DE37CC">
      <w:pPr>
        <w:rPr>
          <w:rFonts w:eastAsia="Calibri"/>
          <w:szCs w:val="24"/>
        </w:rPr>
      </w:pPr>
      <w:r>
        <w:rPr>
          <w:rFonts w:eastAsia="Calibri"/>
          <w:szCs w:val="24"/>
        </w:rPr>
        <w:t xml:space="preserve">Readings </w:t>
      </w:r>
      <w:r w:rsidRPr="00351CAE">
        <w:rPr>
          <w:rFonts w:eastAsia="Calibri"/>
          <w:szCs w:val="24"/>
        </w:rPr>
        <w:t xml:space="preserve">will be uploaded onto Brightspace under ‘Readings’. </w:t>
      </w:r>
    </w:p>
    <w:p w14:paraId="083B1303" w14:textId="77777777" w:rsidR="00A97E7D" w:rsidRPr="00A97E7D" w:rsidRDefault="00A97E7D" w:rsidP="00DE37CC">
      <w:pPr>
        <w:rPr>
          <w:b/>
          <w:szCs w:val="24"/>
        </w:rPr>
      </w:pPr>
    </w:p>
    <w:p w14:paraId="5D5521DF" w14:textId="1E058327" w:rsidR="00A97E7D" w:rsidRDefault="00DE37CC" w:rsidP="00110483">
      <w:pPr>
        <w:rPr>
          <w:b/>
          <w:szCs w:val="24"/>
        </w:rPr>
      </w:pPr>
      <w:r w:rsidRPr="00A97E7D">
        <w:rPr>
          <w:b/>
          <w:szCs w:val="24"/>
        </w:rPr>
        <w:t>Course Requirements &amp; Methods of Evaluation:</w:t>
      </w:r>
    </w:p>
    <w:p w14:paraId="548532E7" w14:textId="14FEA98D" w:rsidR="00432BAA" w:rsidRDefault="00432BAA" w:rsidP="00110483">
      <w:pPr>
        <w:rPr>
          <w:b/>
          <w:szCs w:val="24"/>
        </w:rPr>
      </w:pPr>
    </w:p>
    <w:p w14:paraId="08BB53B4" w14:textId="134CA813" w:rsidR="00432BAA" w:rsidRDefault="00432BAA" w:rsidP="00110483">
      <w:pPr>
        <w:rPr>
          <w:bCs/>
          <w:szCs w:val="24"/>
        </w:rPr>
      </w:pPr>
      <w:r>
        <w:rPr>
          <w:bCs/>
          <w:szCs w:val="24"/>
        </w:rPr>
        <w:t>Participation: 10%</w:t>
      </w:r>
    </w:p>
    <w:p w14:paraId="09C1208B" w14:textId="54CF0065" w:rsidR="00432BAA" w:rsidRPr="00432BAA" w:rsidRDefault="00432BAA" w:rsidP="00110483">
      <w:pPr>
        <w:rPr>
          <w:bCs/>
          <w:szCs w:val="24"/>
        </w:rPr>
      </w:pPr>
      <w:r>
        <w:rPr>
          <w:bCs/>
          <w:szCs w:val="24"/>
        </w:rPr>
        <w:t>Reading Reviews: 3 x 30%</w:t>
      </w:r>
    </w:p>
    <w:sectPr w:rsidR="00432BAA" w:rsidRPr="00432B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2023-12-15T20:42:00Z</dcterms:created>
  <dcterms:modified xsi:type="dcterms:W3CDTF">2023-12-15T20:42:00Z</dcterms:modified>
</cp:coreProperties>
</file>