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6FBD" w14:textId="77777777" w:rsidR="00C661A9" w:rsidRPr="00C661A9" w:rsidRDefault="00C661A9" w:rsidP="00C661A9">
      <w:pPr>
        <w:jc w:val="center"/>
        <w:rPr>
          <w:b/>
          <w:szCs w:val="24"/>
        </w:rPr>
      </w:pPr>
      <w:r w:rsidRPr="00C661A9">
        <w:rPr>
          <w:b/>
          <w:szCs w:val="24"/>
        </w:rPr>
        <w:t>CARLETON UNIVERSITY</w:t>
      </w:r>
    </w:p>
    <w:p w14:paraId="6B519D2B" w14:textId="77777777" w:rsidR="00C661A9" w:rsidRPr="00C661A9" w:rsidRDefault="00C661A9" w:rsidP="00C661A9">
      <w:pPr>
        <w:jc w:val="center"/>
        <w:rPr>
          <w:b/>
          <w:szCs w:val="24"/>
        </w:rPr>
      </w:pPr>
      <w:r w:rsidRPr="00C661A9">
        <w:rPr>
          <w:b/>
          <w:szCs w:val="24"/>
        </w:rPr>
        <w:t>DEPARTMENT OF SOCIOLOGY AND ANTHROPOLOGY</w:t>
      </w:r>
    </w:p>
    <w:p w14:paraId="35077009" w14:textId="77777777" w:rsidR="00C661A9" w:rsidRPr="00C661A9" w:rsidRDefault="00C661A9" w:rsidP="00C661A9">
      <w:pPr>
        <w:jc w:val="center"/>
        <w:rPr>
          <w:b/>
          <w:szCs w:val="24"/>
        </w:rPr>
      </w:pPr>
    </w:p>
    <w:p w14:paraId="7961D505" w14:textId="74B4A537" w:rsidR="00C661A9" w:rsidRPr="00C661A9" w:rsidRDefault="00B93F51" w:rsidP="00C661A9">
      <w:pPr>
        <w:jc w:val="center"/>
        <w:rPr>
          <w:b/>
          <w:szCs w:val="24"/>
        </w:rPr>
      </w:pPr>
      <w:r>
        <w:rPr>
          <w:b/>
          <w:szCs w:val="24"/>
        </w:rPr>
        <w:t>SOCI 4860D</w:t>
      </w:r>
    </w:p>
    <w:p w14:paraId="39361328" w14:textId="4ED2AF69" w:rsidR="00C661A9" w:rsidRPr="00861863" w:rsidRDefault="00B93F51" w:rsidP="00C661A9">
      <w:pPr>
        <w:jc w:val="center"/>
        <w:rPr>
          <w:b/>
          <w:szCs w:val="24"/>
          <w:lang w:val="en-CA"/>
        </w:rPr>
      </w:pPr>
      <w:r>
        <w:rPr>
          <w:b/>
          <w:szCs w:val="24"/>
        </w:rPr>
        <w:t>WINTER 2024</w:t>
      </w:r>
    </w:p>
    <w:p w14:paraId="6A89C690" w14:textId="7E6B3698" w:rsidR="00DE37CC" w:rsidRPr="00432BAA" w:rsidRDefault="00B93F51" w:rsidP="00C661A9">
      <w:pPr>
        <w:jc w:val="center"/>
        <w:rPr>
          <w:b/>
          <w:szCs w:val="24"/>
          <w:lang w:val="en-CA"/>
        </w:rPr>
      </w:pPr>
      <w:r>
        <w:rPr>
          <w:b/>
          <w:szCs w:val="24"/>
        </w:rPr>
        <w:t>WORK, OCCUPATIONS AND PROFFESSIONS: WOMEN, WORK AND HEALTH</w:t>
      </w:r>
    </w:p>
    <w:p w14:paraId="429364C5" w14:textId="77777777" w:rsidR="00DE37CC" w:rsidRPr="00432BAA" w:rsidRDefault="00DE37CC" w:rsidP="00DE37CC">
      <w:pPr>
        <w:rPr>
          <w:b/>
          <w:szCs w:val="24"/>
          <w:lang w:val="en-CA"/>
        </w:rPr>
      </w:pPr>
    </w:p>
    <w:p w14:paraId="2B8DA6F8" w14:textId="77777777" w:rsidR="00814D52" w:rsidRPr="00432BAA" w:rsidRDefault="00814D52" w:rsidP="00DE37CC">
      <w:pPr>
        <w:rPr>
          <w:b/>
          <w:szCs w:val="24"/>
          <w:lang w:val="en-CA"/>
        </w:rPr>
      </w:pPr>
    </w:p>
    <w:p w14:paraId="067987AF" w14:textId="6D68EC3E" w:rsidR="00110483" w:rsidRPr="00B93F51" w:rsidRDefault="00DE37CC" w:rsidP="00DE37CC">
      <w:pPr>
        <w:rPr>
          <w:bCs/>
          <w:szCs w:val="24"/>
        </w:rPr>
      </w:pPr>
      <w:r w:rsidRPr="00A97E7D">
        <w:rPr>
          <w:b/>
          <w:szCs w:val="24"/>
        </w:rPr>
        <w:t xml:space="preserve">Instructor: </w:t>
      </w:r>
      <w:r w:rsidR="00B93F51">
        <w:rPr>
          <w:bCs/>
          <w:szCs w:val="24"/>
        </w:rPr>
        <w:t>Carieta Thomas</w:t>
      </w:r>
    </w:p>
    <w:p w14:paraId="7F56FB0B" w14:textId="2E3D7466" w:rsidR="00DE37CC" w:rsidRDefault="00DE37CC" w:rsidP="00DE37CC">
      <w:pPr>
        <w:rPr>
          <w:szCs w:val="24"/>
        </w:rPr>
      </w:pPr>
      <w:r w:rsidRPr="00A97E7D">
        <w:rPr>
          <w:b/>
          <w:szCs w:val="24"/>
        </w:rPr>
        <w:t>Email:</w:t>
      </w:r>
      <w:r w:rsidR="00A97E7D" w:rsidRPr="00A97E7D">
        <w:rPr>
          <w:szCs w:val="24"/>
        </w:rPr>
        <w:t xml:space="preserve"> </w:t>
      </w:r>
      <w:hyperlink r:id="rId5" w:history="1">
        <w:r w:rsidR="00B93F51" w:rsidRPr="00465FCC">
          <w:rPr>
            <w:rStyle w:val="Hyperlink"/>
            <w:bCs/>
            <w:szCs w:val="24"/>
          </w:rPr>
          <w:t>carietathomas@cunet.carleton.ca</w:t>
        </w:r>
      </w:hyperlink>
    </w:p>
    <w:p w14:paraId="46E9D739" w14:textId="77777777" w:rsidR="00814D52" w:rsidRDefault="00814D52" w:rsidP="00DE37CC">
      <w:pPr>
        <w:rPr>
          <w:szCs w:val="24"/>
        </w:rPr>
      </w:pPr>
    </w:p>
    <w:p w14:paraId="575383B4" w14:textId="451093F4" w:rsidR="00110483" w:rsidRPr="00B93F51" w:rsidRDefault="00814D52" w:rsidP="00DE37CC">
      <w:pPr>
        <w:rPr>
          <w:bCs/>
          <w:szCs w:val="24"/>
        </w:rPr>
      </w:pPr>
      <w:r>
        <w:rPr>
          <w:b/>
          <w:szCs w:val="24"/>
        </w:rPr>
        <w:t xml:space="preserve">Method of Delivery: </w:t>
      </w:r>
      <w:r w:rsidR="00B93F51">
        <w:rPr>
          <w:bCs/>
          <w:szCs w:val="24"/>
        </w:rPr>
        <w:t xml:space="preserve">Online Synchronous </w:t>
      </w:r>
    </w:p>
    <w:p w14:paraId="39F086DA" w14:textId="77777777" w:rsidR="00814D52" w:rsidRPr="00814D52" w:rsidRDefault="00814D52" w:rsidP="00DE37CC">
      <w:pPr>
        <w:rPr>
          <w:b/>
          <w:szCs w:val="24"/>
        </w:rPr>
      </w:pPr>
    </w:p>
    <w:p w14:paraId="095E1437" w14:textId="63B0C06B" w:rsidR="00AF0D04" w:rsidRDefault="00A97E7D" w:rsidP="00DE37CC">
      <w:pPr>
        <w:rPr>
          <w:b/>
          <w:szCs w:val="24"/>
        </w:rPr>
      </w:pPr>
      <w:r w:rsidRPr="00A97E7D">
        <w:rPr>
          <w:b/>
          <w:szCs w:val="24"/>
        </w:rPr>
        <w:t xml:space="preserve">Course Description: </w:t>
      </w:r>
    </w:p>
    <w:p w14:paraId="0ED2AF9A" w14:textId="43A75B8C" w:rsidR="00B93F51" w:rsidRDefault="00B93F51" w:rsidP="00DE37CC">
      <w:pPr>
        <w:rPr>
          <w:b/>
          <w:szCs w:val="24"/>
        </w:rPr>
      </w:pPr>
    </w:p>
    <w:p w14:paraId="0AB07C09" w14:textId="77777777" w:rsidR="00B93F51" w:rsidRDefault="00B93F51" w:rsidP="00B93F51">
      <w:pPr>
        <w:keepNext/>
        <w:spacing w:line="240" w:lineRule="auto"/>
        <w:outlineLvl w:val="0"/>
        <w:rPr>
          <w:bCs/>
          <w:szCs w:val="24"/>
        </w:rPr>
      </w:pPr>
      <w:r>
        <w:rPr>
          <w:bCs/>
          <w:szCs w:val="24"/>
        </w:rPr>
        <w:t>While we spend much of our lives engaged in various types of work, from working for wages to working on our relationships, we seldom contemplate the contours of work—its definition, valuation, and the gendered processes involved. This course explores the relationship between gender, work, occupations, and professions from a variety of intersectional and situated perspectives. We will analyze the ways work creates, shapes, and reinforces gender inequality in and outside of the home. We will interrogate how social locations (</w:t>
      </w:r>
      <w:proofErr w:type="gramStart"/>
      <w:r>
        <w:rPr>
          <w:bCs/>
          <w:szCs w:val="24"/>
        </w:rPr>
        <w:t>i.e.</w:t>
      </w:r>
      <w:proofErr w:type="gramEnd"/>
      <w:r>
        <w:rPr>
          <w:bCs/>
          <w:szCs w:val="24"/>
        </w:rPr>
        <w:t xml:space="preserve"> race, ethnicity, class, gender identity, citizenship, and space) shape the work we do. We will also consider the ways issues of gender inequality and the occupations women </w:t>
      </w:r>
      <w:proofErr w:type="spellStart"/>
      <w:r>
        <w:rPr>
          <w:bCs/>
          <w:szCs w:val="24"/>
        </w:rPr>
        <w:t>labour</w:t>
      </w:r>
      <w:proofErr w:type="spellEnd"/>
      <w:r>
        <w:rPr>
          <w:bCs/>
          <w:szCs w:val="24"/>
        </w:rPr>
        <w:t xml:space="preserve"> in impact their health—connecting globalized and local processes of work to women’s health and wellbeing. </w:t>
      </w:r>
    </w:p>
    <w:p w14:paraId="2F9312C1" w14:textId="77777777" w:rsidR="00B93F51" w:rsidRDefault="00B93F51" w:rsidP="00B93F51">
      <w:pPr>
        <w:keepNext/>
        <w:spacing w:line="240" w:lineRule="auto"/>
        <w:outlineLvl w:val="0"/>
        <w:rPr>
          <w:bCs/>
          <w:szCs w:val="24"/>
        </w:rPr>
      </w:pPr>
    </w:p>
    <w:p w14:paraId="066FD0F8" w14:textId="0517E697" w:rsidR="00B93F51" w:rsidRPr="00B93F51" w:rsidRDefault="00B93F51" w:rsidP="00B93F51">
      <w:pPr>
        <w:keepNext/>
        <w:spacing w:line="240" w:lineRule="auto"/>
        <w:outlineLvl w:val="0"/>
        <w:rPr>
          <w:bCs/>
          <w:szCs w:val="24"/>
        </w:rPr>
      </w:pPr>
      <w:r>
        <w:rPr>
          <w:bCs/>
          <w:szCs w:val="24"/>
        </w:rPr>
        <w:t xml:space="preserve">To do so, we will begin by orienting ourselves to the theories of gender segregation in the </w:t>
      </w:r>
      <w:proofErr w:type="spellStart"/>
      <w:r>
        <w:rPr>
          <w:bCs/>
          <w:szCs w:val="24"/>
        </w:rPr>
        <w:t>labour</w:t>
      </w:r>
      <w:proofErr w:type="spellEnd"/>
      <w:r>
        <w:rPr>
          <w:bCs/>
          <w:szCs w:val="24"/>
        </w:rPr>
        <w:t xml:space="preserve"> market, gendered organizations, and (re)productive </w:t>
      </w:r>
      <w:proofErr w:type="spellStart"/>
      <w:r>
        <w:rPr>
          <w:bCs/>
          <w:szCs w:val="24"/>
        </w:rPr>
        <w:t>labour</w:t>
      </w:r>
      <w:proofErr w:type="spellEnd"/>
      <w:r>
        <w:rPr>
          <w:bCs/>
          <w:szCs w:val="24"/>
        </w:rPr>
        <w:t xml:space="preserve">. We will then explore the application of these theories and concepts to different types of work, </w:t>
      </w:r>
      <w:proofErr w:type="spellStart"/>
      <w:r>
        <w:rPr>
          <w:bCs/>
          <w:szCs w:val="24"/>
        </w:rPr>
        <w:t>labour</w:t>
      </w:r>
      <w:proofErr w:type="spellEnd"/>
      <w:r>
        <w:rPr>
          <w:bCs/>
          <w:szCs w:val="24"/>
        </w:rPr>
        <w:t xml:space="preserve">, and organizations in global contexts. This will allow us to think through the ways gender intersects with migrant worker status, stigmatized workers, and work in the gig economy. </w:t>
      </w:r>
    </w:p>
    <w:p w14:paraId="793A24D2" w14:textId="77777777" w:rsidR="00A97E7D" w:rsidRPr="00A97E7D" w:rsidRDefault="00A97E7D" w:rsidP="00DE37CC">
      <w:pPr>
        <w:rPr>
          <w:b/>
          <w:szCs w:val="24"/>
        </w:rPr>
      </w:pPr>
    </w:p>
    <w:p w14:paraId="46A377E3" w14:textId="737D0E1C" w:rsidR="00DE37CC" w:rsidRDefault="00DE37CC" w:rsidP="00DE37CC">
      <w:pPr>
        <w:rPr>
          <w:b/>
          <w:szCs w:val="24"/>
        </w:rPr>
      </w:pPr>
      <w:r w:rsidRPr="00A97E7D">
        <w:rPr>
          <w:b/>
          <w:szCs w:val="24"/>
        </w:rPr>
        <w:t>Reading (s)/Textbook (s):</w:t>
      </w:r>
    </w:p>
    <w:p w14:paraId="1F933951" w14:textId="6E0AA214" w:rsidR="00B93F51" w:rsidRDefault="00B93F51" w:rsidP="00DE37CC">
      <w:pPr>
        <w:rPr>
          <w:b/>
          <w:szCs w:val="24"/>
        </w:rPr>
      </w:pPr>
    </w:p>
    <w:p w14:paraId="28F8C850" w14:textId="2D55EAE0" w:rsidR="00B93F51" w:rsidRPr="00B93F51" w:rsidRDefault="00B93F51" w:rsidP="00B93F51">
      <w:pPr>
        <w:keepNext/>
        <w:spacing w:line="240" w:lineRule="auto"/>
        <w:rPr>
          <w:b/>
          <w:bCs/>
          <w:szCs w:val="24"/>
        </w:rPr>
      </w:pPr>
      <w:r w:rsidRPr="00C43B3D">
        <w:rPr>
          <w:bCs/>
          <w:szCs w:val="24"/>
        </w:rPr>
        <w:t>There is no required textbook for this course. Links to required readings</w:t>
      </w:r>
      <w:r>
        <w:rPr>
          <w:bCs/>
          <w:szCs w:val="24"/>
        </w:rPr>
        <w:t xml:space="preserve"> </w:t>
      </w:r>
      <w:r w:rsidRPr="00C43B3D">
        <w:rPr>
          <w:bCs/>
          <w:szCs w:val="24"/>
        </w:rPr>
        <w:t xml:space="preserve">will be included in the </w:t>
      </w:r>
      <w:r w:rsidRPr="00C43B3D">
        <w:rPr>
          <w:b/>
          <w:bCs/>
          <w:szCs w:val="24"/>
        </w:rPr>
        <w:t xml:space="preserve">schedule and pdf or links provided on Brightspace. </w:t>
      </w:r>
    </w:p>
    <w:p w14:paraId="083B1303" w14:textId="77777777" w:rsidR="00A97E7D" w:rsidRPr="00A97E7D" w:rsidRDefault="00A97E7D" w:rsidP="00DE37CC">
      <w:pPr>
        <w:rPr>
          <w:b/>
          <w:szCs w:val="24"/>
        </w:rPr>
      </w:pPr>
    </w:p>
    <w:p w14:paraId="5D5521DF" w14:textId="4C21ACC5" w:rsidR="00A97E7D" w:rsidRDefault="00DE37CC" w:rsidP="00110483">
      <w:pPr>
        <w:rPr>
          <w:b/>
          <w:szCs w:val="24"/>
        </w:rPr>
      </w:pPr>
      <w:r w:rsidRPr="00A97E7D">
        <w:rPr>
          <w:b/>
          <w:szCs w:val="24"/>
        </w:rPr>
        <w:t>Course Requirements &amp; Methods of Evaluation:</w:t>
      </w:r>
    </w:p>
    <w:p w14:paraId="42EDED8A" w14:textId="3CBE9728" w:rsidR="00B93F51" w:rsidRDefault="00B93F51" w:rsidP="00110483">
      <w:pPr>
        <w:rPr>
          <w:b/>
          <w:szCs w:val="24"/>
        </w:rPr>
      </w:pPr>
    </w:p>
    <w:tbl>
      <w:tblPr>
        <w:tblStyle w:val="TableGrid"/>
        <w:tblW w:w="6441" w:type="dxa"/>
        <w:tblLook w:val="04A0" w:firstRow="1" w:lastRow="0" w:firstColumn="1" w:lastColumn="0" w:noHBand="0" w:noVBand="1"/>
      </w:tblPr>
      <w:tblGrid>
        <w:gridCol w:w="4343"/>
        <w:gridCol w:w="2098"/>
      </w:tblGrid>
      <w:tr w:rsidR="00B93F51" w:rsidRPr="00B47443" w14:paraId="0A846E91" w14:textId="77777777" w:rsidTr="00B93F51">
        <w:trPr>
          <w:trHeight w:val="368"/>
        </w:trPr>
        <w:tc>
          <w:tcPr>
            <w:tcW w:w="4343" w:type="dxa"/>
            <w:shd w:val="clear" w:color="auto" w:fill="FFC000" w:themeFill="accent4"/>
            <w:vAlign w:val="center"/>
          </w:tcPr>
          <w:p w14:paraId="4D1795B3" w14:textId="77777777" w:rsidR="00B93F51" w:rsidRPr="00B47443" w:rsidRDefault="00B93F51" w:rsidP="00030381">
            <w:pPr>
              <w:jc w:val="center"/>
              <w:rPr>
                <w:b/>
                <w:szCs w:val="24"/>
              </w:rPr>
            </w:pPr>
            <w:r w:rsidRPr="00B47443">
              <w:rPr>
                <w:b/>
                <w:szCs w:val="24"/>
              </w:rPr>
              <w:t>Assessment Component/Assignment</w:t>
            </w:r>
          </w:p>
        </w:tc>
        <w:tc>
          <w:tcPr>
            <w:tcW w:w="2098" w:type="dxa"/>
            <w:shd w:val="clear" w:color="auto" w:fill="FFC000" w:themeFill="accent4"/>
            <w:vAlign w:val="center"/>
          </w:tcPr>
          <w:p w14:paraId="7A117362" w14:textId="77777777" w:rsidR="00B93F51" w:rsidRPr="00B47443" w:rsidRDefault="00B93F51" w:rsidP="00030381">
            <w:pPr>
              <w:jc w:val="center"/>
              <w:rPr>
                <w:b/>
                <w:szCs w:val="24"/>
              </w:rPr>
            </w:pPr>
            <w:r w:rsidRPr="00B47443">
              <w:rPr>
                <w:b/>
                <w:szCs w:val="24"/>
              </w:rPr>
              <w:t>Weight</w:t>
            </w:r>
          </w:p>
        </w:tc>
      </w:tr>
      <w:tr w:rsidR="00B93F51" w14:paraId="3D35F47E" w14:textId="77777777" w:rsidTr="00B93F51">
        <w:trPr>
          <w:trHeight w:val="368"/>
        </w:trPr>
        <w:tc>
          <w:tcPr>
            <w:tcW w:w="4343" w:type="dxa"/>
            <w:vAlign w:val="center"/>
          </w:tcPr>
          <w:p w14:paraId="15925CD0" w14:textId="77777777" w:rsidR="00B93F51" w:rsidRDefault="00B93F51" w:rsidP="00030381">
            <w:pPr>
              <w:jc w:val="center"/>
              <w:rPr>
                <w:bCs/>
                <w:szCs w:val="24"/>
              </w:rPr>
            </w:pPr>
            <w:r>
              <w:rPr>
                <w:bCs/>
                <w:szCs w:val="24"/>
              </w:rPr>
              <w:t>Participation</w:t>
            </w:r>
          </w:p>
        </w:tc>
        <w:tc>
          <w:tcPr>
            <w:tcW w:w="2098" w:type="dxa"/>
            <w:vAlign w:val="center"/>
          </w:tcPr>
          <w:p w14:paraId="1EDA7136" w14:textId="77777777" w:rsidR="00B93F51" w:rsidRDefault="00B93F51" w:rsidP="00030381">
            <w:pPr>
              <w:jc w:val="center"/>
              <w:rPr>
                <w:bCs/>
                <w:szCs w:val="24"/>
              </w:rPr>
            </w:pPr>
            <w:r>
              <w:rPr>
                <w:bCs/>
                <w:szCs w:val="24"/>
              </w:rPr>
              <w:t>10%</w:t>
            </w:r>
          </w:p>
        </w:tc>
      </w:tr>
      <w:tr w:rsidR="00B93F51" w14:paraId="751C20E5" w14:textId="77777777" w:rsidTr="00B93F51">
        <w:trPr>
          <w:trHeight w:val="1880"/>
        </w:trPr>
        <w:tc>
          <w:tcPr>
            <w:tcW w:w="4343" w:type="dxa"/>
            <w:vAlign w:val="center"/>
          </w:tcPr>
          <w:p w14:paraId="59F15160" w14:textId="77777777" w:rsidR="00B93F51" w:rsidRDefault="00B93F51" w:rsidP="00030381">
            <w:pPr>
              <w:jc w:val="center"/>
              <w:rPr>
                <w:bCs/>
                <w:szCs w:val="24"/>
              </w:rPr>
            </w:pPr>
            <w:r>
              <w:rPr>
                <w:bCs/>
                <w:szCs w:val="24"/>
              </w:rPr>
              <w:t>Reflection Papers (3 out of 5)</w:t>
            </w:r>
          </w:p>
        </w:tc>
        <w:tc>
          <w:tcPr>
            <w:tcW w:w="2098" w:type="dxa"/>
            <w:vAlign w:val="center"/>
          </w:tcPr>
          <w:p w14:paraId="013F513C" w14:textId="77777777" w:rsidR="00B93F51" w:rsidRDefault="00B93F51" w:rsidP="00030381">
            <w:pPr>
              <w:jc w:val="center"/>
              <w:rPr>
                <w:bCs/>
                <w:szCs w:val="24"/>
              </w:rPr>
            </w:pPr>
            <w:r>
              <w:rPr>
                <w:bCs/>
                <w:szCs w:val="24"/>
              </w:rPr>
              <w:t>30%</w:t>
            </w:r>
          </w:p>
        </w:tc>
      </w:tr>
      <w:tr w:rsidR="00B93F51" w14:paraId="6E07F7C3" w14:textId="77777777" w:rsidTr="00B93F51">
        <w:trPr>
          <w:trHeight w:val="368"/>
        </w:trPr>
        <w:tc>
          <w:tcPr>
            <w:tcW w:w="4343" w:type="dxa"/>
            <w:vAlign w:val="center"/>
          </w:tcPr>
          <w:p w14:paraId="5326E792" w14:textId="77777777" w:rsidR="00B93F51" w:rsidRDefault="00B93F51" w:rsidP="00030381">
            <w:pPr>
              <w:jc w:val="center"/>
              <w:rPr>
                <w:bCs/>
                <w:szCs w:val="24"/>
              </w:rPr>
            </w:pPr>
            <w:r>
              <w:rPr>
                <w:bCs/>
                <w:szCs w:val="24"/>
              </w:rPr>
              <w:t>Film Analysis</w:t>
            </w:r>
          </w:p>
        </w:tc>
        <w:tc>
          <w:tcPr>
            <w:tcW w:w="2098" w:type="dxa"/>
            <w:vAlign w:val="center"/>
          </w:tcPr>
          <w:p w14:paraId="7C58998F" w14:textId="77777777" w:rsidR="00B93F51" w:rsidRDefault="00B93F51" w:rsidP="00030381">
            <w:pPr>
              <w:jc w:val="center"/>
              <w:rPr>
                <w:bCs/>
                <w:szCs w:val="24"/>
              </w:rPr>
            </w:pPr>
            <w:r>
              <w:rPr>
                <w:bCs/>
                <w:szCs w:val="24"/>
              </w:rPr>
              <w:t>15%</w:t>
            </w:r>
          </w:p>
        </w:tc>
      </w:tr>
      <w:tr w:rsidR="00B93F51" w14:paraId="50966C8B" w14:textId="77777777" w:rsidTr="00B93F51">
        <w:trPr>
          <w:trHeight w:val="736"/>
        </w:trPr>
        <w:tc>
          <w:tcPr>
            <w:tcW w:w="4343" w:type="dxa"/>
            <w:vAlign w:val="center"/>
          </w:tcPr>
          <w:p w14:paraId="42B8D493" w14:textId="77777777" w:rsidR="00B93F51" w:rsidRDefault="00B93F51" w:rsidP="00030381">
            <w:pPr>
              <w:jc w:val="center"/>
              <w:rPr>
                <w:bCs/>
                <w:szCs w:val="24"/>
              </w:rPr>
            </w:pPr>
            <w:r>
              <w:rPr>
                <w:bCs/>
                <w:szCs w:val="24"/>
              </w:rPr>
              <w:lastRenderedPageBreak/>
              <w:t>Final Research Paper Presentation</w:t>
            </w:r>
          </w:p>
        </w:tc>
        <w:tc>
          <w:tcPr>
            <w:tcW w:w="2098" w:type="dxa"/>
            <w:vAlign w:val="center"/>
          </w:tcPr>
          <w:p w14:paraId="24EA6E4E" w14:textId="77777777" w:rsidR="00B93F51" w:rsidRDefault="00B93F51" w:rsidP="00030381">
            <w:pPr>
              <w:jc w:val="center"/>
              <w:rPr>
                <w:bCs/>
                <w:szCs w:val="24"/>
              </w:rPr>
            </w:pPr>
            <w:r>
              <w:rPr>
                <w:bCs/>
                <w:szCs w:val="24"/>
              </w:rPr>
              <w:t>15%</w:t>
            </w:r>
          </w:p>
        </w:tc>
      </w:tr>
      <w:tr w:rsidR="00B93F51" w14:paraId="0448A3C3" w14:textId="77777777" w:rsidTr="00B93F51">
        <w:trPr>
          <w:trHeight w:val="368"/>
        </w:trPr>
        <w:tc>
          <w:tcPr>
            <w:tcW w:w="4343" w:type="dxa"/>
            <w:vAlign w:val="center"/>
          </w:tcPr>
          <w:p w14:paraId="35CEF1E7" w14:textId="77777777" w:rsidR="00B93F51" w:rsidRDefault="00B93F51" w:rsidP="00030381">
            <w:pPr>
              <w:jc w:val="center"/>
              <w:rPr>
                <w:bCs/>
                <w:szCs w:val="24"/>
              </w:rPr>
            </w:pPr>
            <w:r>
              <w:rPr>
                <w:bCs/>
                <w:szCs w:val="24"/>
              </w:rPr>
              <w:t>Final Research Paper</w:t>
            </w:r>
          </w:p>
        </w:tc>
        <w:tc>
          <w:tcPr>
            <w:tcW w:w="2098" w:type="dxa"/>
            <w:vAlign w:val="center"/>
          </w:tcPr>
          <w:p w14:paraId="5E3DCF5A" w14:textId="77777777" w:rsidR="00B93F51" w:rsidRDefault="00B93F51" w:rsidP="00030381">
            <w:pPr>
              <w:jc w:val="center"/>
              <w:rPr>
                <w:bCs/>
                <w:szCs w:val="24"/>
              </w:rPr>
            </w:pPr>
            <w:r>
              <w:rPr>
                <w:bCs/>
                <w:szCs w:val="24"/>
              </w:rPr>
              <w:t>30%</w:t>
            </w:r>
          </w:p>
        </w:tc>
      </w:tr>
    </w:tbl>
    <w:p w14:paraId="71BF312D" w14:textId="77777777" w:rsidR="00B93F51" w:rsidRPr="000D260E" w:rsidRDefault="00B93F51" w:rsidP="00B93F51">
      <w:pPr>
        <w:spacing w:line="240" w:lineRule="auto"/>
        <w:rPr>
          <w:b/>
          <w:smallCaps/>
          <w:szCs w:val="24"/>
        </w:rPr>
      </w:pPr>
    </w:p>
    <w:p w14:paraId="76B9B311" w14:textId="77777777" w:rsidR="00B93F51" w:rsidRPr="00110483" w:rsidRDefault="00B93F51" w:rsidP="00110483">
      <w:pPr>
        <w:rPr>
          <w:b/>
          <w:szCs w:val="24"/>
        </w:rPr>
      </w:pPr>
    </w:p>
    <w:sectPr w:rsidR="00B93F51" w:rsidRPr="001104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525C0"/>
    <w:multiLevelType w:val="hybridMultilevel"/>
    <w:tmpl w:val="37C83D28"/>
    <w:lvl w:ilvl="0" w:tplc="EAAED9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0626FC"/>
    <w:rsid w:val="00110483"/>
    <w:rsid w:val="002002F5"/>
    <w:rsid w:val="0021544B"/>
    <w:rsid w:val="003D5CF9"/>
    <w:rsid w:val="003E749C"/>
    <w:rsid w:val="00432BAA"/>
    <w:rsid w:val="00671476"/>
    <w:rsid w:val="006D594D"/>
    <w:rsid w:val="00814D52"/>
    <w:rsid w:val="00861863"/>
    <w:rsid w:val="00A042F7"/>
    <w:rsid w:val="00A97E7D"/>
    <w:rsid w:val="00AE75A5"/>
    <w:rsid w:val="00AF0D04"/>
    <w:rsid w:val="00B93F51"/>
    <w:rsid w:val="00C661A9"/>
    <w:rsid w:val="00C75511"/>
    <w:rsid w:val="00DE37CC"/>
    <w:rsid w:val="00EB2ABD"/>
    <w:rsid w:val="00F450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5918"/>
  <w15:chartTrackingRefBased/>
  <w15:docId w15:val="{A1FEEABD-D617-4AB5-8AAF-4FE2D5FB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C"/>
    <w:pPr>
      <w:spacing w:after="0" w:line="240" w:lineRule="exact"/>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7CC"/>
    <w:pPr>
      <w:spacing w:after="240"/>
      <w:jc w:val="center"/>
      <w:outlineLvl w:val="0"/>
    </w:pPr>
    <w:rPr>
      <w:b/>
    </w:rPr>
  </w:style>
  <w:style w:type="character" w:customStyle="1" w:styleId="TitleChar">
    <w:name w:val="Title Char"/>
    <w:basedOn w:val="DefaultParagraphFont"/>
    <w:link w:val="Title"/>
    <w:rsid w:val="00DE37CC"/>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DE37CC"/>
    <w:pPr>
      <w:spacing w:line="240" w:lineRule="auto"/>
      <w:ind w:left="1440" w:hanging="720"/>
    </w:pPr>
  </w:style>
  <w:style w:type="character" w:customStyle="1" w:styleId="BodyTextIndentChar">
    <w:name w:val="Body Text Indent Char"/>
    <w:basedOn w:val="DefaultParagraphFont"/>
    <w:link w:val="BodyTextIndent"/>
    <w:semiHidden/>
    <w:rsid w:val="00DE37CC"/>
    <w:rPr>
      <w:rFonts w:ascii="Times New Roman" w:eastAsia="Times New Roman" w:hAnsi="Times New Roman" w:cs="Times New Roman"/>
      <w:sz w:val="24"/>
      <w:szCs w:val="20"/>
      <w:lang w:val="en-US"/>
    </w:rPr>
  </w:style>
  <w:style w:type="paragraph" w:customStyle="1" w:styleId="Style2">
    <w:name w:val="Style2"/>
    <w:basedOn w:val="Normal"/>
    <w:next w:val="Normal"/>
    <w:rsid w:val="00DE37CC"/>
    <w:rPr>
      <w:b/>
    </w:rPr>
  </w:style>
  <w:style w:type="paragraph" w:customStyle="1" w:styleId="CT">
    <w:name w:val="C/T"/>
    <w:basedOn w:val="Normal"/>
    <w:rsid w:val="00DE37CC"/>
    <w:pPr>
      <w:spacing w:before="240" w:line="480" w:lineRule="atLeast"/>
    </w:pPr>
    <w:rPr>
      <w:rFonts w:ascii="Courier" w:hAnsi="Courier"/>
      <w:b/>
    </w:rPr>
  </w:style>
  <w:style w:type="paragraph" w:styleId="ListParagraph">
    <w:name w:val="List Paragraph"/>
    <w:basedOn w:val="Normal"/>
    <w:uiPriority w:val="34"/>
    <w:qFormat/>
    <w:rsid w:val="00A97E7D"/>
    <w:pPr>
      <w:ind w:left="720"/>
      <w:contextualSpacing/>
    </w:pPr>
  </w:style>
  <w:style w:type="character" w:styleId="Hyperlink">
    <w:name w:val="Hyperlink"/>
    <w:basedOn w:val="DefaultParagraphFont"/>
    <w:uiPriority w:val="99"/>
    <w:unhideWhenUsed/>
    <w:rsid w:val="00C75511"/>
    <w:rPr>
      <w:color w:val="0563C1" w:themeColor="hyperlink"/>
      <w:u w:val="single"/>
    </w:rPr>
  </w:style>
  <w:style w:type="character" w:styleId="UnresolvedMention">
    <w:name w:val="Unresolved Mention"/>
    <w:basedOn w:val="DefaultParagraphFont"/>
    <w:uiPriority w:val="99"/>
    <w:semiHidden/>
    <w:unhideWhenUsed/>
    <w:rsid w:val="00C75511"/>
    <w:rPr>
      <w:color w:val="605E5C"/>
      <w:shd w:val="clear" w:color="auto" w:fill="E1DFDD"/>
    </w:rPr>
  </w:style>
  <w:style w:type="table" w:styleId="TableGrid">
    <w:name w:val="Table Grid"/>
    <w:basedOn w:val="TableNormal"/>
    <w:uiPriority w:val="39"/>
    <w:rsid w:val="00B93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1103">
      <w:bodyDiv w:val="1"/>
      <w:marLeft w:val="0"/>
      <w:marRight w:val="0"/>
      <w:marTop w:val="0"/>
      <w:marBottom w:val="0"/>
      <w:divBdr>
        <w:top w:val="none" w:sz="0" w:space="0" w:color="auto"/>
        <w:left w:val="none" w:sz="0" w:space="0" w:color="auto"/>
        <w:bottom w:val="none" w:sz="0" w:space="0" w:color="auto"/>
        <w:right w:val="none" w:sz="0" w:space="0" w:color="auto"/>
      </w:divBdr>
    </w:div>
    <w:div w:id="20463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ietathomas@cunet.carleton.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LeBlanc</dc:creator>
  <cp:keywords/>
  <dc:description/>
  <cp:lastModifiedBy>Melina Tedesco</cp:lastModifiedBy>
  <cp:revision>2</cp:revision>
  <dcterms:created xsi:type="dcterms:W3CDTF">2023-12-18T15:49:00Z</dcterms:created>
  <dcterms:modified xsi:type="dcterms:W3CDTF">2023-12-18T15:49:00Z</dcterms:modified>
</cp:coreProperties>
</file>