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6FBD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CARLETON UNIVERSITY</w:t>
      </w:r>
    </w:p>
    <w:p w14:paraId="6B519D2B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DEPARTMENT OF SOCIOLOGY AND ANTHROPOLOGY</w:t>
      </w:r>
    </w:p>
    <w:p w14:paraId="35077009" w14:textId="77777777" w:rsidR="00C661A9" w:rsidRPr="00C661A9" w:rsidRDefault="00C661A9" w:rsidP="00C661A9">
      <w:pPr>
        <w:jc w:val="center"/>
        <w:rPr>
          <w:b/>
          <w:szCs w:val="24"/>
        </w:rPr>
      </w:pPr>
    </w:p>
    <w:p w14:paraId="7961D505" w14:textId="2042DD37" w:rsidR="00C661A9" w:rsidRPr="00C661A9" w:rsidRDefault="00EC35A9" w:rsidP="00C661A9">
      <w:pPr>
        <w:jc w:val="center"/>
        <w:rPr>
          <w:b/>
          <w:szCs w:val="24"/>
        </w:rPr>
      </w:pPr>
      <w:r>
        <w:rPr>
          <w:b/>
          <w:szCs w:val="24"/>
        </w:rPr>
        <w:t>SOCI 5104W</w:t>
      </w:r>
    </w:p>
    <w:p w14:paraId="39361328" w14:textId="4238F8E1" w:rsidR="00C661A9" w:rsidRPr="00861863" w:rsidRDefault="00EC35A9" w:rsidP="00C661A9">
      <w:pPr>
        <w:jc w:val="center"/>
        <w:rPr>
          <w:b/>
          <w:szCs w:val="24"/>
          <w:lang w:val="en-CA"/>
        </w:rPr>
      </w:pPr>
      <w:r>
        <w:rPr>
          <w:b/>
          <w:szCs w:val="24"/>
        </w:rPr>
        <w:t>WINTER 2024</w:t>
      </w:r>
    </w:p>
    <w:p w14:paraId="6A89C690" w14:textId="0F2A5A73" w:rsidR="00DE37CC" w:rsidRPr="00432BAA" w:rsidRDefault="00EC35A9" w:rsidP="00C661A9">
      <w:pPr>
        <w:jc w:val="center"/>
        <w:rPr>
          <w:b/>
          <w:szCs w:val="24"/>
          <w:lang w:val="en-CA"/>
        </w:rPr>
      </w:pPr>
      <w:r>
        <w:rPr>
          <w:b/>
          <w:szCs w:val="24"/>
        </w:rPr>
        <w:t>ADVANCED MULTIVARIATE ANALYSIS</w:t>
      </w:r>
    </w:p>
    <w:p w14:paraId="429364C5" w14:textId="77777777" w:rsidR="00DE37CC" w:rsidRPr="00432BAA" w:rsidRDefault="00DE37CC" w:rsidP="00DE37CC">
      <w:pPr>
        <w:rPr>
          <w:b/>
          <w:szCs w:val="24"/>
          <w:lang w:val="en-CA"/>
        </w:rPr>
      </w:pPr>
    </w:p>
    <w:p w14:paraId="2B8DA6F8" w14:textId="77777777" w:rsidR="00814D52" w:rsidRPr="00432BAA" w:rsidRDefault="00814D52" w:rsidP="00DE37CC">
      <w:pPr>
        <w:rPr>
          <w:b/>
          <w:szCs w:val="24"/>
          <w:lang w:val="en-CA"/>
        </w:rPr>
      </w:pPr>
    </w:p>
    <w:p w14:paraId="067987AF" w14:textId="2F334781" w:rsidR="00110483" w:rsidRPr="00EC35A9" w:rsidRDefault="00DE37CC" w:rsidP="00DE37CC">
      <w:pPr>
        <w:rPr>
          <w:bCs/>
          <w:szCs w:val="24"/>
        </w:rPr>
      </w:pPr>
      <w:r w:rsidRPr="00A97E7D">
        <w:rPr>
          <w:b/>
          <w:szCs w:val="24"/>
        </w:rPr>
        <w:t xml:space="preserve">Instructor: </w:t>
      </w:r>
      <w:r w:rsidR="00EC35A9">
        <w:rPr>
          <w:bCs/>
          <w:szCs w:val="24"/>
        </w:rPr>
        <w:t>Dr. Rania Tfaily</w:t>
      </w:r>
    </w:p>
    <w:p w14:paraId="7F56FB0B" w14:textId="2692E060" w:rsidR="00DE37CC" w:rsidRDefault="00DE37CC" w:rsidP="00DE37CC">
      <w:pPr>
        <w:rPr>
          <w:szCs w:val="24"/>
        </w:rPr>
      </w:pPr>
      <w:r w:rsidRPr="00A97E7D">
        <w:rPr>
          <w:b/>
          <w:szCs w:val="24"/>
        </w:rPr>
        <w:t>Email:</w:t>
      </w:r>
      <w:r w:rsidR="00A97E7D" w:rsidRPr="00A97E7D">
        <w:rPr>
          <w:szCs w:val="24"/>
        </w:rPr>
        <w:t xml:space="preserve"> </w:t>
      </w:r>
      <w:hyperlink r:id="rId5" w:history="1">
        <w:r w:rsidR="00EC35A9" w:rsidRPr="002338AC">
          <w:rPr>
            <w:rStyle w:val="Hyperlink"/>
            <w:bCs/>
            <w:szCs w:val="24"/>
          </w:rPr>
          <w:t>raniatfaily@cunet.carleton.ca</w:t>
        </w:r>
      </w:hyperlink>
      <w:r w:rsidR="00EC35A9">
        <w:rPr>
          <w:bCs/>
          <w:szCs w:val="24"/>
        </w:rPr>
        <w:t xml:space="preserve"> </w:t>
      </w:r>
    </w:p>
    <w:p w14:paraId="46E9D739" w14:textId="77777777" w:rsidR="00814D52" w:rsidRDefault="00814D52" w:rsidP="00DE37CC">
      <w:pPr>
        <w:rPr>
          <w:szCs w:val="24"/>
        </w:rPr>
      </w:pPr>
    </w:p>
    <w:p w14:paraId="575383B4" w14:textId="5D53AA63" w:rsidR="00110483" w:rsidRPr="00EC35A9" w:rsidRDefault="00814D52" w:rsidP="00DE37CC">
      <w:pPr>
        <w:rPr>
          <w:bCs/>
          <w:szCs w:val="24"/>
        </w:rPr>
      </w:pPr>
      <w:r>
        <w:rPr>
          <w:b/>
          <w:szCs w:val="24"/>
        </w:rPr>
        <w:t xml:space="preserve">Method of Delivery: </w:t>
      </w:r>
      <w:r w:rsidR="00EC35A9">
        <w:rPr>
          <w:bCs/>
          <w:szCs w:val="24"/>
        </w:rPr>
        <w:t>In-person</w:t>
      </w:r>
    </w:p>
    <w:p w14:paraId="39F086DA" w14:textId="77777777" w:rsidR="00814D52" w:rsidRPr="00814D52" w:rsidRDefault="00814D52" w:rsidP="00DE37CC">
      <w:pPr>
        <w:rPr>
          <w:b/>
          <w:szCs w:val="24"/>
        </w:rPr>
      </w:pPr>
    </w:p>
    <w:p w14:paraId="095E1437" w14:textId="3C9BBC95" w:rsidR="00AF0D04" w:rsidRDefault="00A97E7D" w:rsidP="00DE37CC">
      <w:pPr>
        <w:rPr>
          <w:b/>
          <w:szCs w:val="24"/>
        </w:rPr>
      </w:pPr>
      <w:r w:rsidRPr="00A97E7D">
        <w:rPr>
          <w:b/>
          <w:szCs w:val="24"/>
        </w:rPr>
        <w:t xml:space="preserve">Course Description: </w:t>
      </w:r>
    </w:p>
    <w:p w14:paraId="3D9E7579" w14:textId="030D7887" w:rsidR="00EC35A9" w:rsidRDefault="00EC35A9" w:rsidP="00DE37CC">
      <w:pPr>
        <w:rPr>
          <w:b/>
          <w:szCs w:val="24"/>
        </w:rPr>
      </w:pPr>
    </w:p>
    <w:p w14:paraId="3B149148" w14:textId="77777777" w:rsidR="00EC35A9" w:rsidRPr="00E37547" w:rsidRDefault="00EC35A9" w:rsidP="00EC35A9">
      <w:pPr>
        <w:autoSpaceDE w:val="0"/>
        <w:autoSpaceDN w:val="0"/>
        <w:adjustRightInd w:val="0"/>
        <w:spacing w:line="240" w:lineRule="auto"/>
        <w:rPr>
          <w:szCs w:val="24"/>
        </w:rPr>
      </w:pPr>
      <w:r w:rsidRPr="00E37547">
        <w:rPr>
          <w:szCs w:val="24"/>
        </w:rPr>
        <w:t>In this course, we will learn about key statistical techniques that are commonly used in social science</w:t>
      </w:r>
      <w:r>
        <w:rPr>
          <w:szCs w:val="24"/>
        </w:rPr>
        <w:t>s</w:t>
      </w:r>
      <w:r w:rsidRPr="00E37547">
        <w:rPr>
          <w:szCs w:val="24"/>
        </w:rPr>
        <w:t>: logistic regression models and multilevel models. We will discuss when and how to use</w:t>
      </w:r>
      <w:r>
        <w:rPr>
          <w:szCs w:val="24"/>
        </w:rPr>
        <w:t xml:space="preserve"> the various models</w:t>
      </w:r>
      <w:r w:rsidRPr="00E37547">
        <w:rPr>
          <w:szCs w:val="24"/>
        </w:rPr>
        <w:t xml:space="preserve">, the assumptions that we make, and how to interpret the results. We will also assess and critique </w:t>
      </w:r>
      <w:r>
        <w:rPr>
          <w:szCs w:val="24"/>
        </w:rPr>
        <w:t>a few</w:t>
      </w:r>
      <w:r w:rsidRPr="00E37547">
        <w:rPr>
          <w:szCs w:val="24"/>
        </w:rPr>
        <w:t xml:space="preserve"> journal articles that used one or more of the statistical techniques above. The course includes an applied component in which we</w:t>
      </w:r>
      <w:r>
        <w:rPr>
          <w:szCs w:val="24"/>
        </w:rPr>
        <w:t xml:space="preserve"> </w:t>
      </w:r>
      <w:r w:rsidRPr="00E37547">
        <w:rPr>
          <w:szCs w:val="24"/>
        </w:rPr>
        <w:t>use the statistical software ‘Stata’ to analyze survey data and run various models.</w:t>
      </w:r>
      <w:r>
        <w:rPr>
          <w:szCs w:val="24"/>
        </w:rPr>
        <w:t xml:space="preserve"> </w:t>
      </w:r>
      <w:r w:rsidRPr="00E37547">
        <w:rPr>
          <w:szCs w:val="24"/>
        </w:rPr>
        <w:t xml:space="preserve">Stata is available through Carleton University. To download Stata SE on your computer, click on the following link </w:t>
      </w:r>
      <w:hyperlink r:id="rId6" w:history="1">
        <w:r w:rsidRPr="00D4662B">
          <w:rPr>
            <w:rStyle w:val="Hyperlink"/>
            <w:szCs w:val="24"/>
          </w:rPr>
          <w:t>https://i.carleton.ca/its-software/stata-se/</w:t>
        </w:r>
      </w:hyperlink>
      <w:r>
        <w:rPr>
          <w:szCs w:val="24"/>
        </w:rPr>
        <w:t xml:space="preserve"> </w:t>
      </w:r>
      <w:r w:rsidRPr="00E37547">
        <w:rPr>
          <w:szCs w:val="24"/>
        </w:rPr>
        <w:t>and follow the instructions. Please download Stata SE onto your laptop</w:t>
      </w:r>
      <w:r>
        <w:rPr>
          <w:szCs w:val="24"/>
        </w:rPr>
        <w:t xml:space="preserve"> before the first class</w:t>
      </w:r>
      <w:r w:rsidRPr="00E37547">
        <w:rPr>
          <w:szCs w:val="24"/>
        </w:rPr>
        <w:t xml:space="preserve"> </w:t>
      </w:r>
      <w:r>
        <w:rPr>
          <w:szCs w:val="24"/>
        </w:rPr>
        <w:t xml:space="preserve">and bring the laptop to each class. </w:t>
      </w:r>
    </w:p>
    <w:p w14:paraId="36D59727" w14:textId="77777777" w:rsidR="00EC35A9" w:rsidRPr="00AF0D04" w:rsidRDefault="00EC35A9" w:rsidP="00DE37CC">
      <w:pPr>
        <w:rPr>
          <w:b/>
          <w:szCs w:val="24"/>
        </w:rPr>
      </w:pPr>
    </w:p>
    <w:p w14:paraId="793A24D2" w14:textId="77777777" w:rsidR="00A97E7D" w:rsidRPr="00A97E7D" w:rsidRDefault="00A97E7D" w:rsidP="00DE37CC">
      <w:pPr>
        <w:rPr>
          <w:b/>
          <w:szCs w:val="24"/>
        </w:rPr>
      </w:pPr>
    </w:p>
    <w:p w14:paraId="46A377E3" w14:textId="3CE993A6" w:rsidR="00DE37CC" w:rsidRDefault="00DE37CC" w:rsidP="00DE37CC">
      <w:pPr>
        <w:rPr>
          <w:b/>
          <w:szCs w:val="24"/>
        </w:rPr>
      </w:pPr>
      <w:r w:rsidRPr="00A97E7D">
        <w:rPr>
          <w:b/>
          <w:szCs w:val="24"/>
        </w:rPr>
        <w:t>Reading (s)/Textbook (s):</w:t>
      </w:r>
    </w:p>
    <w:p w14:paraId="67D20A97" w14:textId="7FED2C80" w:rsidR="00EC35A9" w:rsidRDefault="00EC35A9" w:rsidP="00DE37CC">
      <w:pPr>
        <w:rPr>
          <w:b/>
          <w:szCs w:val="24"/>
        </w:rPr>
      </w:pPr>
    </w:p>
    <w:p w14:paraId="1C06C5A4" w14:textId="77777777" w:rsidR="00EC35A9" w:rsidRPr="0012149B" w:rsidRDefault="00EC35A9" w:rsidP="00EC35A9">
      <w:pPr>
        <w:numPr>
          <w:ilvl w:val="0"/>
          <w:numId w:val="2"/>
        </w:numPr>
        <w:spacing w:line="240" w:lineRule="auto"/>
        <w:contextualSpacing/>
        <w:rPr>
          <w:rFonts w:eastAsia="Calibri"/>
          <w:szCs w:val="24"/>
        </w:rPr>
      </w:pPr>
      <w:r w:rsidRPr="0012149B">
        <w:rPr>
          <w:rFonts w:eastAsia="Calibri"/>
          <w:szCs w:val="24"/>
        </w:rPr>
        <w:t xml:space="preserve">Long, J. Scott and Jeremy Freese. 2014. </w:t>
      </w:r>
      <w:bookmarkStart w:id="0" w:name="_Hlk532152347"/>
      <w:r w:rsidRPr="0012149B">
        <w:rPr>
          <w:rFonts w:eastAsia="Calibri"/>
          <w:i/>
          <w:szCs w:val="24"/>
        </w:rPr>
        <w:t>Regression Models for Categorical Dependent Variables Using Stata</w:t>
      </w:r>
      <w:bookmarkEnd w:id="0"/>
      <w:r w:rsidRPr="0012149B">
        <w:rPr>
          <w:rFonts w:eastAsia="Calibri"/>
          <w:i/>
          <w:szCs w:val="24"/>
        </w:rPr>
        <w:t>, Third Edition</w:t>
      </w:r>
      <w:r w:rsidRPr="0012149B">
        <w:rPr>
          <w:rFonts w:eastAsia="Calibri"/>
          <w:szCs w:val="24"/>
        </w:rPr>
        <w:t>. College Station, Texas: Stata Press. [</w:t>
      </w:r>
      <w:r w:rsidRPr="002A32B8">
        <w:rPr>
          <w:rFonts w:eastAsia="Calibri"/>
          <w:i/>
          <w:iCs/>
          <w:szCs w:val="24"/>
        </w:rPr>
        <w:t xml:space="preserve">An electronic </w:t>
      </w:r>
      <w:r>
        <w:rPr>
          <w:rFonts w:eastAsia="Calibri"/>
          <w:i/>
          <w:iCs/>
          <w:szCs w:val="24"/>
        </w:rPr>
        <w:t>version</w:t>
      </w:r>
      <w:r w:rsidRPr="002A32B8">
        <w:rPr>
          <w:rFonts w:eastAsia="Calibri"/>
          <w:i/>
          <w:iCs/>
          <w:szCs w:val="24"/>
        </w:rPr>
        <w:t xml:space="preserve"> is available through Carleton University Library – one user at a time</w:t>
      </w:r>
      <w:r w:rsidRPr="0012149B">
        <w:rPr>
          <w:rFonts w:eastAsia="Calibri"/>
          <w:szCs w:val="24"/>
        </w:rPr>
        <w:t xml:space="preserve">]. </w:t>
      </w:r>
    </w:p>
    <w:p w14:paraId="4AD8D5BB" w14:textId="77777777" w:rsidR="00EC35A9" w:rsidRPr="004C76AC" w:rsidRDefault="00EC35A9" w:rsidP="00EC35A9">
      <w:pPr>
        <w:numPr>
          <w:ilvl w:val="0"/>
          <w:numId w:val="2"/>
        </w:numPr>
        <w:spacing w:line="240" w:lineRule="auto"/>
        <w:contextualSpacing/>
        <w:rPr>
          <w:rFonts w:eastAsia="Calibri"/>
          <w:szCs w:val="24"/>
        </w:rPr>
      </w:pPr>
      <w:r w:rsidRPr="0012149B">
        <w:rPr>
          <w:szCs w:val="24"/>
          <w:shd w:val="clear" w:color="auto" w:fill="FFFFFF"/>
        </w:rPr>
        <w:t>Garson, G. D</w:t>
      </w:r>
      <w:r>
        <w:rPr>
          <w:szCs w:val="24"/>
          <w:shd w:val="clear" w:color="auto" w:fill="FFFFFF"/>
        </w:rPr>
        <w:t>avid</w:t>
      </w:r>
      <w:r w:rsidRPr="0012149B">
        <w:rPr>
          <w:szCs w:val="24"/>
          <w:shd w:val="clear" w:color="auto" w:fill="FFFFFF"/>
        </w:rPr>
        <w:t>. 2020. </w:t>
      </w:r>
      <w:r w:rsidRPr="0012149B">
        <w:rPr>
          <w:i/>
          <w:iCs/>
          <w:szCs w:val="24"/>
          <w:shd w:val="clear" w:color="auto" w:fill="FFFFFF"/>
        </w:rPr>
        <w:t xml:space="preserve">Multilevel </w:t>
      </w:r>
      <w:r>
        <w:rPr>
          <w:i/>
          <w:iCs/>
          <w:szCs w:val="24"/>
          <w:shd w:val="clear" w:color="auto" w:fill="FFFFFF"/>
        </w:rPr>
        <w:t>M</w:t>
      </w:r>
      <w:r w:rsidRPr="0012149B">
        <w:rPr>
          <w:i/>
          <w:iCs/>
          <w:szCs w:val="24"/>
          <w:shd w:val="clear" w:color="auto" w:fill="FFFFFF"/>
        </w:rPr>
        <w:t xml:space="preserve">odeling: </w:t>
      </w:r>
      <w:r>
        <w:rPr>
          <w:i/>
          <w:iCs/>
          <w:szCs w:val="24"/>
          <w:shd w:val="clear" w:color="auto" w:fill="FFFFFF"/>
        </w:rPr>
        <w:t>A</w:t>
      </w:r>
      <w:r w:rsidRPr="0012149B">
        <w:rPr>
          <w:i/>
          <w:iCs/>
          <w:szCs w:val="24"/>
          <w:shd w:val="clear" w:color="auto" w:fill="FFFFFF"/>
        </w:rPr>
        <w:t>pplications in STATA®, IBM® SPSS®, SAS®, R, &amp; HLM</w:t>
      </w:r>
      <w:r w:rsidRPr="0012149B">
        <w:rPr>
          <w:i/>
          <w:iCs/>
          <w:szCs w:val="24"/>
          <w:shd w:val="clear" w:color="auto" w:fill="FFFFFF"/>
          <w:vertAlign w:val="superscript"/>
        </w:rPr>
        <w:t>TM</w:t>
      </w:r>
      <w:r w:rsidRPr="0012149B">
        <w:rPr>
          <w:szCs w:val="24"/>
          <w:shd w:val="clear" w:color="auto" w:fill="FFFFFF"/>
        </w:rPr>
        <w:t xml:space="preserve">. </w:t>
      </w:r>
      <w:r>
        <w:rPr>
          <w:szCs w:val="24"/>
          <w:shd w:val="clear" w:color="auto" w:fill="FFFFFF"/>
        </w:rPr>
        <w:t xml:space="preserve">Thousand Oaks: </w:t>
      </w:r>
      <w:r w:rsidRPr="0012149B">
        <w:rPr>
          <w:szCs w:val="24"/>
          <w:shd w:val="clear" w:color="auto" w:fill="FFFFFF"/>
        </w:rPr>
        <w:t>SAGE Publications, Inc. [</w:t>
      </w:r>
      <w:r w:rsidRPr="002A32B8">
        <w:rPr>
          <w:i/>
          <w:iCs/>
          <w:szCs w:val="24"/>
          <w:shd w:val="clear" w:color="auto" w:fill="FFFFFF"/>
        </w:rPr>
        <w:t xml:space="preserve">An electronic </w:t>
      </w:r>
      <w:r>
        <w:rPr>
          <w:i/>
          <w:iCs/>
          <w:szCs w:val="24"/>
          <w:shd w:val="clear" w:color="auto" w:fill="FFFFFF"/>
        </w:rPr>
        <w:t>version</w:t>
      </w:r>
      <w:r w:rsidRPr="002A32B8">
        <w:rPr>
          <w:i/>
          <w:iCs/>
          <w:szCs w:val="24"/>
          <w:shd w:val="clear" w:color="auto" w:fill="FFFFFF"/>
        </w:rPr>
        <w:t xml:space="preserve"> is available through Carleton University Library</w:t>
      </w:r>
      <w:r w:rsidRPr="0012149B">
        <w:rPr>
          <w:szCs w:val="24"/>
          <w:shd w:val="clear" w:color="auto" w:fill="FFFFFF"/>
        </w:rPr>
        <w:t>].</w:t>
      </w:r>
    </w:p>
    <w:p w14:paraId="48D12F0C" w14:textId="6F0BD296" w:rsidR="00EC35A9" w:rsidRPr="00EC35A9" w:rsidRDefault="00EC35A9" w:rsidP="00DE37CC">
      <w:pPr>
        <w:pStyle w:val="ListParagraph"/>
        <w:numPr>
          <w:ilvl w:val="0"/>
          <w:numId w:val="2"/>
        </w:numPr>
        <w:spacing w:line="240" w:lineRule="auto"/>
        <w:rPr>
          <w:szCs w:val="24"/>
        </w:rPr>
      </w:pPr>
      <w:r w:rsidRPr="004C76AC">
        <w:rPr>
          <w:bCs/>
          <w:color w:val="000000"/>
          <w:szCs w:val="24"/>
        </w:rPr>
        <w:t>Additional reading</w:t>
      </w:r>
      <w:r>
        <w:rPr>
          <w:bCs/>
          <w:color w:val="000000"/>
          <w:szCs w:val="24"/>
        </w:rPr>
        <w:t>s</w:t>
      </w:r>
      <w:r w:rsidRPr="004C76AC">
        <w:rPr>
          <w:bCs/>
          <w:color w:val="000000"/>
          <w:szCs w:val="24"/>
        </w:rPr>
        <w:t xml:space="preserve"> to be available via ARES/ Brightspace</w:t>
      </w:r>
    </w:p>
    <w:p w14:paraId="083B1303" w14:textId="77777777" w:rsidR="00A97E7D" w:rsidRPr="00A97E7D" w:rsidRDefault="00A97E7D" w:rsidP="00DE37CC">
      <w:pPr>
        <w:rPr>
          <w:b/>
          <w:szCs w:val="24"/>
        </w:rPr>
      </w:pPr>
    </w:p>
    <w:p w14:paraId="5D5521DF" w14:textId="2058372A" w:rsidR="00A97E7D" w:rsidRDefault="00DE37CC" w:rsidP="00110483">
      <w:pPr>
        <w:rPr>
          <w:b/>
          <w:szCs w:val="24"/>
        </w:rPr>
      </w:pPr>
      <w:r w:rsidRPr="00A97E7D">
        <w:rPr>
          <w:b/>
          <w:szCs w:val="24"/>
        </w:rPr>
        <w:t>Course Requirements &amp; Methods of Evaluation:</w:t>
      </w:r>
    </w:p>
    <w:p w14:paraId="7349184D" w14:textId="56363E34" w:rsidR="00EC35A9" w:rsidRDefault="00EC35A9" w:rsidP="00110483">
      <w:pPr>
        <w:rPr>
          <w:b/>
          <w:szCs w:val="24"/>
        </w:rPr>
      </w:pPr>
    </w:p>
    <w:p w14:paraId="014E8EBF" w14:textId="77777777" w:rsidR="00EC35A9" w:rsidRDefault="00EC35A9" w:rsidP="00EC35A9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eastAsia="Calibri"/>
          <w:bCs/>
          <w:color w:val="000000"/>
          <w:szCs w:val="24"/>
        </w:rPr>
      </w:pPr>
      <w:r w:rsidRPr="00E37547">
        <w:rPr>
          <w:rFonts w:eastAsia="Calibri"/>
          <w:bCs/>
          <w:color w:val="000000"/>
          <w:szCs w:val="24"/>
        </w:rPr>
        <w:t>Class participation</w:t>
      </w:r>
      <w:r>
        <w:rPr>
          <w:rFonts w:eastAsia="Calibri"/>
          <w:bCs/>
          <w:color w:val="000000"/>
          <w:szCs w:val="24"/>
        </w:rPr>
        <w:tab/>
      </w:r>
      <w:r>
        <w:rPr>
          <w:rFonts w:eastAsia="Calibri"/>
          <w:bCs/>
          <w:color w:val="000000"/>
          <w:szCs w:val="24"/>
        </w:rPr>
        <w:tab/>
      </w:r>
      <w:proofErr w:type="gramStart"/>
      <w:r>
        <w:rPr>
          <w:rFonts w:eastAsia="Calibri"/>
          <w:bCs/>
          <w:color w:val="000000"/>
          <w:szCs w:val="24"/>
        </w:rPr>
        <w:tab/>
        <w:t xml:space="preserve">  5</w:t>
      </w:r>
      <w:proofErr w:type="gramEnd"/>
      <w:r>
        <w:rPr>
          <w:rFonts w:eastAsia="Calibri"/>
          <w:bCs/>
          <w:color w:val="000000"/>
          <w:szCs w:val="24"/>
        </w:rPr>
        <w:t>%</w:t>
      </w:r>
    </w:p>
    <w:p w14:paraId="3DC6E7AA" w14:textId="77777777" w:rsidR="00EC35A9" w:rsidRDefault="00EC35A9" w:rsidP="00EC35A9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eastAsia="Calibri"/>
          <w:bCs/>
          <w:color w:val="000000"/>
          <w:szCs w:val="24"/>
        </w:rPr>
      </w:pPr>
      <w:r>
        <w:rPr>
          <w:rFonts w:eastAsia="Calibri"/>
          <w:bCs/>
          <w:color w:val="000000"/>
          <w:szCs w:val="24"/>
        </w:rPr>
        <w:t>Three assignments</w:t>
      </w:r>
      <w:r>
        <w:rPr>
          <w:rFonts w:eastAsia="Calibri"/>
          <w:bCs/>
          <w:color w:val="000000"/>
          <w:szCs w:val="24"/>
        </w:rPr>
        <w:tab/>
      </w:r>
      <w:r>
        <w:rPr>
          <w:rFonts w:eastAsia="Calibri"/>
          <w:bCs/>
          <w:color w:val="000000"/>
          <w:szCs w:val="24"/>
        </w:rPr>
        <w:tab/>
      </w:r>
      <w:r>
        <w:rPr>
          <w:rFonts w:eastAsia="Calibri"/>
          <w:bCs/>
          <w:color w:val="000000"/>
          <w:szCs w:val="24"/>
        </w:rPr>
        <w:tab/>
        <w:t>45%</w:t>
      </w:r>
    </w:p>
    <w:p w14:paraId="12B23A08" w14:textId="77777777" w:rsidR="00EC35A9" w:rsidRDefault="00EC35A9" w:rsidP="00EC35A9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eastAsia="Calibri"/>
          <w:bCs/>
          <w:color w:val="000000"/>
          <w:szCs w:val="24"/>
        </w:rPr>
      </w:pPr>
      <w:r>
        <w:rPr>
          <w:rFonts w:eastAsia="Calibri"/>
          <w:bCs/>
          <w:color w:val="000000"/>
          <w:szCs w:val="24"/>
        </w:rPr>
        <w:t>Two critiques</w:t>
      </w:r>
      <w:r>
        <w:rPr>
          <w:rFonts w:eastAsia="Calibri"/>
          <w:bCs/>
          <w:color w:val="000000"/>
          <w:szCs w:val="24"/>
        </w:rPr>
        <w:tab/>
      </w:r>
      <w:r>
        <w:rPr>
          <w:rFonts w:eastAsia="Calibri"/>
          <w:bCs/>
          <w:color w:val="000000"/>
          <w:szCs w:val="24"/>
        </w:rPr>
        <w:tab/>
      </w:r>
      <w:r>
        <w:rPr>
          <w:rFonts w:eastAsia="Calibri"/>
          <w:bCs/>
          <w:color w:val="000000"/>
          <w:szCs w:val="24"/>
        </w:rPr>
        <w:tab/>
      </w:r>
      <w:r>
        <w:rPr>
          <w:rFonts w:eastAsia="Calibri"/>
          <w:bCs/>
          <w:color w:val="000000"/>
          <w:szCs w:val="24"/>
        </w:rPr>
        <w:tab/>
        <w:t>10%</w:t>
      </w:r>
    </w:p>
    <w:p w14:paraId="5A68F89B" w14:textId="77777777" w:rsidR="00EC35A9" w:rsidRPr="00E37547" w:rsidRDefault="00EC35A9" w:rsidP="00EC35A9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/>
        <w:rPr>
          <w:rFonts w:eastAsia="Calibri"/>
          <w:bCs/>
          <w:color w:val="000000"/>
          <w:szCs w:val="24"/>
        </w:rPr>
      </w:pPr>
      <w:r>
        <w:rPr>
          <w:rFonts w:eastAsia="Calibri"/>
          <w:bCs/>
          <w:color w:val="000000"/>
          <w:szCs w:val="24"/>
        </w:rPr>
        <w:t>Empirical paper</w:t>
      </w:r>
      <w:r>
        <w:rPr>
          <w:rFonts w:eastAsia="Calibri"/>
          <w:bCs/>
          <w:color w:val="000000"/>
          <w:szCs w:val="24"/>
        </w:rPr>
        <w:tab/>
      </w:r>
      <w:r>
        <w:rPr>
          <w:rFonts w:eastAsia="Calibri"/>
          <w:bCs/>
          <w:color w:val="000000"/>
          <w:szCs w:val="24"/>
        </w:rPr>
        <w:tab/>
      </w:r>
      <w:r>
        <w:rPr>
          <w:rFonts w:eastAsia="Calibri"/>
          <w:bCs/>
          <w:color w:val="000000"/>
          <w:szCs w:val="24"/>
        </w:rPr>
        <w:tab/>
      </w:r>
      <w:r>
        <w:rPr>
          <w:rFonts w:eastAsia="Calibri"/>
          <w:bCs/>
          <w:color w:val="000000"/>
          <w:szCs w:val="24"/>
        </w:rPr>
        <w:tab/>
        <w:t xml:space="preserve">40% </w:t>
      </w:r>
    </w:p>
    <w:p w14:paraId="79FD3105" w14:textId="77777777" w:rsidR="00EC35A9" w:rsidRPr="00110483" w:rsidRDefault="00EC35A9" w:rsidP="00110483">
      <w:pPr>
        <w:rPr>
          <w:b/>
          <w:szCs w:val="24"/>
        </w:rPr>
      </w:pPr>
    </w:p>
    <w:sectPr w:rsidR="00EC35A9" w:rsidRPr="00110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1.25pt" o:bullet="t">
        <v:imagedata r:id="rId1" o:title="mso544A"/>
      </v:shape>
    </w:pict>
  </w:numPicBullet>
  <w:abstractNum w:abstractNumId="0" w15:restartNumberingAfterBreak="0">
    <w:nsid w:val="285C7AA4"/>
    <w:multiLevelType w:val="hybridMultilevel"/>
    <w:tmpl w:val="778E2372"/>
    <w:lvl w:ilvl="0" w:tplc="3EE4129C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525C0"/>
    <w:multiLevelType w:val="hybridMultilevel"/>
    <w:tmpl w:val="37C83D28"/>
    <w:lvl w:ilvl="0" w:tplc="EAAED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8690D"/>
    <w:multiLevelType w:val="hybridMultilevel"/>
    <w:tmpl w:val="211EDBBC"/>
    <w:lvl w:ilvl="0" w:tplc="9E8A8714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C"/>
    <w:rsid w:val="000626FC"/>
    <w:rsid w:val="00110483"/>
    <w:rsid w:val="002002F5"/>
    <w:rsid w:val="0021544B"/>
    <w:rsid w:val="003D5CF9"/>
    <w:rsid w:val="003E749C"/>
    <w:rsid w:val="00432BAA"/>
    <w:rsid w:val="00671476"/>
    <w:rsid w:val="006D594D"/>
    <w:rsid w:val="00814D52"/>
    <w:rsid w:val="00861863"/>
    <w:rsid w:val="00A042F7"/>
    <w:rsid w:val="00A97E7D"/>
    <w:rsid w:val="00AE75A5"/>
    <w:rsid w:val="00AF0D04"/>
    <w:rsid w:val="00C661A9"/>
    <w:rsid w:val="00C75511"/>
    <w:rsid w:val="00DE37CC"/>
    <w:rsid w:val="00EB2ABD"/>
    <w:rsid w:val="00EC35A9"/>
    <w:rsid w:val="00F4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5918"/>
  <w15:chartTrackingRefBased/>
  <w15:docId w15:val="{A1FEEABD-D617-4AB5-8AAF-4FE2D5FB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CC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37CC"/>
    <w:pPr>
      <w:spacing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DE37C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E37CC"/>
    <w:pPr>
      <w:spacing w:line="240" w:lineRule="auto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37C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2">
    <w:name w:val="Style2"/>
    <w:basedOn w:val="Normal"/>
    <w:next w:val="Normal"/>
    <w:rsid w:val="00DE37CC"/>
    <w:rPr>
      <w:b/>
    </w:rPr>
  </w:style>
  <w:style w:type="paragraph" w:customStyle="1" w:styleId="CT">
    <w:name w:val="C/T"/>
    <w:basedOn w:val="Normal"/>
    <w:rsid w:val="00DE37CC"/>
    <w:pPr>
      <w:spacing w:before="240" w:line="480" w:lineRule="atLeast"/>
    </w:pPr>
    <w:rPr>
      <w:rFonts w:ascii="Courier" w:hAnsi="Courier"/>
      <w:b/>
    </w:rPr>
  </w:style>
  <w:style w:type="paragraph" w:styleId="ListParagraph">
    <w:name w:val="List Paragraph"/>
    <w:basedOn w:val="Normal"/>
    <w:uiPriority w:val="34"/>
    <w:qFormat/>
    <w:rsid w:val="00A97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.carleton.ca/its-software/stata-se/" TargetMode="External"/><Relationship Id="rId5" Type="http://schemas.openxmlformats.org/officeDocument/2006/relationships/hyperlink" Target="mailto:raniatfaily@cunet.carleton.ca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LeBlanc</dc:creator>
  <cp:keywords/>
  <dc:description/>
  <cp:lastModifiedBy>Melina Tedesco</cp:lastModifiedBy>
  <cp:revision>2</cp:revision>
  <dcterms:created xsi:type="dcterms:W3CDTF">2023-12-18T16:01:00Z</dcterms:created>
  <dcterms:modified xsi:type="dcterms:W3CDTF">2023-12-18T16:01:00Z</dcterms:modified>
</cp:coreProperties>
</file>